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718" w:rsidP="008A07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UEEEC0008 Commission large fire protection systems</w:t>
      </w:r>
      <w:r>
        <w:fldChar w:fldCharType="end"/>
      </w:r>
    </w:p>
    <w:p w:rsidR="008A0718" w:rsidP="008A0718">
      <w:pPr>
        <w:pStyle w:val="Version"/>
        <w:sectPr w:rsidSect="002C2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E81" w:rsidP="002C2E81">
      <w:pPr>
        <w:pStyle w:val="SuperHeading"/>
      </w:pPr>
      <w:r w:rsidRPr="002C2E81">
        <w:t>UEEEC0008 Commission large fire protection systems</w:t>
      </w:r>
    </w:p>
    <w:p w:rsidR="00000000" w:rsidRPr="002C2E81" w:rsidP="002C2E81">
      <w:pPr>
        <w:pStyle w:val="Heading1"/>
      </w:pPr>
      <w:bookmarkStart w:id="1" w:name="O_1079723"/>
      <w:bookmarkEnd w:id="1"/>
      <w:r w:rsidRPr="002C2E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t>Release 1. This is the first release of this unit of competency in the UEE Electrotechnology Training Package.</w:t>
            </w:r>
          </w:p>
        </w:tc>
      </w:tr>
    </w:tbl>
    <w:p w:rsidR="00000000" w:rsidRPr="002C2E81" w:rsidP="002C2E81">
      <w:pPr>
        <w:pStyle w:val="NoPaddingFontSize1"/>
      </w:pPr>
    </w:p>
    <w:p w:rsidR="00000000" w:rsidRPr="002C2E81" w:rsidP="002C2E81">
      <w:pPr>
        <w:pStyle w:val="AllowPageBreak"/>
      </w:pPr>
    </w:p>
    <w:p w:rsidR="00000000" w:rsidRPr="002C2E81" w:rsidP="002C2E81">
      <w:pPr>
        <w:pStyle w:val="Heading1"/>
      </w:pPr>
      <w:bookmarkStart w:id="2" w:name="O_1079724"/>
      <w:bookmarkEnd w:id="2"/>
      <w:r w:rsidRPr="002C2E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t>This unit involves the skills and knowledge required to commission commercial fire</w:t>
            </w:r>
            <w:r w:rsidRPr="002C2E81">
              <w:t xml:space="preserve"> protection systems.</w:t>
            </w:r>
          </w:p>
          <w:p w:rsidR="00000000" w:rsidRPr="002C2E81" w:rsidP="002C2E81">
            <w:pPr>
              <w:pStyle w:val="BodyText"/>
            </w:pPr>
            <w:r w:rsidRPr="002C2E81">
              <w:t>It includes commissioning fire protection systems that include multiple connected detection, warning and fire control devices and remote monitoring. It also includes working safely, using fire protection industry standards and protocol</w:t>
            </w:r>
            <w:r w:rsidRPr="002C2E81">
              <w:t>s, entering system instructions, testing functionality of fire protection components and system operation, and documentation of commissioning activities.</w:t>
            </w:r>
          </w:p>
          <w:p w:rsidR="00000000" w:rsidRPr="002C2E81" w:rsidP="002C2E81">
            <w:pPr>
              <w:pStyle w:val="BodyText"/>
            </w:pPr>
            <w:r w:rsidRPr="002C2E81">
              <w:t>The skills and knowledge described in this unit require a licence or permit to practice in the workpla</w:t>
            </w:r>
            <w:r w:rsidRPr="002C2E81">
              <w:t xml:space="preserve">ce where work is carried out on electrical installations which are designed to operate at voltages greater than 50 volt (V) alternating current (a.c.) or 120 V direct current (d.c.). </w:t>
            </w:r>
          </w:p>
          <w:p w:rsidR="00000000" w:rsidRPr="002C2E81" w:rsidP="002C2E81">
            <w:pPr>
              <w:pStyle w:val="BodyText"/>
            </w:pPr>
            <w:r w:rsidRPr="002C2E81">
              <w:t>Competency development activities in this unit are subject to regulation</w:t>
            </w:r>
            <w:r w:rsidRPr="002C2E81">
              <w:t xml:space="preserve">s directly related to licensing. Where a licence or permit to practice is not held, skills and knowledge described in this unit require a relevant contract of training, such as an Australian Apprenticeship. </w:t>
            </w:r>
          </w:p>
          <w:p w:rsidR="00000000" w:rsidRPr="002C2E81" w:rsidP="002C2E81">
            <w:pPr>
              <w:pStyle w:val="BodyText"/>
            </w:pPr>
            <w:r w:rsidRPr="002C2E81">
              <w:t xml:space="preserve">Additional and/or other conditions may apply in </w:t>
            </w:r>
            <w:r w:rsidRPr="002C2E81">
              <w:t>some jurisdictions subject to regulations related to electrical work. Practice in the workplace and during training is also subject to work health and safety (WHS)/occupational health and safety (OHS) regulations.</w:t>
            </w:r>
          </w:p>
          <w:p w:rsidR="00000000" w:rsidRPr="002C2E81" w:rsidP="002C2E81">
            <w:pPr>
              <w:pStyle w:val="BodyText"/>
            </w:pPr>
            <w:r w:rsidRPr="002C2E81">
              <w:t>Permits may also be required for some work</w:t>
            </w:r>
            <w:r w:rsidRPr="002C2E81">
              <w:t xml:space="preserve"> environments, such as confined spaces, working aloft, near live electrical apparatus and site rehabilitation.</w:t>
            </w:r>
          </w:p>
          <w:p w:rsidR="00000000" w:rsidRPr="002C2E81" w:rsidP="002C2E81">
            <w:pPr>
              <w:pStyle w:val="BodyText"/>
            </w:pPr>
            <w:r w:rsidRPr="002C2E81">
              <w:t>No other licensing, legislative or certification requirements apply to this unit at the time of publication.</w:t>
            </w:r>
          </w:p>
        </w:tc>
      </w:tr>
    </w:tbl>
    <w:p w:rsidR="00000000" w:rsidRPr="002C2E81" w:rsidP="002C2E81">
      <w:pPr>
        <w:pStyle w:val="NoPaddingFontSize1"/>
      </w:pPr>
    </w:p>
    <w:p w:rsidR="00000000" w:rsidRPr="002C2E81" w:rsidP="002C2E81">
      <w:pPr>
        <w:pStyle w:val="AllowPageBreak"/>
      </w:pPr>
    </w:p>
    <w:p w:rsidR="00000000" w:rsidRPr="002C2E81" w:rsidP="002C2E81">
      <w:pPr>
        <w:pStyle w:val="Heading1"/>
      </w:pPr>
      <w:bookmarkStart w:id="3" w:name="O_1079725"/>
      <w:bookmarkEnd w:id="3"/>
      <w:r w:rsidRPr="002C2E81">
        <w:t>Pre-requisite U</w:t>
      </w:r>
      <w:r w:rsidRPr="002C2E81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t>UEECD0007 Apply work health and safety regulations, codes and practices in the workplace</w:t>
            </w:r>
          </w:p>
          <w:p w:rsidR="00000000" w:rsidRPr="002C2E81" w:rsidP="002C2E81">
            <w:pPr>
              <w:pStyle w:val="BodyText"/>
            </w:pPr>
            <w:r w:rsidRPr="002C2E81">
              <w:t>UEECD0019 Fabricate, assemble and dismantle utilities industry components</w:t>
            </w:r>
          </w:p>
          <w:p w:rsidR="00000000" w:rsidRPr="002C2E81" w:rsidP="002C2E81">
            <w:pPr>
              <w:pStyle w:val="BodyText"/>
            </w:pPr>
            <w:r w:rsidRPr="002C2E81">
              <w:t>UEECD0020 Fix and secure electrotechnology equipment</w:t>
            </w:r>
          </w:p>
          <w:p w:rsidR="00000000" w:rsidRPr="002C2E81" w:rsidP="002C2E81">
            <w:pPr>
              <w:pStyle w:val="BodyText"/>
            </w:pPr>
            <w:r w:rsidRPr="002C2E81">
              <w:t>UEECD0051 Use drawings, diagrams, sc</w:t>
            </w:r>
            <w:r w:rsidRPr="002C2E81">
              <w:t>hedules, standards, codes and specifications</w:t>
            </w:r>
          </w:p>
          <w:p w:rsidR="00000000" w:rsidRPr="002C2E81" w:rsidP="002C2E81">
            <w:pPr>
              <w:pStyle w:val="BodyText"/>
            </w:pPr>
            <w:r w:rsidRPr="002C2E81">
              <w:t>UEEEC0041 Install fire detection and warning system apparatus</w:t>
            </w:r>
          </w:p>
          <w:p w:rsidR="00000000" w:rsidRPr="002C2E81" w:rsidP="002C2E81">
            <w:pPr>
              <w:pStyle w:val="BodyText"/>
            </w:pPr>
            <w:r w:rsidRPr="002C2E81">
              <w:t>UEEEC0076 Verify compliance and functionality of fire protection system installations</w:t>
            </w:r>
          </w:p>
          <w:p w:rsidR="00000000" w:rsidRPr="002C2E81" w:rsidP="002C2E81">
            <w:pPr>
              <w:pStyle w:val="BodyText"/>
            </w:pPr>
            <w:r w:rsidRPr="002C2E81">
              <w:t>UEEEC0026 Enter and verify programs for fire protection systems</w:t>
            </w:r>
          </w:p>
        </w:tc>
      </w:tr>
    </w:tbl>
    <w:p w:rsidR="00000000" w:rsidRPr="002C2E81" w:rsidP="002C2E81">
      <w:pPr>
        <w:pStyle w:val="NoPaddingFontSize1"/>
      </w:pPr>
    </w:p>
    <w:p w:rsidR="00000000" w:rsidRPr="002C2E81" w:rsidP="002C2E81">
      <w:pPr>
        <w:pStyle w:val="AllowPageBreak"/>
      </w:pPr>
    </w:p>
    <w:p w:rsidR="00000000" w:rsidRPr="002C2E81" w:rsidP="002C2E81">
      <w:pPr>
        <w:pStyle w:val="Heading1"/>
      </w:pPr>
      <w:bookmarkStart w:id="4" w:name="O_1079726"/>
      <w:bookmarkEnd w:id="4"/>
      <w:r w:rsidRPr="002C2E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t>Electronics and Communications</w:t>
            </w:r>
          </w:p>
        </w:tc>
      </w:tr>
    </w:tbl>
    <w:p w:rsidR="00000000" w:rsidRPr="002C2E81" w:rsidP="002C2E81">
      <w:pPr>
        <w:pStyle w:val="NoPaddingFontSize1"/>
      </w:pPr>
    </w:p>
    <w:p w:rsidR="00000000" w:rsidRPr="002C2E81" w:rsidP="002C2E81">
      <w:pPr>
        <w:pStyle w:val="AllowPageBreak"/>
      </w:pPr>
    </w:p>
    <w:p w:rsidR="00000000" w:rsidRPr="002C2E81" w:rsidP="002C2E81">
      <w:pPr>
        <w:pStyle w:val="Heading1"/>
      </w:pPr>
      <w:bookmarkStart w:id="5" w:name="O_1079727"/>
      <w:bookmarkEnd w:id="5"/>
      <w:r w:rsidRPr="002C2E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t>Electrotechnology</w:t>
            </w:r>
          </w:p>
        </w:tc>
      </w:tr>
    </w:tbl>
    <w:p w:rsidR="00000000" w:rsidRPr="002C2E81" w:rsidP="002C2E81">
      <w:pPr>
        <w:pStyle w:val="NoPaddingFontSize1"/>
      </w:pPr>
    </w:p>
    <w:p w:rsidR="00000000" w:rsidRPr="002C2E81" w:rsidP="002C2E81">
      <w:pPr>
        <w:pStyle w:val="AllowPageBreak"/>
      </w:pPr>
    </w:p>
    <w:p w:rsidR="00000000" w:rsidRPr="002C2E81" w:rsidP="002C2E81">
      <w:pPr>
        <w:pStyle w:val="Heading1"/>
      </w:pPr>
      <w:bookmarkStart w:id="6" w:name="O_1079728"/>
      <w:bookmarkEnd w:id="6"/>
      <w:r w:rsidRPr="002C2E8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PERFORMANCE CRITERIA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Performance criteria describe the performance needed to demonstrate achievement of the element.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rPr>
                <w:rStyle w:val="SpecialBold"/>
              </w:rPr>
              <w:t>Prepare fire protection system for commissioning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WHS/OHS requirements and workplace procedures for a given work area are identified and applied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WHS/OHS risk control measures and workplace procedures are followed in preparation for work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 xml:space="preserve">Safety hazards which have not previously been identified are risk assessed, documented and risk control measures devised and implemented in consultation </w:t>
            </w:r>
            <w:r w:rsidRPr="002C2E81">
              <w:t>with appropriate person/s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Extent of commissioning is determined from reports, documentation and discussions with appropriate person/s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 xml:space="preserve">Appropriate person/s is consulted to ensure the work is coordinated effectively with others involved on the </w:t>
            </w:r>
            <w:r w:rsidRPr="002C2E81">
              <w:t>work site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Tools, equipment and testing devices needed to commission fire protection system are obtained in accordance with workplace procedures and checked for correct operation and safety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rPr>
                <w:rStyle w:val="SpecialBold"/>
              </w:rPr>
              <w:t>Commission fire protection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WHS/OHS risk control measures and workplace procedures for carrying out commissioning work are followed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Need to test and measure live work is determined in accordance with WHS/OHS requirements and conducted within workplace safety procedures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Circuits/machines/plant are checked and isolated in accordance with WHS/OHS requirements and workplace procedures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Fire protection system components are verified as complying with design specifications and regulations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Fire protection devices a</w:t>
            </w:r>
            <w:r w:rsidRPr="002C2E81">
              <w:t>re checked for correct location and alignment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Fire protection functions are inspected and tested in accordance with industry standards commissioning requirements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Sources of fire protection system anomalies are identified and corrected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Decisions for dealing with unplanned situations are made from discussions with appropriate person/s and job specifications and requirements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Unplanned situations are responded to in accordance with workplace procedures in a manner that minimises risk</w:t>
            </w:r>
            <w:r w:rsidRPr="002C2E81">
              <w:t xml:space="preserve"> to personnel and equipment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Commissioning activities are carried out efficiently without waste of materials or damage to fire apparatus, the surrounding environment or services using sustainable energy practices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rPr>
                <w:rStyle w:val="SpecialBold"/>
              </w:rPr>
              <w:t>Complete and report 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WHS/OHS work completion risk control measures and workplace procedures are followed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Worksite is made safe in accordance with workplace safety procedures</w:t>
            </w:r>
          </w:p>
        </w:tc>
      </w:tr>
      <w:tr w:rsidTr="002C2E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>
              <w:t>‘</w:t>
            </w:r>
            <w:r w:rsidRPr="002C2E81">
              <w:t>As-installed</w:t>
            </w:r>
            <w:r>
              <w:t>’</w:t>
            </w:r>
            <w:r w:rsidRPr="002C2E81">
              <w:t xml:space="preserve"> fire protection system is</w:t>
            </w:r>
            <w:r w:rsidRPr="002C2E81">
              <w:t xml:space="preserve"> documented and appropriate person/s notified in accordance with workplace procedures</w:t>
            </w:r>
          </w:p>
        </w:tc>
      </w:tr>
    </w:tbl>
    <w:p w:rsidR="00000000" w:rsidRPr="002C2E81" w:rsidP="002C2E81">
      <w:pPr>
        <w:pStyle w:val="NoPaddingFontSize1"/>
      </w:pPr>
    </w:p>
    <w:p w:rsidR="00000000" w:rsidRPr="002C2E81" w:rsidP="002C2E81">
      <w:pPr>
        <w:pStyle w:val="AllowPageBreak"/>
      </w:pPr>
    </w:p>
    <w:p w:rsidR="00000000" w:rsidRPr="002C2E81" w:rsidP="002C2E81">
      <w:pPr>
        <w:pStyle w:val="Heading1"/>
      </w:pPr>
      <w:bookmarkStart w:id="7" w:name="O_1079729"/>
      <w:bookmarkEnd w:id="7"/>
      <w:r w:rsidRPr="002C2E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t>Foundation skills essential to performance are explicit in the performance criteria of this unit of competency.</w:t>
            </w:r>
          </w:p>
        </w:tc>
      </w:tr>
    </w:tbl>
    <w:p w:rsidR="00000000" w:rsidRPr="002C2E81" w:rsidP="002C2E81">
      <w:pPr>
        <w:pStyle w:val="NoPaddingFontSize1"/>
      </w:pPr>
    </w:p>
    <w:p w:rsidR="00000000" w:rsidRPr="002C2E81" w:rsidP="002C2E81">
      <w:pPr>
        <w:pStyle w:val="AllowPageBreak"/>
      </w:pPr>
    </w:p>
    <w:p w:rsidR="00000000" w:rsidRPr="002C2E81" w:rsidP="002C2E81">
      <w:pPr>
        <w:pStyle w:val="Heading1"/>
      </w:pPr>
      <w:bookmarkStart w:id="8" w:name="O_1079730"/>
      <w:bookmarkEnd w:id="8"/>
      <w:r w:rsidRPr="002C2E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C2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t>Range is restricted to essential operating conditions and any other variables essential to the work environment.</w:t>
            </w:r>
          </w:p>
          <w:p w:rsidR="00000000" w:rsidP="002C2E81">
            <w:pPr>
              <w:pStyle w:val="BodyText"/>
              <w:rPr>
                <w:lang w:val="en-NZ"/>
              </w:rPr>
            </w:pPr>
            <w:r w:rsidRPr="002C2E81">
              <w:t>Non-essential conditions may be found in the UEE Electrotechnology Training Package Companion Volume Implementatio</w:t>
            </w:r>
            <w:r w:rsidRPr="002C2E81">
              <w:t>n Guide.</w:t>
            </w:r>
          </w:p>
        </w:tc>
      </w:tr>
      <w:tr w:rsidTr="002C2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t xml:space="preserve">Commissioning fire alarms and warning systems must include at least the following: </w:t>
            </w:r>
          </w:p>
          <w:p w:rsidR="00000000" w:rsidP="002C2E8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ListBullet"/>
            </w:pPr>
            <w:r w:rsidRPr="002C2E81">
              <w:t>two different fire alarms and warning systems, including:</w:t>
            </w:r>
          </w:p>
          <w:p w:rsidR="00000000" w:rsidRPr="002C2E81" w:rsidP="002C2E81">
            <w:pPr>
              <w:pStyle w:val="ListBullet2"/>
            </w:pPr>
            <w:r w:rsidRPr="002C2E81">
              <w:t xml:space="preserve">one fire alarm system with at least 50 input devices, 20 output devices and two system interface </w:t>
            </w:r>
            <w:r w:rsidRPr="002C2E81">
              <w:t>controls</w:t>
            </w:r>
          </w:p>
          <w:p w:rsidR="00000000" w:rsidRPr="002C2E81" w:rsidP="002C2E81">
            <w:pPr>
              <w:pStyle w:val="ListBullet2"/>
            </w:pPr>
            <w:r w:rsidRPr="002C2E81">
              <w:t>one fire warning system with at least 50 speakers, five interface communication devices and two warning indicators</w:t>
            </w:r>
          </w:p>
          <w:p w:rsidR="00000000" w:rsidRPr="002C2E81" w:rsidP="002C2E81">
            <w:pPr>
              <w:pStyle w:val="ListBullet2"/>
            </w:pPr>
            <w:r w:rsidRPr="002C2E81">
              <w:t>voice message facilities</w:t>
            </w:r>
          </w:p>
        </w:tc>
      </w:tr>
    </w:tbl>
    <w:p w:rsidR="00000000" w:rsidRPr="002C2E81" w:rsidP="002C2E81">
      <w:pPr>
        <w:pStyle w:val="NoPaddingFontSize1"/>
      </w:pPr>
    </w:p>
    <w:p w:rsidR="00000000" w:rsidRPr="002C2E81" w:rsidP="002C2E81">
      <w:pPr>
        <w:pStyle w:val="AllowPageBreak"/>
      </w:pPr>
    </w:p>
    <w:p w:rsidR="00000000" w:rsidRPr="002C2E81" w:rsidP="002C2E81">
      <w:pPr>
        <w:pStyle w:val="Heading1"/>
      </w:pPr>
      <w:bookmarkStart w:id="9" w:name="O_1079731"/>
      <w:bookmarkEnd w:id="9"/>
      <w:r w:rsidRPr="002C2E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81" w:rsidP="002C2E81">
            <w:pPr>
              <w:pStyle w:val="BodyText"/>
            </w:pPr>
            <w:r w:rsidRPr="002C2E81">
              <w:t>This unit replaces and is equivalent to UEENEEH164A Commissio</w:t>
            </w:r>
            <w:r w:rsidRPr="002C2E81">
              <w:t>n large fire protection systems.</w:t>
            </w:r>
          </w:p>
        </w:tc>
      </w:tr>
    </w:tbl>
    <w:p w:rsidR="00000000" w:rsidRPr="002C2E81" w:rsidP="002C2E81">
      <w:pPr>
        <w:pStyle w:val="NoPaddingFontSize1"/>
      </w:pPr>
    </w:p>
    <w:p w:rsidR="00000000" w:rsidRPr="002C2E81" w:rsidP="002C2E81">
      <w:pPr>
        <w:pStyle w:val="AllowPageBreak"/>
      </w:pPr>
    </w:p>
    <w:p w:rsidR="00000000" w:rsidRPr="002C2E81" w:rsidP="002C2E81">
      <w:pPr>
        <w:pStyle w:val="Heading1"/>
      </w:pPr>
      <w:bookmarkStart w:id="10" w:name="O_1079738"/>
      <w:bookmarkEnd w:id="10"/>
      <w:r w:rsidRPr="002C2E81">
        <w:t>Links</w:t>
      </w:r>
    </w:p>
    <w:p w:rsidR="00000000" w:rsidRPr="002C2E81" w:rsidP="008A0718">
      <w:pPr>
        <w:pStyle w:val="BodyText"/>
      </w:pPr>
      <w:r w:rsidRPr="002C2E8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2202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C2E81" w:rsidP="002C2E81"/>
    <w:sectPr w:rsidSect="002C2E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81" w:rsidRPr="008A0718" w:rsidP="008A07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18" w:rsidP="002C2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718" w:rsidP="002C2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A0718" w:rsidP="002C2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E81" w:rsidRPr="008A0718" w:rsidP="008A07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18" w:rsidRPr="002D2AF8" w:rsidP="002C2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UEEEC0008 Commission large fire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A0718" w:rsidP="002C2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028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70F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BA9B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E81"/>
  </w:style>
  <w:style w:type="character" w:customStyle="1" w:styleId="Heading1Char">
    <w:name w:val="Heading 1 Char"/>
    <w:basedOn w:val="DefaultParagraphFont"/>
    <w:link w:val="Heading1"/>
    <w:rsid w:val="002C2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E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2E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2E81"/>
    <w:rPr>
      <w:b/>
      <w:spacing w:val="0"/>
    </w:rPr>
  </w:style>
  <w:style w:type="paragraph" w:styleId="ListBullet2">
    <w:name w:val="List Bullet 2"/>
    <w:basedOn w:val="List2"/>
    <w:rsid w:val="002C2E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2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2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2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2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2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2E81"/>
    <w:rPr>
      <w:i/>
    </w:rPr>
  </w:style>
  <w:style w:type="paragraph" w:styleId="Caption">
    <w:name w:val="caption"/>
    <w:basedOn w:val="BodyText"/>
    <w:next w:val="Normal"/>
    <w:qFormat/>
    <w:rsid w:val="002C2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E81"/>
  </w:style>
  <w:style w:type="paragraph" w:styleId="TableofFigures">
    <w:name w:val="table of figures"/>
    <w:basedOn w:val="Normal"/>
    <w:next w:val="Normal"/>
    <w:semiHidden/>
    <w:rsid w:val="002C2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E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2E81"/>
    <w:rPr>
      <w:rFonts w:ascii="Wingdings" w:hAnsi="Wingdings"/>
    </w:rPr>
  </w:style>
  <w:style w:type="paragraph" w:customStyle="1" w:styleId="TableHeading">
    <w:name w:val="Table Heading"/>
    <w:basedOn w:val="HeadingBase"/>
    <w:rsid w:val="002C2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E81"/>
    <w:rPr>
      <w:color w:val="0033CC"/>
      <w:u w:val="none"/>
    </w:rPr>
  </w:style>
  <w:style w:type="paragraph" w:customStyle="1" w:styleId="BodyTextRight">
    <w:name w:val="Body Text Right"/>
    <w:basedOn w:val="BodyText"/>
    <w:rsid w:val="002C2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E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E81"/>
    <w:rPr>
      <w:sz w:val="32"/>
    </w:rPr>
  </w:style>
  <w:style w:type="paragraph" w:customStyle="1" w:styleId="HeadingProcedure">
    <w:name w:val="Heading Procedure"/>
    <w:basedOn w:val="HeadingBase"/>
    <w:next w:val="Normal"/>
    <w:rsid w:val="002C2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E81"/>
    <w:pPr>
      <w:spacing w:before="60" w:after="60"/>
    </w:pPr>
  </w:style>
  <w:style w:type="paragraph" w:styleId="ListContinue">
    <w:name w:val="List Continue"/>
    <w:basedOn w:val="List"/>
    <w:rsid w:val="002C2E81"/>
    <w:pPr>
      <w:ind w:firstLine="0"/>
    </w:pPr>
  </w:style>
  <w:style w:type="paragraph" w:customStyle="1" w:styleId="ListNote">
    <w:name w:val="List Note"/>
    <w:basedOn w:val="List"/>
    <w:rsid w:val="002C2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E81"/>
    <w:rPr>
      <w:rFonts w:ascii="Courier New" w:hAnsi="Courier New"/>
    </w:rPr>
  </w:style>
  <w:style w:type="paragraph" w:customStyle="1" w:styleId="NoteBullet">
    <w:name w:val="Note Bullet"/>
    <w:basedOn w:val="Note"/>
    <w:rsid w:val="002C2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E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2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E81"/>
    <w:rPr>
      <w:b/>
      <w:smallCaps/>
    </w:rPr>
  </w:style>
  <w:style w:type="paragraph" w:customStyle="1" w:styleId="TableListNumber">
    <w:name w:val="Table List Number"/>
    <w:basedOn w:val="ListNumber"/>
    <w:rsid w:val="002C2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E81"/>
    <w:pPr>
      <w:numPr>
        <w:numId w:val="9"/>
      </w:numPr>
    </w:pPr>
  </w:style>
  <w:style w:type="paragraph" w:customStyle="1" w:styleId="ListAlpha2">
    <w:name w:val="List Alpha 2"/>
    <w:basedOn w:val="List2"/>
    <w:rsid w:val="002C2E81"/>
    <w:pPr>
      <w:numPr>
        <w:numId w:val="8"/>
      </w:numPr>
    </w:pPr>
  </w:style>
  <w:style w:type="paragraph" w:styleId="List2">
    <w:name w:val="List 2"/>
    <w:basedOn w:val="BodyText"/>
    <w:rsid w:val="002C2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E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E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2E81"/>
    <w:pPr>
      <w:numPr>
        <w:numId w:val="4"/>
      </w:numPr>
    </w:pPr>
  </w:style>
  <w:style w:type="paragraph" w:styleId="ListContinue2">
    <w:name w:val="List Continue 2"/>
    <w:basedOn w:val="List2"/>
    <w:rsid w:val="002C2E81"/>
    <w:pPr>
      <w:ind w:firstLine="0"/>
    </w:pPr>
  </w:style>
  <w:style w:type="paragraph" w:styleId="ListContinue3">
    <w:name w:val="List Continue 3"/>
    <w:basedOn w:val="List3"/>
    <w:rsid w:val="002C2E81"/>
    <w:pPr>
      <w:ind w:left="1021" w:firstLine="0"/>
    </w:pPr>
  </w:style>
  <w:style w:type="paragraph" w:styleId="ListContinue4">
    <w:name w:val="List Continue 4"/>
    <w:basedOn w:val="List4"/>
    <w:rsid w:val="002C2E81"/>
    <w:pPr>
      <w:ind w:firstLine="0"/>
    </w:pPr>
  </w:style>
  <w:style w:type="paragraph" w:styleId="ListContinue5">
    <w:name w:val="List Continue 5"/>
    <w:basedOn w:val="List5"/>
    <w:rsid w:val="002C2E81"/>
    <w:pPr>
      <w:ind w:firstLine="0"/>
    </w:pPr>
  </w:style>
  <w:style w:type="paragraph" w:styleId="ListNumber3">
    <w:name w:val="List Number 3"/>
    <w:basedOn w:val="List3"/>
    <w:rsid w:val="002C2E81"/>
    <w:pPr>
      <w:numPr>
        <w:numId w:val="5"/>
      </w:numPr>
    </w:pPr>
  </w:style>
  <w:style w:type="paragraph" w:styleId="ListNumber4">
    <w:name w:val="List Number 4"/>
    <w:basedOn w:val="List4"/>
    <w:rsid w:val="002C2E81"/>
    <w:pPr>
      <w:numPr>
        <w:numId w:val="6"/>
      </w:numPr>
    </w:pPr>
  </w:style>
  <w:style w:type="paragraph" w:styleId="ListNumber5">
    <w:name w:val="List Number 5"/>
    <w:basedOn w:val="List5"/>
    <w:rsid w:val="002C2E81"/>
    <w:pPr>
      <w:numPr>
        <w:numId w:val="7"/>
      </w:numPr>
    </w:pPr>
  </w:style>
  <w:style w:type="paragraph" w:styleId="BlockText">
    <w:name w:val="Block Text"/>
    <w:basedOn w:val="Normal"/>
    <w:rsid w:val="002C2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E81"/>
    <w:rPr>
      <w:sz w:val="16"/>
      <w:vertAlign w:val="superscript"/>
    </w:rPr>
  </w:style>
  <w:style w:type="character" w:customStyle="1" w:styleId="Symbols">
    <w:name w:val="Symbols"/>
    <w:basedOn w:val="DefaultParagraphFont"/>
    <w:rsid w:val="002C2E81"/>
    <w:rPr>
      <w:rFonts w:ascii="Symbol" w:hAnsi="Symbol"/>
    </w:rPr>
  </w:style>
  <w:style w:type="character" w:customStyle="1" w:styleId="MenuOptions">
    <w:name w:val="Menu Options"/>
    <w:basedOn w:val="DefaultParagraphFont"/>
    <w:rsid w:val="002C2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E81"/>
    <w:rPr>
      <w:b/>
    </w:rPr>
  </w:style>
  <w:style w:type="character" w:customStyle="1" w:styleId="Underlined">
    <w:name w:val="Underlined"/>
    <w:basedOn w:val="DefaultParagraphFont"/>
    <w:rsid w:val="002C2E81"/>
    <w:rPr>
      <w:u w:val="single"/>
    </w:rPr>
  </w:style>
  <w:style w:type="paragraph" w:customStyle="1" w:styleId="TableBodyTextRight">
    <w:name w:val="Table Body Text Right"/>
    <w:basedOn w:val="TableBodyText"/>
    <w:rsid w:val="002C2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E81"/>
    <w:rPr>
      <w:sz w:val="18"/>
    </w:rPr>
  </w:style>
  <w:style w:type="paragraph" w:customStyle="1" w:styleId="BodySmallRight">
    <w:name w:val="Body Small Right"/>
    <w:basedOn w:val="BodyTextRight"/>
    <w:rsid w:val="002C2E81"/>
    <w:rPr>
      <w:sz w:val="18"/>
      <w:szCs w:val="18"/>
    </w:rPr>
  </w:style>
  <w:style w:type="paragraph" w:customStyle="1" w:styleId="MarginEdition">
    <w:name w:val="Margin Edition"/>
    <w:basedOn w:val="MarginNote"/>
    <w:rsid w:val="002C2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E81"/>
    <w:rPr>
      <w:sz w:val="2"/>
      <w:szCs w:val="2"/>
    </w:rPr>
  </w:style>
  <w:style w:type="character" w:customStyle="1" w:styleId="Small">
    <w:name w:val="Small"/>
    <w:basedOn w:val="DefaultParagraphFont"/>
    <w:rsid w:val="002C2E81"/>
    <w:rPr>
      <w:sz w:val="16"/>
    </w:rPr>
  </w:style>
  <w:style w:type="paragraph" w:customStyle="1" w:styleId="WideTable">
    <w:name w:val="Wide Table"/>
    <w:basedOn w:val="Normal"/>
    <w:rsid w:val="002C2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E81"/>
  </w:style>
  <w:style w:type="paragraph" w:styleId="Quote">
    <w:name w:val="Quote"/>
    <w:basedOn w:val="Heading1"/>
    <w:link w:val="QuoteChar"/>
    <w:qFormat/>
    <w:rsid w:val="002C2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E81"/>
    <w:pPr>
      <w:pageBreakBefore/>
    </w:pPr>
  </w:style>
  <w:style w:type="paragraph" w:customStyle="1" w:styleId="Border">
    <w:name w:val="Border"/>
    <w:basedOn w:val="Normal"/>
    <w:qFormat/>
    <w:rsid w:val="002C2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E81"/>
    <w:rPr>
      <w:u w:val="single"/>
    </w:rPr>
  </w:style>
  <w:style w:type="character" w:customStyle="1" w:styleId="BoldandItalics">
    <w:name w:val="Bold and Italics"/>
    <w:qFormat/>
    <w:rsid w:val="002C2E81"/>
    <w:rPr>
      <w:b/>
      <w:i/>
      <w:u w:val="none"/>
    </w:rPr>
  </w:style>
  <w:style w:type="paragraph" w:styleId="BalloonText">
    <w:name w:val="Balloon Text"/>
    <w:basedOn w:val="Normal"/>
    <w:link w:val="BalloonTextChar"/>
    <w:rsid w:val="002C2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E81"/>
    <w:pPr>
      <w:spacing w:before="0" w:after="0"/>
    </w:pPr>
  </w:style>
  <w:style w:type="paragraph" w:customStyle="1" w:styleId="BodyTextBold">
    <w:name w:val="Body Text Bold"/>
    <w:basedOn w:val="BodyText"/>
    <w:qFormat/>
    <w:rsid w:val="002C2E81"/>
    <w:rPr>
      <w:b/>
    </w:rPr>
  </w:style>
  <w:style w:type="character" w:styleId="Hyperlink">
    <w:name w:val="Hyperlink"/>
    <w:basedOn w:val="DefaultParagraphFont"/>
    <w:uiPriority w:val="99"/>
    <w:unhideWhenUsed/>
    <w:rsid w:val="008A07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5522</Characters>
  <Application>Microsoft Office Word</Application>
  <DocSecurity>0</DocSecurity>
  <Lines>220</Lines>
  <Paragraphs>104</Paragraphs>
  <ScaleCrop>false</ScaleCrop>
  <Company>Author-it Software Corporation Ltd.</Company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UEEEC0008 Commission large fire protection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