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A08" w:rsidP="003F4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UEEEC0007 Commission electronics and communications systems</w:t>
      </w:r>
      <w:r>
        <w:fldChar w:fldCharType="end"/>
      </w:r>
    </w:p>
    <w:p w:rsidR="003F4A08" w:rsidP="003F4A08">
      <w:pPr>
        <w:pStyle w:val="Version"/>
        <w:sectPr w:rsidSect="00CD3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100" w:rsidP="00CD3100">
      <w:pPr>
        <w:pStyle w:val="SuperHeading"/>
      </w:pPr>
      <w:r w:rsidRPr="00CD3100">
        <w:t>UEEEC0007 Commission electronics and communications systems</w:t>
      </w:r>
    </w:p>
    <w:p w:rsidR="00000000" w:rsidRPr="00CD3100" w:rsidP="00CD3100">
      <w:pPr>
        <w:pStyle w:val="Heading1"/>
      </w:pPr>
      <w:bookmarkStart w:id="1" w:name="O_1079704"/>
      <w:bookmarkEnd w:id="1"/>
      <w:r w:rsidRPr="00CD31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t>Release 1. This is the first release of this unit of competency in the UEE Electrotechnology Training Package.</w:t>
            </w:r>
          </w:p>
        </w:tc>
      </w:tr>
    </w:tbl>
    <w:p w:rsidR="00000000" w:rsidRPr="00CD3100" w:rsidP="00CD3100">
      <w:pPr>
        <w:pStyle w:val="NoPaddingFontSize1"/>
      </w:pPr>
    </w:p>
    <w:p w:rsidR="00000000" w:rsidRPr="00CD3100" w:rsidP="00CD3100">
      <w:pPr>
        <w:pStyle w:val="AllowPageBreak"/>
      </w:pPr>
    </w:p>
    <w:p w:rsidR="00000000" w:rsidRPr="00CD3100" w:rsidP="00CD3100">
      <w:pPr>
        <w:pStyle w:val="Heading1"/>
      </w:pPr>
      <w:bookmarkStart w:id="2" w:name="O_1079705"/>
      <w:bookmarkEnd w:id="2"/>
      <w:r w:rsidRPr="00CD31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t>This unit involves the skills and knowledge required to commission electr</w:t>
            </w:r>
            <w:r w:rsidRPr="00CD3100">
              <w:t>onics and communications systems.</w:t>
            </w:r>
          </w:p>
          <w:p w:rsidR="00000000" w:rsidRPr="00CD3100" w:rsidP="00CD3100">
            <w:pPr>
              <w:pStyle w:val="BodyText"/>
            </w:pPr>
            <w:r w:rsidRPr="00CD3100">
              <w:t>It includes undertaking commissioning procedures of electronics and communications systems to comply with predetermined parameters and delivery to client. It also includes working safely, testing system parameters, analysi</w:t>
            </w:r>
            <w:r w:rsidRPr="00CD3100">
              <w:t>ng and adjusting to assure optimum performance, following workplace procedures, and documenting final operating parameters and settings.</w:t>
            </w:r>
          </w:p>
          <w:p w:rsidR="00000000" w:rsidRPr="00CD3100" w:rsidP="00CD3100">
            <w:pPr>
              <w:pStyle w:val="BodyText"/>
            </w:pPr>
            <w:r w:rsidRPr="00CD3100">
              <w:t>Permits may be required for some work environments, such as confined spaces, working aloft, near live electrical appara</w:t>
            </w:r>
            <w:r w:rsidRPr="00CD3100">
              <w:t>tus and site rehabilitation.</w:t>
            </w:r>
          </w:p>
          <w:p w:rsidR="00000000" w:rsidRPr="00CD3100" w:rsidP="00CD3100">
            <w:pPr>
              <w:pStyle w:val="BodyText"/>
            </w:pPr>
            <w:r w:rsidRPr="00CD3100">
              <w:t>No licensing, legislative or certification requirements apply to this unit at the time of publication.</w:t>
            </w:r>
          </w:p>
        </w:tc>
      </w:tr>
    </w:tbl>
    <w:p w:rsidR="00000000" w:rsidRPr="00CD3100" w:rsidP="00CD3100">
      <w:pPr>
        <w:pStyle w:val="NoPaddingFontSize1"/>
      </w:pPr>
    </w:p>
    <w:p w:rsidR="00000000" w:rsidRPr="00CD3100" w:rsidP="00CD3100">
      <w:pPr>
        <w:pStyle w:val="AllowPageBreak"/>
      </w:pPr>
    </w:p>
    <w:p w:rsidR="00000000" w:rsidRPr="00CD3100" w:rsidP="00CD3100">
      <w:pPr>
        <w:pStyle w:val="Heading1"/>
      </w:pPr>
      <w:bookmarkStart w:id="3" w:name="O_1079706"/>
      <w:bookmarkEnd w:id="3"/>
      <w:r w:rsidRPr="00CD31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t>Not applicable</w:t>
            </w:r>
          </w:p>
        </w:tc>
      </w:tr>
    </w:tbl>
    <w:p w:rsidR="00000000" w:rsidRPr="00CD3100" w:rsidP="00CD3100">
      <w:pPr>
        <w:pStyle w:val="NoPaddingFontSize1"/>
      </w:pPr>
    </w:p>
    <w:p w:rsidR="00000000" w:rsidRPr="00CD3100" w:rsidP="00CD3100">
      <w:pPr>
        <w:pStyle w:val="AllowPageBreak"/>
      </w:pPr>
    </w:p>
    <w:p w:rsidR="00000000" w:rsidRPr="00CD3100" w:rsidP="00CD3100">
      <w:pPr>
        <w:pStyle w:val="Heading1"/>
      </w:pPr>
      <w:bookmarkStart w:id="4" w:name="O_1079707"/>
      <w:bookmarkEnd w:id="4"/>
      <w:r w:rsidRPr="00CD31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t>Electronics and Communications</w:t>
            </w:r>
          </w:p>
        </w:tc>
      </w:tr>
    </w:tbl>
    <w:p w:rsidR="00000000" w:rsidRPr="00CD3100" w:rsidP="00CD3100">
      <w:pPr>
        <w:pStyle w:val="NoPaddingFontSize1"/>
      </w:pPr>
    </w:p>
    <w:p w:rsidR="00000000" w:rsidRPr="00CD3100" w:rsidP="00CD3100">
      <w:pPr>
        <w:pStyle w:val="AllowPageBreak"/>
      </w:pPr>
    </w:p>
    <w:p w:rsidR="00000000" w:rsidRPr="00CD3100" w:rsidP="00CD3100">
      <w:pPr>
        <w:pStyle w:val="Heading1"/>
      </w:pPr>
      <w:bookmarkStart w:id="5" w:name="O_1079708"/>
      <w:bookmarkEnd w:id="5"/>
      <w:r w:rsidRPr="00CD31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t>Electrotechnology</w:t>
            </w:r>
          </w:p>
        </w:tc>
      </w:tr>
    </w:tbl>
    <w:p w:rsidR="00000000" w:rsidRPr="00CD3100" w:rsidP="00CD3100">
      <w:pPr>
        <w:pStyle w:val="NoPaddingFontSize1"/>
      </w:pPr>
    </w:p>
    <w:p w:rsidR="00000000" w:rsidRPr="00CD3100" w:rsidP="00CD3100">
      <w:pPr>
        <w:pStyle w:val="AllowPageBreak"/>
      </w:pPr>
    </w:p>
    <w:p w:rsidR="00000000" w:rsidRPr="00CD3100" w:rsidP="00CD3100">
      <w:pPr>
        <w:pStyle w:val="Heading1"/>
      </w:pPr>
      <w:bookmarkStart w:id="6" w:name="O_1079709"/>
      <w:bookmarkEnd w:id="6"/>
      <w:r w:rsidRPr="00CD310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PERFORMANCE CRITERIA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Performance criteria describe the performance needed to demonstrate achievement of the element.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rPr>
                <w:rStyle w:val="SpecialBold"/>
              </w:rPr>
              <w:t xml:space="preserve">Prepare electronics and </w:t>
            </w:r>
            <w:r w:rsidRPr="00CD3100">
              <w:rPr>
                <w:rStyle w:val="SpecialBold"/>
              </w:rPr>
              <w:t>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 xml:space="preserve">Work health and safety (WHS)/occupational health and safety (OHS) requirements and workplace procedures </w:t>
            </w:r>
            <w:r w:rsidRPr="00CD3100">
              <w:t>for a given work area are obtained and applied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WHS/OHS risk control measures and workplace procedures in preparation for the electronics work are</w:t>
            </w:r>
            <w:r w:rsidRPr="00CD3100">
              <w:t xml:space="preserve"> followed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Safety hazards that have not previously been identified are noted on job safety assessment, assessed and risk control measures implemented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Appropriate person/s is consulted to ensure the electronics work is coordinated effectively with others involved on the worksite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System operating parameters are identified by reviewing system specifications and component technical data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Tools,</w:t>
            </w:r>
            <w:r w:rsidRPr="00CD3100">
              <w:t xml:space="preserve"> equipment and testing devices needed for the electronics work are obtained in accordance with workplace procedures and checked for correct operation and safety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Preparatory work is checked to ensure no unnecessary damage has occurred and complies wi</w:t>
            </w:r>
            <w:r w:rsidRPr="00CD3100">
              <w:t>th requirements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Circuits are checked and isolated in accordance with WHS/OHS requirements and workplace procedures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rPr>
                <w:rStyle w:val="SpecialBold"/>
              </w:rPr>
              <w:t>Commission electronics and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WHS/OHS risk control measures and workplace procedures for carrying out commissioning work are followed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Testing/measuring devices are connected and set up in accordance with job requirements for the communication system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Measurements and adjus</w:t>
            </w:r>
            <w:r w:rsidRPr="00CD3100">
              <w:t>tments are made to electronics and communications equipment to provide optimum system performance in accordance with system specifications and/or regulatory requirements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Unplanned situations are responded to in accorda</w:t>
            </w:r>
            <w:r w:rsidRPr="00CD3100">
              <w:t>nce with workplace procedures in a manner that minimises risk to personnel and equipment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Methods for dealing with unexpected situations are selected on the basis of safety and specified work outcomes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 xml:space="preserve">System commissioning workplace procedures </w:t>
            </w:r>
            <w:r w:rsidRPr="00CD3100">
              <w:t>are performed in accordance with job requirements and industry standards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Commissioning is carried out efficiently without unnecessary waste of materials or damage to electronic apparatus, the surrounding environment or services using sustainable ene</w:t>
            </w:r>
            <w:r w:rsidRPr="00CD3100">
              <w:t>rgy principles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rPr>
                <w:rStyle w:val="SpecialBold"/>
              </w:rPr>
              <w:t>Complete and report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WHS/OHS risk control work completion measures and workplace procedures are followed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Adjustment settings are documented in accordance with workplace procedures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Worksite is cleaned and made safe in accordance with workplace procedures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t>Commissioning results and work completion are communicated to appropriate person/s in accordance with established procedures</w:t>
            </w:r>
          </w:p>
        </w:tc>
      </w:tr>
    </w:tbl>
    <w:p w:rsidR="00000000" w:rsidRPr="00CD3100" w:rsidP="00CD3100">
      <w:pPr>
        <w:pStyle w:val="NoPaddingFontSize1"/>
      </w:pPr>
    </w:p>
    <w:p w:rsidR="00000000" w:rsidRPr="00CD3100" w:rsidP="00CD3100">
      <w:pPr>
        <w:pStyle w:val="AllowPageBreak"/>
      </w:pPr>
    </w:p>
    <w:p w:rsidR="00000000" w:rsidRPr="00CD3100" w:rsidP="00CD3100">
      <w:pPr>
        <w:pStyle w:val="Heading1"/>
      </w:pPr>
      <w:bookmarkStart w:id="7" w:name="O_1079710"/>
      <w:bookmarkEnd w:id="7"/>
      <w:r w:rsidRPr="00CD31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t xml:space="preserve">Foundation </w:t>
            </w:r>
            <w:r w:rsidRPr="00CD3100">
              <w:t>skills essential to performance are explicit in the performance criteria of this unit of competency.</w:t>
            </w:r>
          </w:p>
        </w:tc>
      </w:tr>
    </w:tbl>
    <w:p w:rsidR="00000000" w:rsidRPr="00CD3100" w:rsidP="00CD3100">
      <w:pPr>
        <w:pStyle w:val="NoPaddingFontSize1"/>
      </w:pPr>
    </w:p>
    <w:p w:rsidR="00000000" w:rsidRPr="00CD3100" w:rsidP="00CD3100">
      <w:pPr>
        <w:pStyle w:val="AllowPageBreak"/>
      </w:pPr>
    </w:p>
    <w:p w:rsidR="00000000" w:rsidRPr="00CD3100" w:rsidP="00CD3100">
      <w:pPr>
        <w:pStyle w:val="Heading1"/>
      </w:pPr>
      <w:bookmarkStart w:id="8" w:name="O_1079711"/>
      <w:bookmarkEnd w:id="8"/>
      <w:r w:rsidRPr="00CD31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t>Range is restricted to essential operating conditions and any other variables essential to the work environment.</w:t>
            </w:r>
          </w:p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Non-essential conditions may be found in the UEE Electrotechnology Training Package Companion Volume Implementation Guide.</w:t>
            </w:r>
          </w:p>
        </w:tc>
      </w:tr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100">
            <w:pPr>
              <w:pStyle w:val="BodyText"/>
              <w:rPr>
                <w:lang w:val="en-NZ"/>
              </w:rPr>
            </w:pPr>
            <w:r w:rsidRPr="00CD3100">
              <w:t>Commissioning electronics and communications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ListBullet"/>
            </w:pPr>
            <w:r w:rsidRPr="00CD3100">
              <w:t>two different types of electronics and c</w:t>
            </w:r>
            <w:r w:rsidRPr="00CD3100">
              <w:t>ommunications systems</w:t>
            </w:r>
          </w:p>
        </w:tc>
      </w:tr>
    </w:tbl>
    <w:p w:rsidR="00000000" w:rsidRPr="00CD3100" w:rsidP="00CD3100">
      <w:pPr>
        <w:pStyle w:val="NoPaddingFontSize1"/>
      </w:pPr>
    </w:p>
    <w:p w:rsidR="00000000" w:rsidRPr="00CD3100" w:rsidP="00CD3100">
      <w:pPr>
        <w:pStyle w:val="AllowPageBreak"/>
      </w:pPr>
    </w:p>
    <w:p w:rsidR="00000000" w:rsidRPr="00CD3100" w:rsidP="00CD3100">
      <w:pPr>
        <w:pStyle w:val="Heading1"/>
      </w:pPr>
      <w:bookmarkStart w:id="9" w:name="O_1079712"/>
      <w:bookmarkEnd w:id="9"/>
      <w:r w:rsidRPr="00CD31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31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100" w:rsidP="00CD3100">
            <w:pPr>
              <w:pStyle w:val="BodyText"/>
            </w:pPr>
            <w:r w:rsidRPr="00CD3100">
              <w:t>This unit replaces and is equivalent to UEENEEH167A Commission electronics and communications systems.</w:t>
            </w:r>
          </w:p>
        </w:tc>
      </w:tr>
    </w:tbl>
    <w:p w:rsidR="00000000" w:rsidRPr="00CD3100" w:rsidP="00CD3100">
      <w:pPr>
        <w:pStyle w:val="NoPaddingFontSize1"/>
      </w:pPr>
    </w:p>
    <w:p w:rsidR="00000000" w:rsidRPr="00CD3100" w:rsidP="00CD3100">
      <w:pPr>
        <w:pStyle w:val="AllowPageBreak"/>
      </w:pPr>
    </w:p>
    <w:p w:rsidR="00000000" w:rsidRPr="00CD3100" w:rsidP="00CD3100">
      <w:pPr>
        <w:pStyle w:val="Heading1"/>
      </w:pPr>
      <w:bookmarkStart w:id="10" w:name="O_1079719"/>
      <w:bookmarkEnd w:id="10"/>
      <w:r w:rsidRPr="00CD3100">
        <w:t>Links</w:t>
      </w:r>
    </w:p>
    <w:p w:rsidR="00000000" w:rsidRPr="00CD3100" w:rsidP="003F4A08">
      <w:pPr>
        <w:pStyle w:val="BodyText"/>
      </w:pPr>
      <w:r w:rsidRPr="00CD310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4057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D3100" w:rsidP="00CD3100"/>
    <w:sectPr w:rsidSect="00CD31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100" w:rsidRPr="003F4A08" w:rsidP="003F4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08" w:rsidP="00CD3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A08" w:rsidP="00CD3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F4A08" w:rsidP="00CD3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100" w:rsidRPr="003F4A08" w:rsidP="003F4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08" w:rsidRPr="002D2AF8" w:rsidP="00CD3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UEEEC0007 Commission electronics and communications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F4A08" w:rsidP="00CD3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427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AA6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100"/>
  </w:style>
  <w:style w:type="character" w:customStyle="1" w:styleId="Heading1Char">
    <w:name w:val="Heading 1 Char"/>
    <w:basedOn w:val="DefaultParagraphFont"/>
    <w:link w:val="Heading1"/>
    <w:rsid w:val="00CD3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1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100"/>
    <w:rPr>
      <w:b/>
      <w:spacing w:val="0"/>
    </w:rPr>
  </w:style>
  <w:style w:type="paragraph" w:customStyle="1" w:styleId="SuperHeading">
    <w:name w:val="SuperHeading"/>
    <w:basedOn w:val="Normal"/>
    <w:rsid w:val="00CD3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3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1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100"/>
    <w:rPr>
      <w:i/>
    </w:rPr>
  </w:style>
  <w:style w:type="paragraph" w:styleId="Caption">
    <w:name w:val="caption"/>
    <w:basedOn w:val="BodyText"/>
    <w:next w:val="Normal"/>
    <w:qFormat/>
    <w:rsid w:val="00CD3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100"/>
  </w:style>
  <w:style w:type="paragraph" w:styleId="TableofFigures">
    <w:name w:val="table of figures"/>
    <w:basedOn w:val="Normal"/>
    <w:next w:val="Normal"/>
    <w:semiHidden/>
    <w:rsid w:val="00CD3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1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3100"/>
    <w:rPr>
      <w:rFonts w:ascii="Wingdings" w:hAnsi="Wingdings"/>
    </w:rPr>
  </w:style>
  <w:style w:type="paragraph" w:customStyle="1" w:styleId="TableHeading">
    <w:name w:val="Table Heading"/>
    <w:basedOn w:val="HeadingBase"/>
    <w:rsid w:val="00CD3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100"/>
    <w:rPr>
      <w:color w:val="0033CC"/>
      <w:u w:val="none"/>
    </w:rPr>
  </w:style>
  <w:style w:type="paragraph" w:customStyle="1" w:styleId="BodyTextRight">
    <w:name w:val="Body Text Right"/>
    <w:basedOn w:val="BodyText"/>
    <w:rsid w:val="00CD3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1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100"/>
    <w:rPr>
      <w:sz w:val="32"/>
    </w:rPr>
  </w:style>
  <w:style w:type="paragraph" w:customStyle="1" w:styleId="HeadingProcedure">
    <w:name w:val="Heading Procedure"/>
    <w:basedOn w:val="HeadingBase"/>
    <w:next w:val="Normal"/>
    <w:rsid w:val="00CD3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100"/>
    <w:pPr>
      <w:spacing w:before="60" w:after="60"/>
    </w:pPr>
  </w:style>
  <w:style w:type="paragraph" w:styleId="ListContinue">
    <w:name w:val="List Continue"/>
    <w:basedOn w:val="List"/>
    <w:rsid w:val="00CD3100"/>
    <w:pPr>
      <w:ind w:firstLine="0"/>
    </w:pPr>
  </w:style>
  <w:style w:type="paragraph" w:customStyle="1" w:styleId="ListNote">
    <w:name w:val="List Note"/>
    <w:basedOn w:val="List"/>
    <w:rsid w:val="00CD3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100"/>
    <w:rPr>
      <w:rFonts w:ascii="Courier New" w:hAnsi="Courier New"/>
    </w:rPr>
  </w:style>
  <w:style w:type="paragraph" w:customStyle="1" w:styleId="NoteBullet">
    <w:name w:val="Note Bullet"/>
    <w:basedOn w:val="Note"/>
    <w:rsid w:val="00CD3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1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3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100"/>
    <w:rPr>
      <w:b/>
      <w:smallCaps/>
    </w:rPr>
  </w:style>
  <w:style w:type="paragraph" w:customStyle="1" w:styleId="TableListNumber">
    <w:name w:val="Table List Number"/>
    <w:basedOn w:val="ListNumber"/>
    <w:rsid w:val="00CD3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100"/>
    <w:pPr>
      <w:numPr>
        <w:numId w:val="8"/>
      </w:numPr>
    </w:pPr>
  </w:style>
  <w:style w:type="paragraph" w:customStyle="1" w:styleId="ListAlpha2">
    <w:name w:val="List Alpha 2"/>
    <w:basedOn w:val="List2"/>
    <w:rsid w:val="00CD3100"/>
    <w:pPr>
      <w:numPr>
        <w:numId w:val="7"/>
      </w:numPr>
    </w:pPr>
  </w:style>
  <w:style w:type="paragraph" w:styleId="List2">
    <w:name w:val="List 2"/>
    <w:basedOn w:val="BodyText"/>
    <w:rsid w:val="00CD3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1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1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3100"/>
    <w:pPr>
      <w:numPr>
        <w:numId w:val="3"/>
      </w:numPr>
    </w:pPr>
  </w:style>
  <w:style w:type="paragraph" w:styleId="ListContinue2">
    <w:name w:val="List Continue 2"/>
    <w:basedOn w:val="List2"/>
    <w:rsid w:val="00CD3100"/>
    <w:pPr>
      <w:ind w:firstLine="0"/>
    </w:pPr>
  </w:style>
  <w:style w:type="paragraph" w:styleId="ListContinue3">
    <w:name w:val="List Continue 3"/>
    <w:basedOn w:val="List3"/>
    <w:rsid w:val="00CD3100"/>
    <w:pPr>
      <w:ind w:left="1021" w:firstLine="0"/>
    </w:pPr>
  </w:style>
  <w:style w:type="paragraph" w:styleId="ListContinue4">
    <w:name w:val="List Continue 4"/>
    <w:basedOn w:val="List4"/>
    <w:rsid w:val="00CD3100"/>
    <w:pPr>
      <w:ind w:firstLine="0"/>
    </w:pPr>
  </w:style>
  <w:style w:type="paragraph" w:styleId="ListContinue5">
    <w:name w:val="List Continue 5"/>
    <w:basedOn w:val="List5"/>
    <w:rsid w:val="00CD3100"/>
    <w:pPr>
      <w:ind w:firstLine="0"/>
    </w:pPr>
  </w:style>
  <w:style w:type="paragraph" w:styleId="ListNumber3">
    <w:name w:val="List Number 3"/>
    <w:basedOn w:val="List3"/>
    <w:rsid w:val="00CD3100"/>
    <w:pPr>
      <w:numPr>
        <w:numId w:val="4"/>
      </w:numPr>
    </w:pPr>
  </w:style>
  <w:style w:type="paragraph" w:styleId="ListNumber4">
    <w:name w:val="List Number 4"/>
    <w:basedOn w:val="List4"/>
    <w:rsid w:val="00CD3100"/>
    <w:pPr>
      <w:numPr>
        <w:numId w:val="5"/>
      </w:numPr>
    </w:pPr>
  </w:style>
  <w:style w:type="paragraph" w:styleId="ListNumber5">
    <w:name w:val="List Number 5"/>
    <w:basedOn w:val="List5"/>
    <w:rsid w:val="00CD3100"/>
    <w:pPr>
      <w:numPr>
        <w:numId w:val="6"/>
      </w:numPr>
    </w:pPr>
  </w:style>
  <w:style w:type="paragraph" w:styleId="BlockText">
    <w:name w:val="Block Text"/>
    <w:basedOn w:val="Normal"/>
    <w:rsid w:val="00CD3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100"/>
    <w:rPr>
      <w:sz w:val="16"/>
      <w:vertAlign w:val="superscript"/>
    </w:rPr>
  </w:style>
  <w:style w:type="character" w:customStyle="1" w:styleId="Symbols">
    <w:name w:val="Symbols"/>
    <w:basedOn w:val="DefaultParagraphFont"/>
    <w:rsid w:val="00CD3100"/>
    <w:rPr>
      <w:rFonts w:ascii="Symbol" w:hAnsi="Symbol"/>
    </w:rPr>
  </w:style>
  <w:style w:type="character" w:customStyle="1" w:styleId="MenuOptions">
    <w:name w:val="Menu Options"/>
    <w:basedOn w:val="DefaultParagraphFont"/>
    <w:rsid w:val="00CD3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100"/>
    <w:rPr>
      <w:b/>
    </w:rPr>
  </w:style>
  <w:style w:type="character" w:customStyle="1" w:styleId="Underlined">
    <w:name w:val="Underlined"/>
    <w:basedOn w:val="DefaultParagraphFont"/>
    <w:rsid w:val="00CD3100"/>
    <w:rPr>
      <w:u w:val="single"/>
    </w:rPr>
  </w:style>
  <w:style w:type="paragraph" w:customStyle="1" w:styleId="TableBodyTextRight">
    <w:name w:val="Table Body Text Right"/>
    <w:basedOn w:val="TableBodyText"/>
    <w:rsid w:val="00CD3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100"/>
    <w:rPr>
      <w:sz w:val="18"/>
    </w:rPr>
  </w:style>
  <w:style w:type="paragraph" w:customStyle="1" w:styleId="BodySmallRight">
    <w:name w:val="Body Small Right"/>
    <w:basedOn w:val="BodyTextRight"/>
    <w:rsid w:val="00CD3100"/>
    <w:rPr>
      <w:sz w:val="18"/>
      <w:szCs w:val="18"/>
    </w:rPr>
  </w:style>
  <w:style w:type="paragraph" w:customStyle="1" w:styleId="MarginEdition">
    <w:name w:val="Margin Edition"/>
    <w:basedOn w:val="MarginNote"/>
    <w:rsid w:val="00CD3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100"/>
    <w:rPr>
      <w:sz w:val="2"/>
      <w:szCs w:val="2"/>
    </w:rPr>
  </w:style>
  <w:style w:type="character" w:customStyle="1" w:styleId="Small">
    <w:name w:val="Small"/>
    <w:basedOn w:val="DefaultParagraphFont"/>
    <w:rsid w:val="00CD3100"/>
    <w:rPr>
      <w:sz w:val="16"/>
    </w:rPr>
  </w:style>
  <w:style w:type="paragraph" w:customStyle="1" w:styleId="WideTable">
    <w:name w:val="Wide Table"/>
    <w:basedOn w:val="Normal"/>
    <w:rsid w:val="00CD3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100"/>
  </w:style>
  <w:style w:type="paragraph" w:styleId="Quote">
    <w:name w:val="Quote"/>
    <w:basedOn w:val="Heading1"/>
    <w:link w:val="QuoteChar"/>
    <w:qFormat/>
    <w:rsid w:val="00CD3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100"/>
    <w:pPr>
      <w:pageBreakBefore/>
    </w:pPr>
  </w:style>
  <w:style w:type="paragraph" w:customStyle="1" w:styleId="Border">
    <w:name w:val="Border"/>
    <w:basedOn w:val="Normal"/>
    <w:qFormat/>
    <w:rsid w:val="00CD3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100"/>
    <w:rPr>
      <w:u w:val="single"/>
    </w:rPr>
  </w:style>
  <w:style w:type="character" w:customStyle="1" w:styleId="BoldandItalics">
    <w:name w:val="Bold and Italics"/>
    <w:qFormat/>
    <w:rsid w:val="00CD3100"/>
    <w:rPr>
      <w:b/>
      <w:i/>
      <w:u w:val="none"/>
    </w:rPr>
  </w:style>
  <w:style w:type="paragraph" w:styleId="BalloonText">
    <w:name w:val="Balloon Text"/>
    <w:basedOn w:val="Normal"/>
    <w:link w:val="BalloonTextChar"/>
    <w:rsid w:val="00CD3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100"/>
    <w:pPr>
      <w:spacing w:before="0" w:after="0"/>
    </w:pPr>
  </w:style>
  <w:style w:type="paragraph" w:customStyle="1" w:styleId="BodyTextBold">
    <w:name w:val="Body Text Bold"/>
    <w:basedOn w:val="BodyText"/>
    <w:qFormat/>
    <w:rsid w:val="00CD3100"/>
    <w:rPr>
      <w:b/>
    </w:rPr>
  </w:style>
  <w:style w:type="character" w:styleId="Hyperlink">
    <w:name w:val="Hyperlink"/>
    <w:basedOn w:val="DefaultParagraphFont"/>
    <w:uiPriority w:val="99"/>
    <w:unhideWhenUsed/>
    <w:rsid w:val="003F4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648</Words>
  <Characters>4280</Characters>
  <Application>Microsoft Office Word</Application>
  <DocSecurity>0</DocSecurity>
  <Lines>194</Lines>
  <Paragraphs>91</Paragraphs>
  <ScaleCrop>false</ScaleCrop>
  <Company>Author-it Software Corporation Ltd.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UEEEC0007 Commission electronics and communications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