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991" w:rsidP="00587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UEEEC0005 Assess electronic apparatus compliance</w:t>
      </w:r>
      <w:r>
        <w:fldChar w:fldCharType="end"/>
      </w:r>
    </w:p>
    <w:p w:rsidR="00587991" w:rsidP="00587991">
      <w:pPr>
        <w:pStyle w:val="Version"/>
        <w:sectPr w:rsidSect="00C25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1C5" w:rsidP="00C251C5">
      <w:pPr>
        <w:pStyle w:val="SuperHeading"/>
      </w:pPr>
      <w:r w:rsidRPr="00C251C5">
        <w:t>UEEEC0005 Assess electronic apparatus compliance</w:t>
      </w:r>
    </w:p>
    <w:p w:rsidR="00000000" w:rsidRPr="00C251C5" w:rsidP="00C251C5">
      <w:pPr>
        <w:pStyle w:val="Heading1"/>
      </w:pPr>
      <w:bookmarkStart w:id="1" w:name="O_1079666"/>
      <w:bookmarkEnd w:id="1"/>
      <w:r w:rsidRPr="00C251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Release 1. This is the first release of this unit of competency in the UEE Electrotechnology Training Package.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2" w:name="O_1079667"/>
      <w:bookmarkEnd w:id="2"/>
      <w:r w:rsidRPr="00C251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This unit involves the skills and knowledge required to assess electronic apparatu</w:t>
            </w:r>
            <w:r w:rsidRPr="00C251C5">
              <w:t>s compliance with relevant industry standards and regulations for certification or approval.</w:t>
            </w:r>
          </w:p>
          <w:p w:rsidR="00000000" w:rsidRPr="00C251C5" w:rsidP="00C251C5">
            <w:pPr>
              <w:pStyle w:val="BodyText"/>
            </w:pPr>
            <w:r w:rsidRPr="00C251C5">
              <w:t>It includes preparing and evaluating electronic apparatus in determining specified compliance requirements, inspecting and setting up performance tests, evaluating</w:t>
            </w:r>
            <w:r w:rsidRPr="00C251C5">
              <w:t xml:space="preserve"> inspection and test results, and documenting evaluation outcomes.</w:t>
            </w:r>
          </w:p>
          <w:p w:rsidR="00000000" w:rsidRPr="00C251C5" w:rsidP="00C251C5">
            <w:pPr>
              <w:pStyle w:val="BodyText"/>
            </w:pPr>
            <w:r w:rsidRPr="00C251C5">
              <w:t xml:space="preserve">The skills and knowledge described in this unit require a licence or permit to practice in the workplace where work is carried out on electrical installations which are designed to operate </w:t>
            </w:r>
            <w:r w:rsidRPr="00C251C5">
              <w:t xml:space="preserve">at voltages greater than 50 volt (V) alternating current (a.c.) or 120 V direct current (d.c.). </w:t>
            </w:r>
          </w:p>
          <w:p w:rsidR="00000000" w:rsidRPr="00C251C5" w:rsidP="00C251C5">
            <w:pPr>
              <w:pStyle w:val="BodyText"/>
            </w:pPr>
            <w:r w:rsidRPr="00C251C5">
              <w:t>Competency development activities in this unit are subject to regulations directly related to licensing. Where a licence or permit to practice is not held, ski</w:t>
            </w:r>
            <w:r w:rsidRPr="00C251C5">
              <w:t xml:space="preserve">lls and knowledge described in this unit require a relevant contract of training, such as an Australian Apprenticeship. </w:t>
            </w:r>
          </w:p>
          <w:p w:rsidR="00000000" w:rsidRPr="00C251C5" w:rsidP="00C251C5">
            <w:pPr>
              <w:pStyle w:val="BodyText"/>
            </w:pPr>
            <w:r w:rsidRPr="00C251C5">
              <w:t>Additional and/or other conditions may apply in some jurisdictions subject to regulations related to electrical work. Practice in the w</w:t>
            </w:r>
            <w:r w:rsidRPr="00C251C5">
              <w:t>orkplace and during training is also subject to work health and safety (WHS)/occupational health and safety (OHS) regulations.</w:t>
            </w:r>
          </w:p>
          <w:p w:rsidR="00000000" w:rsidRPr="00C251C5" w:rsidP="00C251C5">
            <w:pPr>
              <w:pStyle w:val="BodyText"/>
            </w:pPr>
            <w:r w:rsidRPr="00C251C5">
              <w:t>Permits may also be required for some work environments, such as confined spaces, working aloft, near live electrical apparatus a</w:t>
            </w:r>
            <w:r w:rsidRPr="00C251C5">
              <w:t>nd site rehabilitation</w:t>
            </w:r>
          </w:p>
          <w:p w:rsidR="00000000" w:rsidRPr="00C251C5" w:rsidP="00C251C5">
            <w:pPr>
              <w:pStyle w:val="BodyText"/>
            </w:pPr>
            <w:r w:rsidRPr="00C251C5">
              <w:t>No other licensing, legislative or certification requirements apply to this unit at the time of publication.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3" w:name="O_1079668"/>
      <w:bookmarkEnd w:id="3"/>
      <w:r w:rsidRPr="00C251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 xml:space="preserve"> Not applicable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4" w:name="O_1079669"/>
      <w:bookmarkEnd w:id="4"/>
      <w:r w:rsidRPr="00C251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Electronics and Communications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5" w:name="O_1079670"/>
      <w:bookmarkEnd w:id="5"/>
      <w:r w:rsidRPr="00C251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Electrotechnology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6" w:name="O_1079671"/>
      <w:bookmarkEnd w:id="6"/>
      <w:r w:rsidRPr="00C251C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PERFORMANCE CRITERIA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Performance criteria describe the performance needed to demonstrate achievement of the element.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Prepare to evaluate electronic apparatus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WHS/OHS processes and workplace procedures for a given work area are identified, obtained and appli</w:t>
            </w:r>
            <w:r w:rsidRPr="00C251C5">
              <w:t>ed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Hazards are identified, WHS/OHS risks are assessed, and control measures and workplace procedures are implemented in preparation for work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Examination and testing areas are checked for safety hazards and risk control measures are implemented in accordance with workplace safety policy and procedures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Relevant documentation is obtained and read to determine the certification/approval spec</w:t>
            </w:r>
            <w:r w:rsidRPr="00C251C5">
              <w:t>ifications for which the apparatus/equipment is to be assessed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Advice is sought from the relevant supervisor to ensure work is coordinated effectively with others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 xml:space="preserve">Tools, testing devices and materials needed to carry out work are obtained and </w:t>
            </w:r>
            <w:r w:rsidRPr="00C251C5">
              <w:t>checked for correct operation and safety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Evaluate electronic apparatus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WHS/OHS risk control measures and workplace procedures for carrying out evaluation work are followed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Need to inspect, test or measure live work is determined in accordance with WHS/OHS requirements and workplace safety procedures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Circuits/machines/plant are checked and isolated in accordance with WHS/OHS requirements and workplace procedures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Operating requirements of the electronic apparatus are identified and applied to the assessment process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Apparatus examination, inspection and tests are set up in accordance with certification/approval specifications, test methods and workplace proc</w:t>
            </w:r>
            <w:r w:rsidRPr="00C251C5">
              <w:t xml:space="preserve">edures 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Apparatus examination, inspection and tests are carried out methodically with results and comments systematically documented in accordance with certification/approval specification requirements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Unplanned situations are dealt with safely and with the approval of an authorised person/s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Assessment is carried out without unnecessary damage to apparatus, circuits, the surrounding environment or services using sustainable energy practices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rPr>
                <w:rStyle w:val="SpecialBold"/>
              </w:rPr>
              <w:t>Com</w:t>
            </w:r>
            <w:r w:rsidRPr="00C251C5">
              <w:rPr>
                <w:rStyle w:val="SpecialBold"/>
              </w:rPr>
              <w:t>plete work and document evaluation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WHS/OHS work completion risk control measures and procedures are followed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Worksite is cleaned and made safe in accordance with workplace procedures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Examination, inspection and test results are evaluated and non-compliance issues identified</w:t>
            </w:r>
          </w:p>
        </w:tc>
      </w:tr>
      <w:tr w:rsidTr="00C25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 xml:space="preserve">Examination, inspection, test results and comments on non-compliance issues are documented and reported to appropriate person/s in accordance with workplace </w:t>
            </w:r>
            <w:r w:rsidRPr="00C251C5">
              <w:t>procedures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7" w:name="O_1079672"/>
      <w:bookmarkEnd w:id="7"/>
      <w:r w:rsidRPr="00C251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Foundation skills essential to performance are explicit in the performance criteria of this unit of competency.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8" w:name="O_1079673"/>
      <w:bookmarkEnd w:id="8"/>
      <w:r w:rsidRPr="00C251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Range is restricted to essential operating conditions and any other variables essential to the work environment.</w:t>
            </w:r>
          </w:p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Non-essential conditions may be found in the UEE Electrotechnology Training Package Companion Volume Implementation Guide.</w:t>
            </w:r>
          </w:p>
        </w:tc>
      </w:tr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Assessing electron</w:t>
            </w:r>
            <w:r w:rsidRPr="00C251C5">
              <w:t>ic apparatus compliance must include at least two different electronic apparatus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ListBullet"/>
            </w:pPr>
            <w:r w:rsidRPr="00C251C5">
              <w:t>audio amplifiers</w:t>
            </w:r>
          </w:p>
          <w:p w:rsidR="00000000" w:rsidRPr="00C251C5" w:rsidP="00C251C5">
            <w:pPr>
              <w:pStyle w:val="ListBullet"/>
            </w:pPr>
            <w:r w:rsidRPr="00C251C5">
              <w:t>radio and televisions receivers</w:t>
            </w:r>
          </w:p>
          <w:p w:rsidR="00000000" w:rsidRPr="00C251C5" w:rsidP="00C251C5">
            <w:pPr>
              <w:pStyle w:val="ListBullet"/>
            </w:pPr>
            <w:r w:rsidRPr="00C251C5">
              <w:t>video displays</w:t>
            </w:r>
          </w:p>
          <w:p w:rsidR="00000000" w:rsidRPr="00C251C5" w:rsidP="00C251C5">
            <w:pPr>
              <w:pStyle w:val="ListBullet"/>
            </w:pPr>
            <w:r w:rsidRPr="00C251C5">
              <w:t>audio and video recording/replay devices</w:t>
            </w:r>
          </w:p>
          <w:p w:rsidR="00000000" w:rsidRPr="00C251C5" w:rsidP="00C251C5">
            <w:pPr>
              <w:pStyle w:val="ListBullet"/>
            </w:pPr>
            <w:r w:rsidRPr="00C251C5">
              <w:t>two-way radios</w:t>
            </w:r>
          </w:p>
          <w:p w:rsidR="00000000" w:rsidRPr="00C251C5" w:rsidP="00C251C5">
            <w:pPr>
              <w:pStyle w:val="ListBullet"/>
            </w:pPr>
            <w:r w:rsidRPr="00C251C5">
              <w:t>cell phones</w:t>
            </w:r>
          </w:p>
          <w:p w:rsidR="00000000" w:rsidRPr="00C251C5" w:rsidP="00C251C5">
            <w:pPr>
              <w:pStyle w:val="ListBullet"/>
            </w:pPr>
            <w:r w:rsidRPr="00C251C5">
              <w:t>instrumentation devices</w:t>
            </w:r>
          </w:p>
          <w:p w:rsidR="00000000" w:rsidRPr="00C251C5" w:rsidP="00C251C5">
            <w:pPr>
              <w:pStyle w:val="ListBullet"/>
            </w:pPr>
            <w:r w:rsidRPr="00C251C5">
              <w:t>control devices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9" w:name="O_1079674"/>
      <w:bookmarkEnd w:id="9"/>
      <w:r w:rsidRPr="00C251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This unit replaces and is equivalent to UEENEEH147A Assess electronic apparatus compliance.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10" w:name="O_1079681"/>
      <w:bookmarkEnd w:id="10"/>
      <w:r w:rsidRPr="00C251C5">
        <w:t>Links</w:t>
      </w:r>
    </w:p>
    <w:p w:rsidR="00000000" w:rsidRPr="00C251C5" w:rsidP="00587991">
      <w:pPr>
        <w:pStyle w:val="BodyText"/>
      </w:pPr>
      <w:r w:rsidRPr="00C251C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F493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251C5" w:rsidP="00587991">
      <w:pPr>
        <w:pStyle w:val="BodyText"/>
        <w:sectPr w:rsidSect="00C251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51C5" w:rsidP="00C251C5">
      <w:pPr>
        <w:pStyle w:val="SuperHeading"/>
      </w:pPr>
      <w:r w:rsidRPr="00C251C5">
        <w:t>Assessment Requirements for UEEEC0005 Assess electronic appar</w:t>
      </w:r>
      <w:r w:rsidRPr="00C251C5">
        <w:t>atus compliance</w:t>
      </w:r>
    </w:p>
    <w:p w:rsidR="00000000" w:rsidRPr="00C251C5" w:rsidP="00C251C5">
      <w:pPr>
        <w:pStyle w:val="Heading1"/>
      </w:pPr>
      <w:bookmarkStart w:id="11" w:name="O_1079676"/>
      <w:bookmarkEnd w:id="11"/>
      <w:r w:rsidRPr="00C251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Release 1. This is the first release of this unit of competency in the UEE Electrotechnology Training Package.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12" w:name="O_1079677"/>
      <w:bookmarkEnd w:id="12"/>
      <w:r w:rsidRPr="00C251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>Evidence required to demonstrate competence in t</w:t>
            </w:r>
            <w:r w:rsidRPr="00C251C5">
              <w:t xml:space="preserve">his unit must be relevant to and satisfy all of the requirements of the elements, performance criteria and range of conditions on at least two separate occasions and include: </w:t>
            </w:r>
          </w:p>
        </w:tc>
      </w:tr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ListBullet"/>
            </w:pPr>
            <w:r w:rsidRPr="00C251C5">
              <w:t xml:space="preserve">applying relevant work health and safety (WHS)/occupational health and safety </w:t>
            </w:r>
            <w:r w:rsidRPr="00C251C5">
              <w:t>(OHS) requirements, including:</w:t>
            </w:r>
          </w:p>
          <w:p w:rsidR="00000000" w:rsidRPr="00C251C5" w:rsidP="00C251C5">
            <w:pPr>
              <w:pStyle w:val="ListBullet2"/>
            </w:pPr>
            <w:r w:rsidRPr="00C251C5">
              <w:t>implementing workplace procedures and practices</w:t>
            </w:r>
          </w:p>
          <w:p w:rsidR="00000000" w:rsidRPr="00C251C5" w:rsidP="00C251C5">
            <w:pPr>
              <w:pStyle w:val="ListBullet2"/>
            </w:pPr>
            <w:r w:rsidRPr="00C251C5">
              <w:t>using risk control measures</w:t>
            </w:r>
          </w:p>
          <w:p w:rsidR="00000000" w:rsidRPr="00C251C5" w:rsidP="00C251C5">
            <w:pPr>
              <w:pStyle w:val="ListBullet"/>
            </w:pPr>
            <w:r w:rsidRPr="00C251C5">
              <w:t>applying sustainable energy principles and practices</w:t>
            </w:r>
          </w:p>
          <w:p w:rsidR="00000000" w:rsidRPr="00C251C5" w:rsidP="00C251C5">
            <w:pPr>
              <w:pStyle w:val="ListBullet"/>
            </w:pPr>
            <w:r w:rsidRPr="00C251C5">
              <w:t>identifying electronic apparatus compliance certification/approval specifications</w:t>
            </w:r>
          </w:p>
          <w:p w:rsidR="00000000" w:rsidRPr="00C251C5" w:rsidP="00C251C5">
            <w:pPr>
              <w:pStyle w:val="ListBullet"/>
            </w:pPr>
            <w:r w:rsidRPr="00C251C5">
              <w:t>interpreting compliance documents</w:t>
            </w:r>
          </w:p>
          <w:p w:rsidR="00000000" w:rsidRPr="00C251C5" w:rsidP="00C251C5">
            <w:pPr>
              <w:pStyle w:val="ListBullet"/>
            </w:pPr>
            <w:r w:rsidRPr="00C251C5">
              <w:t>setting up and conducting appropriate examinations, inspections and tests</w:t>
            </w:r>
          </w:p>
          <w:p w:rsidR="00000000" w:rsidRPr="00C251C5" w:rsidP="00C251C5">
            <w:pPr>
              <w:pStyle w:val="ListBullet"/>
            </w:pPr>
            <w:r w:rsidRPr="00C251C5">
              <w:t>evaluating electronic apparatus compliance</w:t>
            </w:r>
          </w:p>
          <w:p w:rsidR="00000000" w:rsidRPr="00C251C5" w:rsidP="00C251C5">
            <w:pPr>
              <w:pStyle w:val="ListBullet"/>
            </w:pPr>
            <w:r w:rsidRPr="00C251C5">
              <w:t>identifying non-compliance defects</w:t>
            </w:r>
          </w:p>
          <w:p w:rsidR="00000000" w:rsidRPr="00C251C5" w:rsidP="00C251C5">
            <w:pPr>
              <w:pStyle w:val="ListBullet"/>
            </w:pPr>
            <w:r w:rsidRPr="00C251C5">
              <w:t>reporting examination and test results and non-compliance issues clear</w:t>
            </w:r>
            <w:r w:rsidRPr="00C251C5">
              <w:t>ly and accurately</w:t>
            </w:r>
          </w:p>
          <w:p w:rsidR="00000000" w:rsidRPr="00C251C5" w:rsidP="00C251C5">
            <w:pPr>
              <w:pStyle w:val="ListBullet"/>
            </w:pPr>
            <w:r w:rsidRPr="00C251C5">
              <w:t>dealing with unplanned events/situations in accordance with workplace procedures in a manner that minimises risk to personnel and equipment</w:t>
            </w:r>
          </w:p>
          <w:p w:rsidR="00000000" w:rsidRPr="00C251C5" w:rsidP="00C251C5">
            <w:pPr>
              <w:pStyle w:val="ListBullet"/>
            </w:pPr>
            <w:r w:rsidRPr="00C251C5">
              <w:t>completing apparatus assessment and documenting results</w:t>
            </w:r>
          </w:p>
          <w:p w:rsidR="00000000" w:rsidRPr="00C251C5" w:rsidP="00C251C5">
            <w:pPr>
              <w:pStyle w:val="ListBullet"/>
            </w:pPr>
            <w:r w:rsidRPr="00C251C5">
              <w:t>preparing to evaluate electronic apparatus</w:t>
            </w:r>
            <w:r w:rsidRPr="00C251C5">
              <w:t xml:space="preserve"> certification/approval specifications compliance.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13" w:name="O_1079678"/>
      <w:bookmarkEnd w:id="13"/>
      <w:r w:rsidRPr="00C251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C5">
            <w:pPr>
              <w:pStyle w:val="BodyText"/>
              <w:rPr>
                <w:lang w:val="en-NZ"/>
              </w:rPr>
            </w:pPr>
            <w:r w:rsidRPr="00C251C5">
              <w:t xml:space="preserve">Evidence required to demonstrate competence in this unit must be relevant to and satisfy all of the requirements of the elements, performance criteria and </w:t>
            </w:r>
            <w:r w:rsidRPr="00C251C5">
              <w:t xml:space="preserve">range of conditions and include knowledge of: </w:t>
            </w:r>
          </w:p>
        </w:tc>
      </w:tr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ListBullet"/>
            </w:pPr>
            <w:r w:rsidRPr="00C251C5">
              <w:t>compliance certification, including:</w:t>
            </w:r>
          </w:p>
          <w:p w:rsidR="00000000" w:rsidRPr="00C251C5" w:rsidP="00C251C5">
            <w:pPr>
              <w:pStyle w:val="ListBullet2"/>
            </w:pPr>
            <w:r w:rsidRPr="00C251C5">
              <w:t>the purposes of certification of equipment</w:t>
            </w:r>
          </w:p>
          <w:p w:rsidR="00000000" w:rsidRPr="00C251C5" w:rsidP="00C251C5">
            <w:pPr>
              <w:pStyle w:val="ListBullet2"/>
            </w:pPr>
            <w:r w:rsidRPr="00C251C5">
              <w:t>the parties involved in the assessment/testing and certification of equipment</w:t>
            </w:r>
          </w:p>
          <w:p w:rsidR="00000000" w:rsidRPr="00C251C5" w:rsidP="00C251C5">
            <w:pPr>
              <w:pStyle w:val="ListBullet2"/>
            </w:pPr>
            <w:r w:rsidRPr="00C251C5">
              <w:t>the scheme for recognition of assessment/testing and certification</w:t>
            </w:r>
          </w:p>
          <w:p w:rsidR="00000000" w:rsidRPr="00C251C5" w:rsidP="00C251C5">
            <w:pPr>
              <w:pStyle w:val="ListBullet"/>
            </w:pPr>
            <w:r w:rsidRPr="00C251C5">
              <w:t>compliance testing and assessment of electronic apparatus equipment, including:</w:t>
            </w:r>
          </w:p>
          <w:p w:rsidR="00000000" w:rsidRPr="00C251C5" w:rsidP="00C251C5">
            <w:pPr>
              <w:pStyle w:val="ListBullet2"/>
            </w:pPr>
            <w:r w:rsidRPr="00C251C5">
              <w:t>types of assessment, inspection and tests</w:t>
            </w:r>
          </w:p>
          <w:p w:rsidR="00000000" w:rsidRPr="00C251C5" w:rsidP="00C251C5">
            <w:pPr>
              <w:pStyle w:val="ListBullet2"/>
            </w:pPr>
            <w:r w:rsidRPr="00C251C5">
              <w:t>test set-ups and workplace procedures</w:t>
            </w:r>
          </w:p>
          <w:p w:rsidR="00000000" w:rsidRPr="00C251C5" w:rsidP="00C251C5">
            <w:pPr>
              <w:pStyle w:val="ListBullet2"/>
            </w:pPr>
            <w:r w:rsidRPr="00C251C5">
              <w:t>recording and reporting req</w:t>
            </w:r>
            <w:r w:rsidRPr="00C251C5">
              <w:t>uirements of conformity assessment</w:t>
            </w:r>
          </w:p>
          <w:p w:rsidR="00000000" w:rsidRPr="00C251C5" w:rsidP="00C251C5">
            <w:pPr>
              <w:pStyle w:val="ListBullet"/>
            </w:pPr>
            <w:r w:rsidRPr="00C251C5">
              <w:t>preparation required to assess equipment for compliance with industry standards, including:</w:t>
            </w:r>
          </w:p>
          <w:p w:rsidR="00000000" w:rsidRPr="00C251C5" w:rsidP="00C251C5">
            <w:pPr>
              <w:pStyle w:val="ListBullet2"/>
            </w:pPr>
            <w:r w:rsidRPr="00C251C5">
              <w:t>documentation required prior to conducting conformity assessment</w:t>
            </w:r>
          </w:p>
          <w:p w:rsidR="00000000" w:rsidRPr="00C251C5" w:rsidP="00C251C5">
            <w:pPr>
              <w:pStyle w:val="ListBullet2"/>
            </w:pPr>
            <w:r w:rsidRPr="00C251C5">
              <w:t>tests necessary to establish that an item of equipment conform</w:t>
            </w:r>
            <w:r w:rsidRPr="00C251C5">
              <w:t>s with relevant industry standards</w:t>
            </w:r>
          </w:p>
          <w:p w:rsidR="00000000" w:rsidRPr="00C251C5" w:rsidP="00C251C5">
            <w:pPr>
              <w:pStyle w:val="ListBullet"/>
            </w:pPr>
            <w:r w:rsidRPr="00C251C5">
              <w:t>relevant compliance certification/approval specifications</w:t>
            </w:r>
          </w:p>
          <w:p w:rsidR="00000000" w:rsidRPr="00C251C5" w:rsidP="00C251C5">
            <w:pPr>
              <w:pStyle w:val="ListBullet"/>
            </w:pPr>
            <w:r w:rsidRPr="00C251C5">
              <w:t>relevant job safety assessments or risk mitigation processes, including:</w:t>
            </w:r>
          </w:p>
          <w:p w:rsidR="00000000" w:rsidRPr="00C251C5" w:rsidP="00C251C5">
            <w:pPr>
              <w:pStyle w:val="ListBullet2"/>
            </w:pPr>
            <w:r w:rsidRPr="00C251C5">
              <w:t>safe working practices</w:t>
            </w:r>
          </w:p>
          <w:p w:rsidR="00000000" w:rsidRPr="00C251C5" w:rsidP="00C251C5">
            <w:pPr>
              <w:pStyle w:val="ListBullet"/>
            </w:pPr>
            <w:r w:rsidRPr="00C251C5">
              <w:t>relevant manufacturer specifications</w:t>
            </w:r>
          </w:p>
          <w:p w:rsidR="00000000" w:rsidRPr="00C251C5" w:rsidP="00C251C5">
            <w:pPr>
              <w:pStyle w:val="ListBullet"/>
            </w:pPr>
            <w:r w:rsidRPr="00C251C5">
              <w:t>rel</w:t>
            </w:r>
            <w:r w:rsidRPr="00C251C5">
              <w:t>evant technical industry standards, regulations, codes of practice for electronic apparatus and WHS/OHS legislated requirements</w:t>
            </w:r>
          </w:p>
          <w:p w:rsidR="00000000" w:rsidRPr="00C251C5" w:rsidP="00C251C5">
            <w:pPr>
              <w:pStyle w:val="ListBullet"/>
            </w:pPr>
            <w:r w:rsidRPr="00C251C5">
              <w:t>relevant workplace documentation, including:</w:t>
            </w:r>
          </w:p>
          <w:p w:rsidR="00000000" w:rsidRPr="00C251C5" w:rsidP="00C251C5">
            <w:pPr>
              <w:pStyle w:val="ListBullet2"/>
            </w:pPr>
            <w:r w:rsidRPr="00C251C5">
              <w:t>as marketed technical performance</w:t>
            </w:r>
          </w:p>
          <w:p w:rsidR="00000000" w:rsidRPr="00C251C5" w:rsidP="00C251C5">
            <w:pPr>
              <w:pStyle w:val="ListBullet2"/>
            </w:pPr>
            <w:r w:rsidRPr="00C251C5">
              <w:t>industry technical standards</w:t>
            </w:r>
          </w:p>
          <w:p w:rsidR="00000000" w:rsidRPr="00C251C5" w:rsidP="00C251C5">
            <w:pPr>
              <w:pStyle w:val="ListBullet2"/>
            </w:pPr>
            <w:r w:rsidRPr="00C251C5">
              <w:t>product quality end</w:t>
            </w:r>
            <w:r w:rsidRPr="00C251C5">
              <w:t>orsement standards</w:t>
            </w:r>
          </w:p>
          <w:p w:rsidR="00000000" w:rsidRPr="00C251C5" w:rsidP="00C251C5">
            <w:pPr>
              <w:pStyle w:val="ListBullet2"/>
            </w:pPr>
            <w:r w:rsidRPr="00C251C5">
              <w:t>safety requirements</w:t>
            </w:r>
          </w:p>
          <w:p w:rsidR="00000000" w:rsidRPr="00C251C5" w:rsidP="00C251C5">
            <w:pPr>
              <w:pStyle w:val="ListBullet"/>
            </w:pPr>
            <w:r w:rsidRPr="00C251C5">
              <w:t>relevant workplace policies and procedures.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14" w:name="O_1079679"/>
      <w:bookmarkEnd w:id="14"/>
      <w:r w:rsidRPr="00C251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5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C5" w:rsidP="00C251C5">
            <w:pPr>
              <w:pStyle w:val="BodyText"/>
            </w:pPr>
            <w:r w:rsidRPr="00C251C5">
              <w:t>Assessors must hold credentials specified within the Standards for Registered Training Organisations current at</w:t>
            </w:r>
            <w:r w:rsidRPr="00C251C5">
              <w:t xml:space="preserve"> the time of assessment. </w:t>
            </w:r>
          </w:p>
          <w:p w:rsidR="00000000" w:rsidRPr="00C251C5" w:rsidP="00C251C5">
            <w:pPr>
              <w:pStyle w:val="BodyText"/>
            </w:pPr>
            <w:r w:rsidRPr="00C251C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251C5" w:rsidP="00C251C5">
            <w:pPr>
              <w:pStyle w:val="BodyText"/>
            </w:pPr>
            <w:r w:rsidRPr="00C251C5">
              <w:t>Assessment must occu</w:t>
            </w:r>
            <w:r w:rsidRPr="00C251C5">
              <w:t>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C251C5" w:rsidP="00C251C5">
            <w:pPr>
              <w:pStyle w:val="BodyText"/>
            </w:pPr>
            <w:r w:rsidRPr="00C251C5">
              <w:t>Assessment processes and techn</w:t>
            </w:r>
            <w:r w:rsidRPr="00C251C5">
              <w:t>iques must be appropriate to the language, literacy and numeracy requirements of the work being performed and the needs of the candidate.</w:t>
            </w:r>
          </w:p>
          <w:p w:rsidR="00000000" w:rsidRPr="00C251C5" w:rsidP="00C251C5">
            <w:pPr>
              <w:pStyle w:val="BodyText"/>
            </w:pPr>
            <w:r w:rsidRPr="00C251C5">
              <w:t>Resources for assessment must include access to:</w:t>
            </w:r>
          </w:p>
          <w:p w:rsidR="00000000" w:rsidRPr="00C251C5" w:rsidP="00C251C5">
            <w:pPr>
              <w:pStyle w:val="ListBullet"/>
            </w:pPr>
            <w:r w:rsidRPr="00C251C5">
              <w:t>a range of relevant exercises, case studies and/or simulations</w:t>
            </w:r>
          </w:p>
          <w:p w:rsidR="00000000" w:rsidRPr="00C251C5" w:rsidP="00C251C5">
            <w:pPr>
              <w:pStyle w:val="ListBullet"/>
            </w:pPr>
            <w:r w:rsidRPr="00C251C5">
              <w:t>relev</w:t>
            </w:r>
            <w:r w:rsidRPr="00C251C5">
              <w:t xml:space="preserve">ant and appropriate materials, tools, facilities and equipment currently used in industry </w:t>
            </w:r>
          </w:p>
          <w:p w:rsidR="00000000" w:rsidRPr="00C251C5" w:rsidP="00C251C5">
            <w:pPr>
              <w:pStyle w:val="ListBullet"/>
            </w:pPr>
            <w:r w:rsidRPr="00C251C5">
              <w:t>resources that reflect current industry practices in relation to assessing compliance of electronic apparatus</w:t>
            </w:r>
          </w:p>
          <w:p w:rsidR="00000000" w:rsidRPr="00C251C5" w:rsidP="00C251C5">
            <w:pPr>
              <w:pStyle w:val="ListBullet"/>
            </w:pPr>
            <w:r w:rsidRPr="00C251C5">
              <w:t>applicable documentation, including workplace procedure</w:t>
            </w:r>
            <w:r w:rsidRPr="00C251C5">
              <w:t>s, equipment specifications, regulations, codes of practice and operation manuals.</w:t>
            </w:r>
          </w:p>
        </w:tc>
      </w:tr>
    </w:tbl>
    <w:p w:rsidR="00000000" w:rsidRPr="00C251C5" w:rsidP="00C251C5">
      <w:pPr>
        <w:pStyle w:val="NoPaddingFontSize1"/>
      </w:pPr>
    </w:p>
    <w:p w:rsidR="00000000" w:rsidRPr="00C251C5" w:rsidP="00C251C5">
      <w:pPr>
        <w:pStyle w:val="AllowPageBreak"/>
      </w:pPr>
    </w:p>
    <w:p w:rsidR="00000000" w:rsidRPr="00C251C5" w:rsidP="00C251C5">
      <w:pPr>
        <w:pStyle w:val="Heading1"/>
      </w:pPr>
      <w:bookmarkStart w:id="15" w:name="O_1079682"/>
      <w:bookmarkEnd w:id="15"/>
      <w:r w:rsidRPr="00C251C5">
        <w:t>Links</w:t>
      </w:r>
    </w:p>
    <w:p w:rsidR="00000000" w:rsidRPr="00C251C5" w:rsidP="00587991">
      <w:pPr>
        <w:pStyle w:val="BodyText"/>
      </w:pPr>
      <w:r w:rsidRPr="00C251C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F493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251C5" w:rsidP="00C251C5"/>
    <w:sectPr w:rsidSect="00C251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 w:rsidRPr="00587991" w:rsidP="00587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91" w:rsidP="00C25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7991" w:rsidP="00C25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87991" w:rsidP="00C251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 w:rsidP="00C25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7991">
      <w:t>Approved</w:t>
    </w:r>
    <w:r w:rsidR="005879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79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7991">
      <w:rPr>
        <w:noProof/>
      </w:rPr>
      <w:t>5</w:t>
    </w:r>
    <w:r>
      <w:rPr>
        <w:noProof/>
      </w:rPr>
      <w:fldChar w:fldCharType="end"/>
    </w:r>
  </w:p>
  <w:p w:rsidR="00C251C5" w:rsidP="00C25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79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7991">
      <w:t>Powering Skills Organisation</w:t>
    </w:r>
    <w:r w:rsidR="00587991">
      <w:fldChar w:fldCharType="end"/>
    </w:r>
  </w:p>
  <w:p w:rsidR="00C251C5" w:rsidP="00C25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1C5" w:rsidRPr="00587991" w:rsidP="00587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91" w:rsidRPr="002D2AF8" w:rsidP="00C25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UEEEC0005 Assess electronic apparatus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7991" w:rsidP="00C251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5" w:rsidRPr="002D2AF8" w:rsidP="00C25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7991">
      <w:t>UEEEC0005 Assess electronic apparatus compliance</w:t>
    </w:r>
    <w:r w:rsidR="005879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7991">
      <w:rPr>
        <w:noProof/>
      </w:rPr>
      <w:t>2 March 2025</w:t>
    </w:r>
    <w:r>
      <w:fldChar w:fldCharType="end"/>
    </w:r>
  </w:p>
  <w:p w:rsidR="00C251C5" w:rsidP="00C25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20D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885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08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1C5"/>
  </w:style>
  <w:style w:type="character" w:customStyle="1" w:styleId="Heading1Char">
    <w:name w:val="Heading 1 Char"/>
    <w:basedOn w:val="DefaultParagraphFont"/>
    <w:link w:val="Heading1"/>
    <w:rsid w:val="00C25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1C5"/>
    <w:rPr>
      <w:b/>
      <w:spacing w:val="0"/>
    </w:rPr>
  </w:style>
  <w:style w:type="paragraph" w:styleId="ListBullet2">
    <w:name w:val="List Bullet 2"/>
    <w:basedOn w:val="List2"/>
    <w:rsid w:val="00C251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5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1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1C5"/>
    <w:rPr>
      <w:i/>
    </w:rPr>
  </w:style>
  <w:style w:type="paragraph" w:styleId="Caption">
    <w:name w:val="caption"/>
    <w:basedOn w:val="BodyText"/>
    <w:next w:val="Normal"/>
    <w:qFormat/>
    <w:rsid w:val="00C25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1C5"/>
  </w:style>
  <w:style w:type="paragraph" w:styleId="TableofFigures">
    <w:name w:val="table of figures"/>
    <w:basedOn w:val="Normal"/>
    <w:next w:val="Normal"/>
    <w:semiHidden/>
    <w:rsid w:val="00C25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1C5"/>
    <w:rPr>
      <w:rFonts w:ascii="Wingdings" w:hAnsi="Wingdings"/>
    </w:rPr>
  </w:style>
  <w:style w:type="paragraph" w:customStyle="1" w:styleId="TableHeading">
    <w:name w:val="Table Heading"/>
    <w:basedOn w:val="HeadingBase"/>
    <w:rsid w:val="00C25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1C5"/>
    <w:rPr>
      <w:color w:val="0033CC"/>
      <w:u w:val="none"/>
    </w:rPr>
  </w:style>
  <w:style w:type="paragraph" w:customStyle="1" w:styleId="BodyTextRight">
    <w:name w:val="Body Text Right"/>
    <w:basedOn w:val="BodyText"/>
    <w:rsid w:val="00C25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1C5"/>
    <w:rPr>
      <w:sz w:val="32"/>
    </w:rPr>
  </w:style>
  <w:style w:type="paragraph" w:customStyle="1" w:styleId="HeadingProcedure">
    <w:name w:val="Heading Procedure"/>
    <w:basedOn w:val="HeadingBase"/>
    <w:next w:val="Normal"/>
    <w:rsid w:val="00C25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1C5"/>
    <w:pPr>
      <w:spacing w:before="60" w:after="60"/>
    </w:pPr>
  </w:style>
  <w:style w:type="paragraph" w:styleId="ListContinue">
    <w:name w:val="List Continue"/>
    <w:basedOn w:val="List"/>
    <w:rsid w:val="00C251C5"/>
    <w:pPr>
      <w:ind w:firstLine="0"/>
    </w:pPr>
  </w:style>
  <w:style w:type="paragraph" w:customStyle="1" w:styleId="ListNote">
    <w:name w:val="List Note"/>
    <w:basedOn w:val="List"/>
    <w:rsid w:val="00C25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1C5"/>
    <w:rPr>
      <w:rFonts w:ascii="Courier New" w:hAnsi="Courier New"/>
    </w:rPr>
  </w:style>
  <w:style w:type="paragraph" w:customStyle="1" w:styleId="NoteBullet">
    <w:name w:val="Note Bullet"/>
    <w:basedOn w:val="Note"/>
    <w:rsid w:val="00C25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1C5"/>
    <w:rPr>
      <w:b/>
      <w:smallCaps/>
    </w:rPr>
  </w:style>
  <w:style w:type="paragraph" w:customStyle="1" w:styleId="TableListNumber">
    <w:name w:val="Table List Number"/>
    <w:basedOn w:val="ListNumber"/>
    <w:rsid w:val="00C25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1C5"/>
    <w:pPr>
      <w:numPr>
        <w:numId w:val="9"/>
      </w:numPr>
    </w:pPr>
  </w:style>
  <w:style w:type="paragraph" w:customStyle="1" w:styleId="ListAlpha2">
    <w:name w:val="List Alpha 2"/>
    <w:basedOn w:val="List2"/>
    <w:rsid w:val="00C251C5"/>
    <w:pPr>
      <w:numPr>
        <w:numId w:val="8"/>
      </w:numPr>
    </w:pPr>
  </w:style>
  <w:style w:type="paragraph" w:styleId="List2">
    <w:name w:val="List 2"/>
    <w:basedOn w:val="BodyText"/>
    <w:rsid w:val="00C25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1C5"/>
    <w:pPr>
      <w:numPr>
        <w:numId w:val="4"/>
      </w:numPr>
    </w:pPr>
  </w:style>
  <w:style w:type="paragraph" w:styleId="ListContinue2">
    <w:name w:val="List Continue 2"/>
    <w:basedOn w:val="List2"/>
    <w:rsid w:val="00C251C5"/>
    <w:pPr>
      <w:ind w:firstLine="0"/>
    </w:pPr>
  </w:style>
  <w:style w:type="paragraph" w:styleId="ListContinue3">
    <w:name w:val="List Continue 3"/>
    <w:basedOn w:val="List3"/>
    <w:rsid w:val="00C251C5"/>
    <w:pPr>
      <w:ind w:left="1021" w:firstLine="0"/>
    </w:pPr>
  </w:style>
  <w:style w:type="paragraph" w:styleId="ListContinue4">
    <w:name w:val="List Continue 4"/>
    <w:basedOn w:val="List4"/>
    <w:rsid w:val="00C251C5"/>
    <w:pPr>
      <w:ind w:firstLine="0"/>
    </w:pPr>
  </w:style>
  <w:style w:type="paragraph" w:styleId="ListContinue5">
    <w:name w:val="List Continue 5"/>
    <w:basedOn w:val="List5"/>
    <w:rsid w:val="00C251C5"/>
    <w:pPr>
      <w:ind w:firstLine="0"/>
    </w:pPr>
  </w:style>
  <w:style w:type="paragraph" w:styleId="ListNumber3">
    <w:name w:val="List Number 3"/>
    <w:basedOn w:val="List3"/>
    <w:rsid w:val="00C251C5"/>
    <w:pPr>
      <w:numPr>
        <w:numId w:val="5"/>
      </w:numPr>
    </w:pPr>
  </w:style>
  <w:style w:type="paragraph" w:styleId="ListNumber4">
    <w:name w:val="List Number 4"/>
    <w:basedOn w:val="List4"/>
    <w:rsid w:val="00C251C5"/>
    <w:pPr>
      <w:numPr>
        <w:numId w:val="6"/>
      </w:numPr>
    </w:pPr>
  </w:style>
  <w:style w:type="paragraph" w:styleId="ListNumber5">
    <w:name w:val="List Number 5"/>
    <w:basedOn w:val="List5"/>
    <w:rsid w:val="00C251C5"/>
    <w:pPr>
      <w:numPr>
        <w:numId w:val="7"/>
      </w:numPr>
    </w:pPr>
  </w:style>
  <w:style w:type="paragraph" w:styleId="BlockText">
    <w:name w:val="Block Text"/>
    <w:basedOn w:val="Normal"/>
    <w:rsid w:val="00C25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1C5"/>
    <w:rPr>
      <w:sz w:val="16"/>
      <w:vertAlign w:val="superscript"/>
    </w:rPr>
  </w:style>
  <w:style w:type="character" w:customStyle="1" w:styleId="Symbols">
    <w:name w:val="Symbols"/>
    <w:basedOn w:val="DefaultParagraphFont"/>
    <w:rsid w:val="00C251C5"/>
    <w:rPr>
      <w:rFonts w:ascii="Symbol" w:hAnsi="Symbol"/>
    </w:rPr>
  </w:style>
  <w:style w:type="character" w:customStyle="1" w:styleId="MenuOptions">
    <w:name w:val="Menu Options"/>
    <w:basedOn w:val="DefaultParagraphFont"/>
    <w:rsid w:val="00C25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1C5"/>
    <w:rPr>
      <w:b/>
    </w:rPr>
  </w:style>
  <w:style w:type="character" w:customStyle="1" w:styleId="Underlined">
    <w:name w:val="Underlined"/>
    <w:basedOn w:val="DefaultParagraphFont"/>
    <w:rsid w:val="00C251C5"/>
    <w:rPr>
      <w:u w:val="single"/>
    </w:rPr>
  </w:style>
  <w:style w:type="paragraph" w:customStyle="1" w:styleId="TableBodyTextRight">
    <w:name w:val="Table Body Text Right"/>
    <w:basedOn w:val="TableBodyText"/>
    <w:rsid w:val="00C25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1C5"/>
    <w:rPr>
      <w:sz w:val="18"/>
    </w:rPr>
  </w:style>
  <w:style w:type="paragraph" w:customStyle="1" w:styleId="BodySmallRight">
    <w:name w:val="Body Small Right"/>
    <w:basedOn w:val="BodyTextRight"/>
    <w:rsid w:val="00C251C5"/>
    <w:rPr>
      <w:sz w:val="18"/>
      <w:szCs w:val="18"/>
    </w:rPr>
  </w:style>
  <w:style w:type="paragraph" w:customStyle="1" w:styleId="MarginEdition">
    <w:name w:val="Margin Edition"/>
    <w:basedOn w:val="MarginNote"/>
    <w:rsid w:val="00C25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1C5"/>
    <w:rPr>
      <w:sz w:val="2"/>
      <w:szCs w:val="2"/>
    </w:rPr>
  </w:style>
  <w:style w:type="character" w:customStyle="1" w:styleId="Small">
    <w:name w:val="Small"/>
    <w:basedOn w:val="DefaultParagraphFont"/>
    <w:rsid w:val="00C251C5"/>
    <w:rPr>
      <w:sz w:val="16"/>
    </w:rPr>
  </w:style>
  <w:style w:type="paragraph" w:customStyle="1" w:styleId="WideTable">
    <w:name w:val="Wide Table"/>
    <w:basedOn w:val="Normal"/>
    <w:rsid w:val="00C25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1C5"/>
  </w:style>
  <w:style w:type="paragraph" w:styleId="Quote">
    <w:name w:val="Quote"/>
    <w:basedOn w:val="Heading1"/>
    <w:link w:val="QuoteChar"/>
    <w:qFormat/>
    <w:rsid w:val="00C25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1C5"/>
    <w:pPr>
      <w:pageBreakBefore/>
    </w:pPr>
  </w:style>
  <w:style w:type="paragraph" w:customStyle="1" w:styleId="Border">
    <w:name w:val="Border"/>
    <w:basedOn w:val="Normal"/>
    <w:qFormat/>
    <w:rsid w:val="00C25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1C5"/>
    <w:rPr>
      <w:u w:val="single"/>
    </w:rPr>
  </w:style>
  <w:style w:type="character" w:customStyle="1" w:styleId="BoldandItalics">
    <w:name w:val="Bold and Italics"/>
    <w:qFormat/>
    <w:rsid w:val="00C251C5"/>
    <w:rPr>
      <w:b/>
      <w:i/>
      <w:u w:val="none"/>
    </w:rPr>
  </w:style>
  <w:style w:type="paragraph" w:styleId="BalloonText">
    <w:name w:val="Balloon Text"/>
    <w:basedOn w:val="Normal"/>
    <w:link w:val="BalloonTextChar"/>
    <w:rsid w:val="00C25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1C5"/>
    <w:pPr>
      <w:spacing w:before="0" w:after="0"/>
    </w:pPr>
  </w:style>
  <w:style w:type="paragraph" w:customStyle="1" w:styleId="BodyTextBold">
    <w:name w:val="Body Text Bold"/>
    <w:basedOn w:val="BodyText"/>
    <w:qFormat/>
    <w:rsid w:val="00C251C5"/>
    <w:rPr>
      <w:b/>
    </w:rPr>
  </w:style>
  <w:style w:type="character" w:styleId="Hyperlink">
    <w:name w:val="Hyperlink"/>
    <w:basedOn w:val="DefaultParagraphFont"/>
    <w:uiPriority w:val="99"/>
    <w:unhideWhenUsed/>
    <w:rsid w:val="00587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8707</Characters>
  <Application>Microsoft Office Word</Application>
  <DocSecurity>0</DocSecurity>
  <Lines>290</Lines>
  <Paragraphs>161</Paragraphs>
  <ScaleCrop>false</ScaleCrop>
  <Company>Author-it Software Corporation Ltd.</Company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UEEEC0005 Assess electronic apparatus compliance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