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18C" w:rsidP="00F45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UEEEC0002 Assemble and install reception antennae and signal distribution equipment</w:t>
      </w:r>
      <w:r>
        <w:fldChar w:fldCharType="end"/>
      </w:r>
    </w:p>
    <w:p w:rsidR="00F4518C" w:rsidP="00F4518C">
      <w:pPr>
        <w:pStyle w:val="Version"/>
        <w:sectPr w:rsidSect="00C53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2D7" w:rsidP="00C532D7">
      <w:pPr>
        <w:pStyle w:val="SuperHeading"/>
      </w:pPr>
      <w:r w:rsidRPr="00C532D7">
        <w:t>Assessment Requirements for UEEEC0002 Assemble and install reception antennae and signal distribution equipment</w:t>
      </w:r>
    </w:p>
    <w:p w:rsidR="00000000" w:rsidRPr="00C532D7" w:rsidP="00C532D7">
      <w:pPr>
        <w:pStyle w:val="Heading1"/>
      </w:pPr>
      <w:bookmarkStart w:id="1" w:name="O_1079619"/>
      <w:bookmarkEnd w:id="1"/>
      <w:r w:rsidRPr="00C532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D7" w:rsidP="00C532D7">
            <w:pPr>
              <w:pStyle w:val="BodyText"/>
            </w:pPr>
            <w:r w:rsidRPr="00C532D7">
              <w:t>Release 1. This is the first release of this unit of competency in the UEE Electrotechnology Training Package.</w:t>
            </w:r>
          </w:p>
        </w:tc>
      </w:tr>
    </w:tbl>
    <w:p w:rsidR="00000000" w:rsidRPr="00C532D7" w:rsidP="00C532D7">
      <w:pPr>
        <w:pStyle w:val="NoPaddingFontSize1"/>
      </w:pPr>
    </w:p>
    <w:p w:rsidR="00000000" w:rsidRPr="00C532D7" w:rsidP="00C532D7">
      <w:pPr>
        <w:pStyle w:val="AllowPageBreak"/>
      </w:pPr>
    </w:p>
    <w:p w:rsidR="00000000" w:rsidRPr="00C532D7" w:rsidP="00C532D7">
      <w:pPr>
        <w:pStyle w:val="Heading1"/>
      </w:pPr>
      <w:bookmarkStart w:id="2" w:name="O_1079620"/>
      <w:bookmarkEnd w:id="2"/>
      <w:r w:rsidRPr="00C532D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D7">
            <w:pPr>
              <w:pStyle w:val="BodyText"/>
              <w:rPr>
                <w:lang w:val="en-NZ"/>
              </w:rPr>
            </w:pPr>
            <w:r w:rsidRPr="00C532D7">
              <w:t>Evidence required to demonstrate competence in this unit must be relevant to and satisfy all of the req</w:t>
            </w:r>
            <w:r w:rsidRPr="00C532D7">
              <w:t xml:space="preserve">uirements of the elements, performance criteria and range of conditions on at least two separate occasions and include: </w:t>
            </w:r>
          </w:p>
        </w:tc>
      </w:tr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D7" w:rsidP="00C532D7">
            <w:pPr>
              <w:pStyle w:val="ListBullet"/>
            </w:pPr>
            <w:r w:rsidRPr="00C532D7">
              <w:t xml:space="preserve">accurately placing and securing antennae and accessories </w:t>
            </w:r>
          </w:p>
          <w:p w:rsidR="00000000" w:rsidRPr="00C532D7" w:rsidP="00C532D7">
            <w:pPr>
              <w:pStyle w:val="ListBullet"/>
            </w:pPr>
            <w:r w:rsidRPr="00C532D7">
              <w:t>adjusting for optimum reception at each outlet</w:t>
            </w:r>
          </w:p>
          <w:p w:rsidR="00000000" w:rsidRPr="00C532D7" w:rsidP="00C532D7">
            <w:pPr>
              <w:pStyle w:val="ListBullet"/>
            </w:pPr>
            <w:r w:rsidRPr="00C532D7">
              <w:t>applying relevant risk ident</w:t>
            </w:r>
            <w:r w:rsidRPr="00C532D7">
              <w:t>ification, assessment, reporting and control requirements</w:t>
            </w:r>
          </w:p>
          <w:p w:rsidR="00000000" w:rsidRPr="00C532D7" w:rsidP="00C532D7">
            <w:pPr>
              <w:pStyle w:val="ListBullet"/>
            </w:pPr>
            <w:r w:rsidRPr="00C532D7">
              <w:t>applying relevant work health and safety (WHS)/occupational health and safety (OHS) requirements, including the use of risk control measures</w:t>
            </w:r>
          </w:p>
          <w:p w:rsidR="00000000" w:rsidRPr="00C532D7" w:rsidP="00C532D7">
            <w:pPr>
              <w:pStyle w:val="ListBullet"/>
            </w:pPr>
            <w:r w:rsidRPr="00C532D7">
              <w:t>applying sustainable energy principles and practices</w:t>
            </w:r>
          </w:p>
          <w:p w:rsidR="00000000" w:rsidRPr="00C532D7" w:rsidP="00C532D7">
            <w:pPr>
              <w:pStyle w:val="ListBullet"/>
            </w:pPr>
            <w:r w:rsidRPr="00C532D7">
              <w:t>coor</w:t>
            </w:r>
            <w:r w:rsidRPr="00C532D7">
              <w:t>dinating work with relevant person/s</w:t>
            </w:r>
          </w:p>
          <w:p w:rsidR="00000000" w:rsidRPr="00C532D7" w:rsidP="00C532D7">
            <w:pPr>
              <w:pStyle w:val="ListBullet"/>
            </w:pPr>
            <w:r w:rsidRPr="00C532D7">
              <w:t>correctly terminating cable and conductors</w:t>
            </w:r>
          </w:p>
          <w:p w:rsidR="00000000" w:rsidRPr="00C532D7" w:rsidP="00C532D7">
            <w:pPr>
              <w:pStyle w:val="ListBullet"/>
            </w:pPr>
            <w:r w:rsidRPr="00C532D7">
              <w:t>dealing effectively with unplanned events</w:t>
            </w:r>
          </w:p>
          <w:p w:rsidR="00000000" w:rsidRPr="00C532D7" w:rsidP="00C532D7">
            <w:pPr>
              <w:pStyle w:val="ListBullet"/>
            </w:pPr>
            <w:r w:rsidRPr="00C532D7">
              <w:t>identifying and accessing materials, tools, apparatus and testing devices</w:t>
            </w:r>
          </w:p>
          <w:p w:rsidR="00000000" w:rsidRPr="00C532D7" w:rsidP="00C532D7">
            <w:pPr>
              <w:pStyle w:val="ListBullet"/>
            </w:pPr>
            <w:r w:rsidRPr="00C532D7">
              <w:t>isolating circuits/machines/systems</w:t>
            </w:r>
          </w:p>
          <w:p w:rsidR="00000000" w:rsidRPr="00C532D7" w:rsidP="00C532D7">
            <w:pPr>
              <w:pStyle w:val="ListBullet"/>
            </w:pPr>
            <w:r w:rsidRPr="00C532D7">
              <w:t>reading and interpreting drawings of circuit arrangements and component locations.</w:t>
            </w:r>
          </w:p>
        </w:tc>
      </w:tr>
    </w:tbl>
    <w:p w:rsidR="00000000" w:rsidRPr="00C532D7" w:rsidP="00C532D7">
      <w:pPr>
        <w:pStyle w:val="NoPaddingFontSize1"/>
      </w:pPr>
    </w:p>
    <w:p w:rsidR="00000000" w:rsidRPr="00C532D7" w:rsidP="00C532D7">
      <w:pPr>
        <w:pStyle w:val="AllowPageBreak"/>
      </w:pPr>
    </w:p>
    <w:p w:rsidR="00000000" w:rsidRPr="00C532D7" w:rsidP="00C532D7">
      <w:pPr>
        <w:pStyle w:val="Heading1"/>
      </w:pPr>
      <w:bookmarkStart w:id="3" w:name="O_1079621"/>
      <w:bookmarkEnd w:id="3"/>
      <w:r w:rsidRPr="00C532D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D7">
            <w:pPr>
              <w:pStyle w:val="BodyText"/>
              <w:rPr>
                <w:lang w:val="en-NZ"/>
              </w:rPr>
            </w:pPr>
            <w:r w:rsidRPr="00C532D7">
              <w:t>Evidence required to demonstrate competence in this unit must be relevant to and satisfy all of the requirements of the elements, per</w:t>
            </w:r>
            <w:r w:rsidRPr="00C532D7">
              <w:t xml:space="preserve">formance criteria and range of conditions and include knowledge of: </w:t>
            </w:r>
          </w:p>
        </w:tc>
      </w:tr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D7" w:rsidP="00C532D7">
            <w:pPr>
              <w:pStyle w:val="ListBullet"/>
            </w:pPr>
            <w:r w:rsidRPr="00C532D7">
              <w:t>antenna assembly and installation, including:</w:t>
            </w:r>
          </w:p>
          <w:p w:rsidR="00000000" w:rsidRPr="00C532D7" w:rsidP="00C532D7">
            <w:pPr>
              <w:pStyle w:val="ListBullet2"/>
            </w:pPr>
            <w:r w:rsidRPr="00C532D7">
              <w:t>antenna distribution systems</w:t>
            </w:r>
          </w:p>
          <w:p w:rsidR="00000000" w:rsidRPr="00C532D7" w:rsidP="00C532D7">
            <w:pPr>
              <w:pStyle w:val="ListBullet2"/>
            </w:pPr>
            <w:r w:rsidRPr="00C532D7">
              <w:t>antenna testing, fault finding and repair</w:t>
            </w:r>
          </w:p>
          <w:p w:rsidR="00000000" w:rsidRPr="00C532D7" w:rsidP="00C532D7">
            <w:pPr>
              <w:pStyle w:val="ListBullet2"/>
            </w:pPr>
            <w:r w:rsidRPr="00C532D7">
              <w:t xml:space="preserve">relevant standards, codes and regulations </w:t>
            </w:r>
          </w:p>
          <w:p w:rsidR="00000000" w:rsidRPr="00C532D7" w:rsidP="00C532D7">
            <w:pPr>
              <w:pStyle w:val="ListBullet2"/>
            </w:pPr>
            <w:r w:rsidRPr="00C532D7">
              <w:t>satellite receivers</w:t>
            </w:r>
          </w:p>
          <w:p w:rsidR="00000000" w:rsidRPr="00C532D7" w:rsidP="00C532D7">
            <w:pPr>
              <w:pStyle w:val="ListBullet2"/>
            </w:pPr>
            <w:r w:rsidRPr="00C532D7">
              <w:t>signal reception</w:t>
            </w:r>
          </w:p>
          <w:p w:rsidR="00000000" w:rsidRPr="00C532D7" w:rsidP="00C532D7">
            <w:pPr>
              <w:pStyle w:val="ListBullet2"/>
            </w:pPr>
            <w:r w:rsidRPr="00C532D7">
              <w:t>transmission line types and characteristics</w:t>
            </w:r>
          </w:p>
          <w:p w:rsidR="00000000" w:rsidRPr="00C532D7" w:rsidP="00C532D7">
            <w:pPr>
              <w:pStyle w:val="ListBullet2"/>
            </w:pPr>
            <w:r w:rsidRPr="00C532D7">
              <w:t>TV antenna types, operating characteristics and terminology</w:t>
            </w:r>
          </w:p>
          <w:p w:rsidR="00000000" w:rsidRPr="00C532D7" w:rsidP="00C532D7">
            <w:pPr>
              <w:pStyle w:val="ListBullet"/>
            </w:pPr>
            <w:r w:rsidRPr="00C532D7">
              <w:t>relevant manufacturer specifications</w:t>
            </w:r>
          </w:p>
          <w:p w:rsidR="00000000" w:rsidRPr="00C532D7" w:rsidP="00C532D7">
            <w:pPr>
              <w:pStyle w:val="ListBullet"/>
            </w:pPr>
            <w:r w:rsidRPr="00C532D7">
              <w:t>relevant safe work method statements (SWMS)/job safety assessments or risk mitigation processes</w:t>
            </w:r>
          </w:p>
          <w:p w:rsidR="00000000" w:rsidRPr="00C532D7" w:rsidP="00C532D7">
            <w:pPr>
              <w:pStyle w:val="ListBullet"/>
            </w:pPr>
            <w:r w:rsidRPr="00C532D7">
              <w:t>r</w:t>
            </w:r>
            <w:r w:rsidRPr="00C532D7">
              <w:t>elevant WHS/OHS legislated requirements</w:t>
            </w:r>
          </w:p>
          <w:p w:rsidR="00000000" w:rsidRPr="00C532D7" w:rsidP="00C532D7">
            <w:pPr>
              <w:pStyle w:val="ListBullet"/>
            </w:pPr>
            <w:r w:rsidRPr="00C532D7">
              <w:t>relevant workplace documentation</w:t>
            </w:r>
          </w:p>
          <w:p w:rsidR="00000000" w:rsidRPr="00C532D7" w:rsidP="00C532D7">
            <w:pPr>
              <w:pStyle w:val="ListBullet"/>
            </w:pPr>
            <w:r w:rsidRPr="00C532D7">
              <w:t>relevant workplace policies and procedures.</w:t>
            </w:r>
          </w:p>
        </w:tc>
      </w:tr>
    </w:tbl>
    <w:p w:rsidR="00000000" w:rsidRPr="00C532D7" w:rsidP="00C532D7">
      <w:pPr>
        <w:pStyle w:val="NoPaddingFontSize1"/>
      </w:pPr>
    </w:p>
    <w:p w:rsidR="00000000" w:rsidRPr="00C532D7" w:rsidP="00C532D7">
      <w:pPr>
        <w:pStyle w:val="AllowPageBreak"/>
      </w:pPr>
    </w:p>
    <w:p w:rsidR="00000000" w:rsidRPr="00C532D7" w:rsidP="00C532D7">
      <w:pPr>
        <w:pStyle w:val="Heading1"/>
      </w:pPr>
      <w:bookmarkStart w:id="4" w:name="O_1079622"/>
      <w:bookmarkEnd w:id="4"/>
      <w:r w:rsidRPr="00C532D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2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D7" w:rsidP="00C532D7">
            <w:pPr>
              <w:pStyle w:val="BodyText"/>
            </w:pPr>
            <w:r w:rsidRPr="00C532D7">
              <w:t>Assessors must hold credentials specified within the Standards for Registered Training Organi</w:t>
            </w:r>
            <w:r w:rsidRPr="00C532D7">
              <w:t xml:space="preserve">sations current at the time of assessment. </w:t>
            </w:r>
          </w:p>
          <w:p w:rsidR="00000000" w:rsidRPr="00C532D7" w:rsidP="00C532D7">
            <w:pPr>
              <w:pStyle w:val="BodyText"/>
            </w:pPr>
            <w:r w:rsidRPr="00C532D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532D7" w:rsidP="00C532D7">
            <w:pPr>
              <w:pStyle w:val="BodyText"/>
            </w:pPr>
            <w:r w:rsidRPr="00C532D7">
              <w:t>As</w:t>
            </w:r>
            <w:r w:rsidRPr="00C532D7">
              <w:t>sessment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C532D7" w:rsidP="00C532D7">
            <w:pPr>
              <w:pStyle w:val="BodyText"/>
            </w:pPr>
            <w:r w:rsidRPr="00C532D7">
              <w:t>Assessment p</w:t>
            </w:r>
            <w:r w:rsidRPr="00C532D7">
              <w:t>rocesses and techniques must be appropriate to the language, literacy and numeracy requirements of the work being performed and the needs of the candidate.</w:t>
            </w:r>
          </w:p>
          <w:p w:rsidR="00000000" w:rsidRPr="00C532D7" w:rsidP="00C532D7">
            <w:pPr>
              <w:pStyle w:val="BodyText"/>
            </w:pPr>
            <w:r w:rsidRPr="00C532D7">
              <w:t>Resources for assessment must include access to:</w:t>
            </w:r>
          </w:p>
          <w:p w:rsidR="00000000" w:rsidRPr="00C532D7" w:rsidP="00C532D7">
            <w:pPr>
              <w:pStyle w:val="ListBullet"/>
            </w:pPr>
            <w:r w:rsidRPr="00C532D7">
              <w:t>a range of relevant exercises, case studies and/or</w:t>
            </w:r>
            <w:r w:rsidRPr="00C532D7">
              <w:t xml:space="preserve"> simulations</w:t>
            </w:r>
          </w:p>
          <w:p w:rsidR="00000000" w:rsidRPr="00C532D7" w:rsidP="00C532D7">
            <w:pPr>
              <w:pStyle w:val="ListBullet"/>
            </w:pPr>
            <w:r w:rsidRPr="00C532D7">
              <w:t>relevant and appropriate materials, tools, equipment and personal protective equipment (PPE) currently used in industry</w:t>
            </w:r>
          </w:p>
          <w:p w:rsidR="00000000" w:rsidRPr="00C532D7" w:rsidP="00C532D7">
            <w:pPr>
              <w:pStyle w:val="ListBullet"/>
            </w:pPr>
            <w:r w:rsidRPr="00C532D7">
              <w:t>resources that reflect current industry practices in relation to assembling and erecting reception antennae and signal dist</w:t>
            </w:r>
            <w:r w:rsidRPr="00C532D7">
              <w:t>ribution equipment</w:t>
            </w:r>
          </w:p>
          <w:p w:rsidR="00000000" w:rsidRPr="00C532D7" w:rsidP="00C532D7">
            <w:pPr>
              <w:pStyle w:val="ListBullet"/>
            </w:pPr>
            <w:r w:rsidRPr="00C532D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532D7" w:rsidP="00C532D7">
      <w:pPr>
        <w:pStyle w:val="NoPaddingFontSize1"/>
      </w:pPr>
    </w:p>
    <w:p w:rsidR="00000000" w:rsidRPr="00C532D7" w:rsidP="00C532D7">
      <w:pPr>
        <w:pStyle w:val="AllowPageBreak"/>
      </w:pPr>
    </w:p>
    <w:p w:rsidR="00000000" w:rsidRPr="00C532D7" w:rsidP="00C532D7">
      <w:pPr>
        <w:pStyle w:val="Heading1"/>
      </w:pPr>
      <w:bookmarkStart w:id="5" w:name="O_1079625"/>
      <w:bookmarkEnd w:id="5"/>
      <w:r w:rsidRPr="00C532D7">
        <w:t>Links</w:t>
      </w:r>
    </w:p>
    <w:p w:rsidR="00000000" w:rsidRPr="00C532D7" w:rsidP="00F4518C">
      <w:pPr>
        <w:pStyle w:val="BodyText"/>
      </w:pPr>
      <w:r w:rsidRPr="00C532D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65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532D7" w:rsidP="00C532D7"/>
    <w:sectPr w:rsidSect="00C53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D7" w:rsidRPr="00F4518C" w:rsidP="00F45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8C" w:rsidP="00C53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518C" w:rsidP="00C53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518C" w:rsidP="00C53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2D7" w:rsidRPr="00F4518C" w:rsidP="00F45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18C" w:rsidRPr="002D2AF8" w:rsidP="00C53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UEEEC0002 Assemble and install reception antennae and signal distribution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4518C" w:rsidP="00C53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62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67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AD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2D7"/>
  </w:style>
  <w:style w:type="character" w:customStyle="1" w:styleId="Heading1Char">
    <w:name w:val="Heading 1 Char"/>
    <w:basedOn w:val="DefaultParagraphFont"/>
    <w:link w:val="Heading1"/>
    <w:rsid w:val="00C53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3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3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2D7"/>
    <w:rPr>
      <w:b/>
      <w:spacing w:val="0"/>
    </w:rPr>
  </w:style>
  <w:style w:type="paragraph" w:customStyle="1" w:styleId="SuperTitle">
    <w:name w:val="SuperTitle"/>
    <w:basedOn w:val="Title"/>
    <w:rsid w:val="00C53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2D7"/>
    <w:rPr>
      <w:i/>
    </w:rPr>
  </w:style>
  <w:style w:type="paragraph" w:styleId="Caption">
    <w:name w:val="caption"/>
    <w:basedOn w:val="BodyText"/>
    <w:next w:val="Normal"/>
    <w:qFormat/>
    <w:rsid w:val="00C53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2D7"/>
  </w:style>
  <w:style w:type="paragraph" w:styleId="TableofFigures">
    <w:name w:val="table of figures"/>
    <w:basedOn w:val="Normal"/>
    <w:next w:val="Normal"/>
    <w:semiHidden/>
    <w:rsid w:val="00C53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2D7"/>
    <w:rPr>
      <w:rFonts w:ascii="Wingdings" w:hAnsi="Wingdings"/>
    </w:rPr>
  </w:style>
  <w:style w:type="paragraph" w:customStyle="1" w:styleId="TableHeading">
    <w:name w:val="Table Heading"/>
    <w:basedOn w:val="HeadingBase"/>
    <w:rsid w:val="00C53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2D7"/>
    <w:rPr>
      <w:color w:val="0033CC"/>
      <w:u w:val="none"/>
    </w:rPr>
  </w:style>
  <w:style w:type="paragraph" w:customStyle="1" w:styleId="BodyTextRight">
    <w:name w:val="Body Text Right"/>
    <w:basedOn w:val="BodyText"/>
    <w:rsid w:val="00C53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2D7"/>
    <w:rPr>
      <w:sz w:val="32"/>
    </w:rPr>
  </w:style>
  <w:style w:type="paragraph" w:customStyle="1" w:styleId="HeadingProcedure">
    <w:name w:val="Heading Procedure"/>
    <w:basedOn w:val="HeadingBase"/>
    <w:next w:val="Normal"/>
    <w:rsid w:val="00C53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2D7"/>
    <w:pPr>
      <w:spacing w:before="60" w:after="60"/>
    </w:pPr>
  </w:style>
  <w:style w:type="paragraph" w:styleId="ListContinue">
    <w:name w:val="List Continue"/>
    <w:basedOn w:val="List"/>
    <w:rsid w:val="00C532D7"/>
    <w:pPr>
      <w:ind w:firstLine="0"/>
    </w:pPr>
  </w:style>
  <w:style w:type="paragraph" w:customStyle="1" w:styleId="ListNote">
    <w:name w:val="List Note"/>
    <w:basedOn w:val="List"/>
    <w:rsid w:val="00C53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2D7"/>
    <w:rPr>
      <w:rFonts w:ascii="Courier New" w:hAnsi="Courier New"/>
    </w:rPr>
  </w:style>
  <w:style w:type="paragraph" w:customStyle="1" w:styleId="NoteBullet">
    <w:name w:val="Note Bullet"/>
    <w:basedOn w:val="Note"/>
    <w:rsid w:val="00C53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2D7"/>
    <w:rPr>
      <w:b/>
      <w:smallCaps/>
    </w:rPr>
  </w:style>
  <w:style w:type="paragraph" w:customStyle="1" w:styleId="TableListNumber">
    <w:name w:val="Table List Number"/>
    <w:basedOn w:val="ListNumber"/>
    <w:rsid w:val="00C53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2D7"/>
    <w:pPr>
      <w:numPr>
        <w:numId w:val="9"/>
      </w:numPr>
    </w:pPr>
  </w:style>
  <w:style w:type="paragraph" w:customStyle="1" w:styleId="ListAlpha2">
    <w:name w:val="List Alpha 2"/>
    <w:basedOn w:val="List2"/>
    <w:rsid w:val="00C532D7"/>
    <w:pPr>
      <w:numPr>
        <w:numId w:val="8"/>
      </w:numPr>
    </w:pPr>
  </w:style>
  <w:style w:type="paragraph" w:styleId="List2">
    <w:name w:val="List 2"/>
    <w:basedOn w:val="BodyText"/>
    <w:rsid w:val="00C53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2D7"/>
    <w:pPr>
      <w:numPr>
        <w:numId w:val="4"/>
      </w:numPr>
    </w:pPr>
  </w:style>
  <w:style w:type="paragraph" w:styleId="ListContinue2">
    <w:name w:val="List Continue 2"/>
    <w:basedOn w:val="List2"/>
    <w:rsid w:val="00C532D7"/>
    <w:pPr>
      <w:ind w:firstLine="0"/>
    </w:pPr>
  </w:style>
  <w:style w:type="paragraph" w:styleId="ListContinue3">
    <w:name w:val="List Continue 3"/>
    <w:basedOn w:val="List3"/>
    <w:rsid w:val="00C532D7"/>
    <w:pPr>
      <w:ind w:left="1021" w:firstLine="0"/>
    </w:pPr>
  </w:style>
  <w:style w:type="paragraph" w:styleId="ListContinue4">
    <w:name w:val="List Continue 4"/>
    <w:basedOn w:val="List4"/>
    <w:rsid w:val="00C532D7"/>
    <w:pPr>
      <w:ind w:firstLine="0"/>
    </w:pPr>
  </w:style>
  <w:style w:type="paragraph" w:styleId="ListContinue5">
    <w:name w:val="List Continue 5"/>
    <w:basedOn w:val="List5"/>
    <w:rsid w:val="00C532D7"/>
    <w:pPr>
      <w:ind w:firstLine="0"/>
    </w:pPr>
  </w:style>
  <w:style w:type="paragraph" w:styleId="ListNumber3">
    <w:name w:val="List Number 3"/>
    <w:basedOn w:val="List3"/>
    <w:rsid w:val="00C532D7"/>
    <w:pPr>
      <w:numPr>
        <w:numId w:val="5"/>
      </w:numPr>
    </w:pPr>
  </w:style>
  <w:style w:type="paragraph" w:styleId="ListNumber4">
    <w:name w:val="List Number 4"/>
    <w:basedOn w:val="List4"/>
    <w:rsid w:val="00C532D7"/>
    <w:pPr>
      <w:numPr>
        <w:numId w:val="6"/>
      </w:numPr>
    </w:pPr>
  </w:style>
  <w:style w:type="paragraph" w:styleId="ListNumber5">
    <w:name w:val="List Number 5"/>
    <w:basedOn w:val="List5"/>
    <w:rsid w:val="00C532D7"/>
    <w:pPr>
      <w:numPr>
        <w:numId w:val="7"/>
      </w:numPr>
    </w:pPr>
  </w:style>
  <w:style w:type="paragraph" w:styleId="BlockText">
    <w:name w:val="Block Text"/>
    <w:basedOn w:val="Normal"/>
    <w:rsid w:val="00C53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2D7"/>
    <w:rPr>
      <w:sz w:val="16"/>
      <w:vertAlign w:val="superscript"/>
    </w:rPr>
  </w:style>
  <w:style w:type="character" w:customStyle="1" w:styleId="Symbols">
    <w:name w:val="Symbols"/>
    <w:basedOn w:val="DefaultParagraphFont"/>
    <w:rsid w:val="00C532D7"/>
    <w:rPr>
      <w:rFonts w:ascii="Symbol" w:hAnsi="Symbol"/>
    </w:rPr>
  </w:style>
  <w:style w:type="character" w:customStyle="1" w:styleId="MenuOptions">
    <w:name w:val="Menu Options"/>
    <w:basedOn w:val="DefaultParagraphFont"/>
    <w:rsid w:val="00C53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2D7"/>
    <w:rPr>
      <w:b/>
    </w:rPr>
  </w:style>
  <w:style w:type="character" w:customStyle="1" w:styleId="Underlined">
    <w:name w:val="Underlined"/>
    <w:basedOn w:val="DefaultParagraphFont"/>
    <w:rsid w:val="00C532D7"/>
    <w:rPr>
      <w:u w:val="single"/>
    </w:rPr>
  </w:style>
  <w:style w:type="paragraph" w:customStyle="1" w:styleId="TableBodyTextRight">
    <w:name w:val="Table Body Text Right"/>
    <w:basedOn w:val="TableBodyText"/>
    <w:rsid w:val="00C53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2D7"/>
    <w:rPr>
      <w:sz w:val="18"/>
    </w:rPr>
  </w:style>
  <w:style w:type="paragraph" w:customStyle="1" w:styleId="BodySmallRight">
    <w:name w:val="Body Small Right"/>
    <w:basedOn w:val="BodyTextRight"/>
    <w:rsid w:val="00C532D7"/>
    <w:rPr>
      <w:sz w:val="18"/>
      <w:szCs w:val="18"/>
    </w:rPr>
  </w:style>
  <w:style w:type="paragraph" w:customStyle="1" w:styleId="MarginEdition">
    <w:name w:val="Margin Edition"/>
    <w:basedOn w:val="MarginNote"/>
    <w:rsid w:val="00C53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2D7"/>
    <w:rPr>
      <w:sz w:val="2"/>
      <w:szCs w:val="2"/>
    </w:rPr>
  </w:style>
  <w:style w:type="character" w:customStyle="1" w:styleId="Small">
    <w:name w:val="Small"/>
    <w:basedOn w:val="DefaultParagraphFont"/>
    <w:rsid w:val="00C532D7"/>
    <w:rPr>
      <w:sz w:val="16"/>
    </w:rPr>
  </w:style>
  <w:style w:type="paragraph" w:customStyle="1" w:styleId="WideTable">
    <w:name w:val="Wide Table"/>
    <w:basedOn w:val="Normal"/>
    <w:rsid w:val="00C53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2D7"/>
  </w:style>
  <w:style w:type="paragraph" w:styleId="Quote">
    <w:name w:val="Quote"/>
    <w:basedOn w:val="Heading1"/>
    <w:link w:val="QuoteChar"/>
    <w:qFormat/>
    <w:rsid w:val="00C53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2D7"/>
    <w:pPr>
      <w:pageBreakBefore/>
    </w:pPr>
  </w:style>
  <w:style w:type="paragraph" w:customStyle="1" w:styleId="Border">
    <w:name w:val="Border"/>
    <w:basedOn w:val="Normal"/>
    <w:qFormat/>
    <w:rsid w:val="00C53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2D7"/>
    <w:rPr>
      <w:u w:val="single"/>
    </w:rPr>
  </w:style>
  <w:style w:type="character" w:customStyle="1" w:styleId="BoldandItalics">
    <w:name w:val="Bold and Italics"/>
    <w:qFormat/>
    <w:rsid w:val="00C532D7"/>
    <w:rPr>
      <w:b/>
      <w:i/>
      <w:u w:val="none"/>
    </w:rPr>
  </w:style>
  <w:style w:type="paragraph" w:styleId="BalloonText">
    <w:name w:val="Balloon Text"/>
    <w:basedOn w:val="Normal"/>
    <w:link w:val="BalloonTextChar"/>
    <w:rsid w:val="00C53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2D7"/>
    <w:pPr>
      <w:spacing w:before="0" w:after="0"/>
    </w:pPr>
  </w:style>
  <w:style w:type="paragraph" w:customStyle="1" w:styleId="BodyTextBold">
    <w:name w:val="Body Text Bold"/>
    <w:basedOn w:val="BodyText"/>
    <w:qFormat/>
    <w:rsid w:val="00C532D7"/>
    <w:rPr>
      <w:b/>
    </w:rPr>
  </w:style>
  <w:style w:type="character" w:styleId="Hyperlink">
    <w:name w:val="Hyperlink"/>
    <w:basedOn w:val="DefaultParagraphFont"/>
    <w:uiPriority w:val="99"/>
    <w:unhideWhenUsed/>
    <w:rsid w:val="00F45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3257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UEEEC0002 Assemble and install reception antennae and signal distribution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