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9BE" w:rsidP="008A59BE">
      <w:pPr>
        <w:pStyle w:val="Title"/>
      </w:pPr>
      <w:r>
        <w:fldChar w:fldCharType="begin"/>
      </w:r>
      <w:r>
        <w:instrText xml:space="preserve"> TITLE   \* MERGEFORMAT </w:instrText>
      </w:r>
      <w:r>
        <w:fldChar w:fldCharType="separate"/>
      </w:r>
      <w:r>
        <w:t>UEEDV0005 Install and maintain cabling for multiple access to telecommunication services</w:t>
      </w:r>
      <w:r>
        <w:fldChar w:fldCharType="end"/>
      </w:r>
    </w:p>
    <w:p w:rsidR="008A59BE" w:rsidP="008A59BE">
      <w:pPr>
        <w:pStyle w:val="Version"/>
        <w:sectPr w:rsidSect="001B09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B0975" w:rsidP="001B0975">
      <w:pPr>
        <w:pStyle w:val="SuperHeading"/>
      </w:pPr>
      <w:r w:rsidRPr="001B0975">
        <w:t>UEEDV0005 Install and maintain cabling for multiple access to telecommunication services</w:t>
      </w:r>
    </w:p>
    <w:p w:rsidR="00000000" w:rsidRPr="001B0975" w:rsidP="001B0975">
      <w:pPr>
        <w:pStyle w:val="Heading1"/>
      </w:pPr>
      <w:bookmarkStart w:id="1" w:name="O_1185322"/>
      <w:bookmarkEnd w:id="1"/>
      <w:r w:rsidRPr="001B0975">
        <w:t>Modification History</w:t>
      </w:r>
    </w:p>
    <w:tbl>
      <w:tblPr>
        <w:tblW w:w="9497" w:type="dxa"/>
        <w:tblLayout w:type="fixed"/>
        <w:tblCellMar>
          <w:left w:w="62" w:type="dxa"/>
          <w:right w:w="62" w:type="dxa"/>
        </w:tblCellMar>
        <w:tblLook w:val="0000"/>
      </w:tblPr>
      <w:tblGrid>
        <w:gridCol w:w="9497"/>
      </w:tblGrid>
      <w:tr w:rsidTr="001B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t>Release 2.  This minor update is the second release of this unit of competency in the UEE Electrotechnology Training Package.</w:t>
            </w:r>
          </w:p>
          <w:p w:rsidR="00000000" w:rsidP="001B0975">
            <w:pPr>
              <w:pStyle w:val="BodyText"/>
              <w:rPr>
                <w:lang w:val="en-NZ"/>
              </w:rPr>
            </w:pPr>
            <w:r w:rsidRPr="001B0975">
              <w:t>Errors that don</w:t>
            </w:r>
            <w:r>
              <w:t>’</w:t>
            </w:r>
            <w:r w:rsidRPr="001B0975">
              <w:t>t impact unit outcomes in the Range of Conditions, Performance and Knowledge Evidence were corrected.</w:t>
            </w:r>
          </w:p>
        </w:tc>
      </w:tr>
      <w:tr w:rsidTr="001B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t>Release 1. This is the first release of this unit of competency in the UEE Electrotechnology Training Package.</w:t>
            </w:r>
          </w:p>
        </w:tc>
      </w:tr>
    </w:tbl>
    <w:p w:rsidR="00000000" w:rsidRPr="001B0975" w:rsidP="001B0975">
      <w:pPr>
        <w:pStyle w:val="NoPaddingFontSize1"/>
      </w:pPr>
    </w:p>
    <w:p w:rsidR="00000000" w:rsidRPr="001B0975" w:rsidP="001B0975">
      <w:pPr>
        <w:pStyle w:val="AllowPageBreak"/>
      </w:pPr>
    </w:p>
    <w:p w:rsidR="00000000" w:rsidRPr="001B0975" w:rsidP="001B0975">
      <w:pPr>
        <w:pStyle w:val="Heading1"/>
      </w:pPr>
      <w:bookmarkStart w:id="2" w:name="O_1185321"/>
      <w:bookmarkEnd w:id="2"/>
      <w:r w:rsidRPr="001B0975">
        <w:t>Appli</w:t>
      </w:r>
      <w:r w:rsidRPr="001B0975">
        <w:t>cation</w:t>
      </w:r>
    </w:p>
    <w:tbl>
      <w:tblPr>
        <w:tblW w:w="9497" w:type="dxa"/>
        <w:tblLayout w:type="fixed"/>
        <w:tblCellMar>
          <w:left w:w="62" w:type="dxa"/>
          <w:right w:w="62" w:type="dxa"/>
        </w:tblCellMar>
        <w:tblLook w:val="0000"/>
      </w:tblPr>
      <w:tblGrid>
        <w:gridCol w:w="9497"/>
      </w:tblGrid>
      <w:tr w:rsidTr="001B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t>This unit involves the skills and knowledge required to install and maintain telecommunications cabling in buildings and premises.</w:t>
            </w:r>
          </w:p>
          <w:p w:rsidR="00000000" w:rsidRPr="001B0975" w:rsidP="001B0975">
            <w:pPr>
              <w:pStyle w:val="BodyText"/>
            </w:pPr>
            <w:r w:rsidRPr="001B0975">
              <w:t>It includes working to relevant regulations, legislation, codes of practice and industry standards and to Australian C</w:t>
            </w:r>
            <w:r w:rsidRPr="001B0975">
              <w:t>ommunications and Media Authority’s (ACMA) Telecommunications Cabling Provider Rules; installing multiple telecommunication lines for multiple access to telecommunication services; terminating at telecommunication outlets, termination modules and distribut</w:t>
            </w:r>
            <w:r w:rsidRPr="001B0975">
              <w:t>ors; testing for compliance and completing cabling documentation.</w:t>
            </w:r>
          </w:p>
          <w:p w:rsidR="00000000" w:rsidRPr="001B0975" w:rsidP="001B0975">
            <w:pPr>
              <w:pStyle w:val="BodyText"/>
            </w:pPr>
            <w:r w:rsidRPr="001B0975">
              <w:t>This unit applies to customer cabling terminated on distributors and to the installation, maintenance and modification of indoor, external, underground cabling and customer cabling and may b</w:t>
            </w:r>
            <w:r w:rsidRPr="001B0975">
              <w:t>e used to connect devices for a range of applications, including telecommunications phones, data (video and multimedia) and security (alarms and fire protection).</w:t>
            </w:r>
          </w:p>
          <w:p w:rsidR="00000000" w:rsidRPr="001B0975" w:rsidP="001B0975">
            <w:pPr>
              <w:pStyle w:val="BodyText"/>
            </w:pPr>
            <w:r w:rsidRPr="001B0975">
              <w:t>Work functions in the occupational areas where this unit may be used are subject to regulator</w:t>
            </w:r>
            <w:r w:rsidRPr="001B0975">
              <w:t>y requirements. Refer to the UEE Electrotechnology Training Package Companion Volume Implementation Guide or the relevant regulator for specific guidance on requirements.</w:t>
            </w:r>
          </w:p>
        </w:tc>
      </w:tr>
    </w:tbl>
    <w:p w:rsidR="00000000" w:rsidRPr="001B0975" w:rsidP="001B0975">
      <w:pPr>
        <w:pStyle w:val="NoPaddingFontSize1"/>
      </w:pPr>
    </w:p>
    <w:p w:rsidR="00000000" w:rsidRPr="001B0975" w:rsidP="001B0975">
      <w:pPr>
        <w:pStyle w:val="AllowPageBreak"/>
      </w:pPr>
    </w:p>
    <w:p w:rsidR="00000000" w:rsidRPr="001B0975" w:rsidP="001B0975">
      <w:pPr>
        <w:pStyle w:val="Heading1"/>
      </w:pPr>
      <w:bookmarkStart w:id="3" w:name="O_1185320"/>
      <w:bookmarkEnd w:id="3"/>
      <w:r w:rsidRPr="001B0975">
        <w:t>Pre-requisite Unit</w:t>
      </w:r>
    </w:p>
    <w:tbl>
      <w:tblPr>
        <w:tblW w:w="9497" w:type="dxa"/>
        <w:tblLayout w:type="fixed"/>
        <w:tblCellMar>
          <w:left w:w="62" w:type="dxa"/>
          <w:right w:w="62" w:type="dxa"/>
        </w:tblCellMar>
        <w:tblLook w:val="0000"/>
      </w:tblPr>
      <w:tblGrid>
        <w:gridCol w:w="9497"/>
      </w:tblGrid>
      <w:tr w:rsidTr="001B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t>UEECD0007 Apply work health and safety regula</w:t>
            </w:r>
            <w:r w:rsidRPr="001B0975">
              <w:t>tions, codes and practices in the workplace</w:t>
            </w:r>
          </w:p>
          <w:p w:rsidR="00000000" w:rsidRPr="001B0975" w:rsidP="001B0975">
            <w:pPr>
              <w:pStyle w:val="BodyText"/>
            </w:pPr>
            <w:r w:rsidRPr="001B0975">
              <w:t>UEECD0019 Fabricate, assemble and dismantle utilities industry components</w:t>
            </w:r>
          </w:p>
          <w:p w:rsidR="00000000" w:rsidRPr="001B0975" w:rsidP="001B0975">
            <w:pPr>
              <w:pStyle w:val="BodyText"/>
            </w:pPr>
            <w:r w:rsidRPr="001B0975">
              <w:t>UEECD0020 Fix and secure electrotechnology equipment</w:t>
            </w:r>
          </w:p>
          <w:p w:rsidR="00000000" w:rsidRPr="001B0975" w:rsidP="001B0975">
            <w:pPr>
              <w:pStyle w:val="BodyText"/>
            </w:pPr>
            <w:r w:rsidRPr="001B0975">
              <w:t>UEECD0051 Use drawings, diagrams, schedules, standards, codes and specifications</w:t>
            </w:r>
          </w:p>
          <w:p w:rsidR="00000000" w:rsidRPr="001B0975" w:rsidP="001B0975">
            <w:pPr>
              <w:pStyle w:val="BodyText"/>
            </w:pPr>
            <w:r w:rsidRPr="001B0975">
              <w:t>AND</w:t>
            </w:r>
          </w:p>
          <w:p w:rsidR="00000000" w:rsidRPr="001B0975" w:rsidP="001B0975">
            <w:pPr>
              <w:pStyle w:val="BodyText"/>
            </w:pPr>
            <w:r w:rsidRPr="001B0975">
              <w:t>UEECD0043 Solve problems in direct current circuits</w:t>
            </w:r>
          </w:p>
          <w:p w:rsidR="00000000" w:rsidRPr="001B0975" w:rsidP="001B0975">
            <w:pPr>
              <w:pStyle w:val="BodyText"/>
            </w:pPr>
            <w:r w:rsidRPr="001B0975">
              <w:t>OR</w:t>
            </w:r>
          </w:p>
          <w:p w:rsidR="00000000" w:rsidRPr="001B0975" w:rsidP="001B0975">
            <w:pPr>
              <w:pStyle w:val="BodyText"/>
            </w:pPr>
            <w:r w:rsidRPr="001B0975">
              <w:t>UEECD0044 Solve problems in multiple path circuits</w:t>
            </w:r>
          </w:p>
          <w:p w:rsidR="00000000" w:rsidRPr="001B0975" w:rsidP="001B0975">
            <w:pPr>
              <w:pStyle w:val="BodyText"/>
            </w:pPr>
            <w:r w:rsidRPr="001B0975">
              <w:t>UEECD0046 Solve problems in single path circuits</w:t>
            </w:r>
          </w:p>
        </w:tc>
      </w:tr>
    </w:tbl>
    <w:p w:rsidR="00000000" w:rsidRPr="001B0975" w:rsidP="001B0975">
      <w:pPr>
        <w:pStyle w:val="NoPaddingFontSize1"/>
      </w:pPr>
    </w:p>
    <w:p w:rsidR="00000000" w:rsidRPr="001B0975" w:rsidP="001B0975">
      <w:pPr>
        <w:pStyle w:val="AllowPageBreak"/>
      </w:pPr>
    </w:p>
    <w:p w:rsidR="00000000" w:rsidRPr="001B0975" w:rsidP="001B0975">
      <w:pPr>
        <w:pStyle w:val="Heading1"/>
      </w:pPr>
      <w:bookmarkStart w:id="4" w:name="O_1185319"/>
      <w:bookmarkEnd w:id="4"/>
      <w:r w:rsidRPr="001B0975">
        <w:t>Competency Field</w:t>
      </w:r>
    </w:p>
    <w:tbl>
      <w:tblPr>
        <w:tblW w:w="9497" w:type="dxa"/>
        <w:tblLayout w:type="fixed"/>
        <w:tblCellMar>
          <w:left w:w="62" w:type="dxa"/>
          <w:right w:w="62" w:type="dxa"/>
        </w:tblCellMar>
        <w:tblLook w:val="0000"/>
      </w:tblPr>
      <w:tblGrid>
        <w:gridCol w:w="9497"/>
      </w:tblGrid>
      <w:tr w:rsidTr="001B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t>Data and Voice</w:t>
            </w:r>
          </w:p>
        </w:tc>
      </w:tr>
    </w:tbl>
    <w:p w:rsidR="00000000" w:rsidRPr="001B0975" w:rsidP="001B0975">
      <w:pPr>
        <w:pStyle w:val="NoPaddingFontSize1"/>
      </w:pPr>
    </w:p>
    <w:p w:rsidR="00000000" w:rsidRPr="001B0975" w:rsidP="001B0975">
      <w:pPr>
        <w:pStyle w:val="AllowPageBreak"/>
      </w:pPr>
    </w:p>
    <w:p w:rsidR="00000000" w:rsidRPr="001B0975" w:rsidP="001B0975">
      <w:pPr>
        <w:pStyle w:val="Heading1"/>
      </w:pPr>
      <w:bookmarkStart w:id="5" w:name="O_1185318"/>
      <w:bookmarkEnd w:id="5"/>
      <w:r w:rsidRPr="001B0975">
        <w:t>Unit Sector</w:t>
      </w:r>
    </w:p>
    <w:tbl>
      <w:tblPr>
        <w:tblW w:w="9497" w:type="dxa"/>
        <w:tblLayout w:type="fixed"/>
        <w:tblCellMar>
          <w:left w:w="62" w:type="dxa"/>
          <w:right w:w="62" w:type="dxa"/>
        </w:tblCellMar>
        <w:tblLook w:val="0000"/>
      </w:tblPr>
      <w:tblGrid>
        <w:gridCol w:w="9497"/>
      </w:tblGrid>
      <w:tr w:rsidTr="001B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t>Electrotechnolo</w:t>
            </w:r>
            <w:r w:rsidRPr="001B0975">
              <w:t>gy</w:t>
            </w:r>
          </w:p>
        </w:tc>
      </w:tr>
    </w:tbl>
    <w:p w:rsidR="00000000" w:rsidRPr="001B0975" w:rsidP="001B0975">
      <w:pPr>
        <w:pStyle w:val="NoPaddingFontSize1"/>
      </w:pPr>
    </w:p>
    <w:p w:rsidR="00000000" w:rsidRPr="001B0975" w:rsidP="001B0975">
      <w:pPr>
        <w:pStyle w:val="AllowPageBreak"/>
      </w:pPr>
    </w:p>
    <w:p w:rsidR="00000000" w:rsidRPr="001B0975" w:rsidP="001B0975">
      <w:pPr>
        <w:pStyle w:val="Heading1"/>
      </w:pPr>
      <w:bookmarkStart w:id="6" w:name="O_1185317"/>
      <w:bookmarkEnd w:id="6"/>
      <w:r w:rsidRPr="001B097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1B097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PERFORMANCE CRITERIA</w:t>
            </w:r>
          </w:p>
        </w:tc>
      </w:tr>
      <w:tr w:rsidTr="001B097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Performance criteria describe the performance needed to demonstrate achievement of the element.</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rPr>
                <w:rStyle w:val="SpecialBold"/>
              </w:rPr>
              <w:t xml:space="preserve">Prepare to install </w:t>
            </w:r>
            <w:r w:rsidRPr="001B0975">
              <w:rPr>
                <w:rStyle w:val="SpecialBold"/>
              </w:rPr>
              <w:t>and maintain cabling</w:t>
            </w: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Work health and safety (WHS)/occupational health and safety (OHS) requirements and workplace procedures for a given work area are identified and applied</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Hazards are identified, risks are assessed and control measures and wor</w:t>
            </w:r>
            <w:r w:rsidRPr="001B0975">
              <w:t>kplace procedures are implemented</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Nature and location of the work is determined from documentation or relevant person/s to determine scope of work to be undertaken</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 xml:space="preserve">Cable routes are planned within the constraints of the building structure and in accordance with relevant regulations, legislation, codes of practice and industry standards </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Earthing requirements are determined in accordance with existing earthing a</w:t>
            </w:r>
            <w:r w:rsidRPr="001B0975">
              <w:t>rrangements, where applicable, and cable system, earth upper and lower resistance limitations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Advice is sought from relevant person/s to ensure work is coordinated effectively with others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Materials required for the work are obtained in accordance with workplace procedures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 xml:space="preserve">Tools, equipment and testing devices required for the </w:t>
            </w:r>
            <w:r w:rsidRPr="001B0975">
              <w:t>work are obtained and checked for correct operation and safety in accordance with workplace procedures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rPr>
                <w:rStyle w:val="SpecialBold"/>
              </w:rPr>
              <w:t>Inst</w:t>
            </w:r>
            <w:r w:rsidRPr="001B0975">
              <w:rPr>
                <w:rStyle w:val="SpecialBold"/>
              </w:rPr>
              <w:t>all and maintain cabling</w:t>
            </w: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WHS/OHS risk control measures and workplace procedures for carrying out the work are followed</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Installed support structure is checked for compliance to ensure cable will not be exposed to damage during installation and ge</w:t>
            </w:r>
            <w:r w:rsidRPr="001B0975">
              <w:t>neral operation</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Catenary supports are secured to building structure and tensioned, as required, to ensure cable weight can be carried in operating conditions, with interference and safety segregation maintained in accordance with relevant regulation</w:t>
            </w:r>
            <w:r w:rsidRPr="001B0975">
              <w:t xml:space="preserve">s, legislation, codes and standards </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Protective earthing of metal work is installed in accordance with job requirements and industry standards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Cables/wires are installed in accordance with manufacturer application, tension and bending stress requirement specifications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Sufficient cable excess is allowed at cable ends to facilitate termination in accordance with workplace procedures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w:t>
            </w:r>
            <w:r w:rsidRPr="001B0975">
              <w:t>able ends terminating at a telecommunication outlet are labelled in accordance with industry standards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Cable is placed and secured to maintain safety and interference segregation in accordance with legislative and industry standards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Cable ties are tightened correctly and safely in accordance with workplace procedures and industry standards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Customer cabling is installed in accordance with relevant regulations, codes of practice and industry standards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Surge suppression d</w:t>
            </w:r>
            <w:r w:rsidRPr="001B0975">
              <w:t>evices are fitted to all cable pairs as required with the devices protectively earthed in accordance with relevant regulations, codes of practice and industry standards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2.12</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Telecommunications reference conductor (TRC)/communications earth system (CES)/protective earth (PE) insulation is protected against damage and TRC/CES and PE are segregated in accordance with relevant regulations, codes of practice and industry standards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2.13</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Cabling is installed without waste of materials and energy or damage to apparatus, the surrounding environment or services using sustainable energy practices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2.14</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Regular quality checks are conducted in accordance with workplace procedures to en</w:t>
            </w:r>
            <w:r w:rsidRPr="001B0975">
              <w:t xml:space="preserve">sure cabling complies with requirements </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rPr>
                <w:rStyle w:val="SpecialBold"/>
              </w:rPr>
              <w:t>Terminate, inspect and test cables and earth wires</w:t>
            </w: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WHS/OHS risk control work measures and workplace procedures for carrying out work are followed</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Cable sheath is removed to allow for correct terminatio</w:t>
            </w:r>
            <w:r w:rsidRPr="001B0975">
              <w:t>n length and without damage to underlying conductors and their insulation</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 xml:space="preserve">Terminating modules are installed in accordance with manufacturer specifications and cable pairs neatly and sequentially fanned for termination </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Conductors are terminated in accordance with recommended colour code sequence and using relevant termination tools in accordance with manufacturer guidelines and operating instructions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Cable shields are earthed, as required, in accordance with manuf</w:t>
            </w:r>
            <w:r w:rsidRPr="001B0975">
              <w:t>acturer specifications, relevant regulations, codes of practice and industry standards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 xml:space="preserve">Visual inspection is undertaken prior to end-to-end testing of wire and pair termination integrity to confirm termination colour code sequence has been followed </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Cable pairs are tested and clearly labelled to provide accurate identification in accordance with job requirements and workplace procedures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TRC/CES/PE are terminated with connectors in accordance with manufacturer specifications, relevant industry codes of practice and industry standards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3.9</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TRC/CES/PE wire continuity is maintained in accordance with workplace procedures and interface requi</w:t>
            </w:r>
            <w:r w:rsidRPr="001B0975">
              <w:t>rements with electrical systems are followed</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3.10</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 xml:space="preserve">TRC/CES/PE installation is tested for continuity insulation resistance and conductive resistance in accordance with relevant industry standards </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3.11</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Earthing system is labelled in accordance with job</w:t>
            </w:r>
            <w:r w:rsidRPr="001B0975">
              <w:t xml:space="preserve"> requirements and workplace procedures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3.12</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 xml:space="preserve">New work is tested both in isolation and when integrated with existing systems, and compatibility of alterations with existing systems is confirmed </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3.13</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Cabling is terminated without waste of materials and energy or damage to apparatus, the surrounding environment or services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3.14</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Regular quality checks are conducted and any defects rectified to ensure cabling complies with requirements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rPr>
                <w:rStyle w:val="SpecialBold"/>
              </w:rPr>
              <w:t>Complete cabl</w:t>
            </w:r>
            <w:r w:rsidRPr="001B0975">
              <w:rPr>
                <w:rStyle w:val="SpecialBold"/>
              </w:rPr>
              <w:t>ing work records and reporting</w:t>
            </w: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WHS/OHS risk control measures and procedures for work completion are followed</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Worksite is cleaned and made safe in accordance with workplace procedures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Record sheets, plans of cable location type and infrastructure are accurately created or updated and stored in accordance with customer requirements and workplace procedures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Cable pair record books are created or updated to provide an accurate recor</w:t>
            </w:r>
            <w:r w:rsidRPr="001B0975">
              <w:t>d of pair locations, inter-connections and usage in accordance with relevant regulations, codes of practice and industry standards</w:t>
            </w:r>
          </w:p>
        </w:tc>
      </w:tr>
      <w:tr w:rsidTr="001B097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B0975">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t>Telecommunications cabling advice (TCA 1) is documented and reported in accordance with requirements and workplace pro</w:t>
            </w:r>
            <w:r w:rsidRPr="001B0975">
              <w:t>cedures</w:t>
            </w:r>
          </w:p>
        </w:tc>
      </w:tr>
    </w:tbl>
    <w:p w:rsidR="00000000" w:rsidRPr="001B0975" w:rsidP="001B0975">
      <w:pPr>
        <w:pStyle w:val="NoPaddingFontSize1"/>
      </w:pPr>
    </w:p>
    <w:p w:rsidR="00000000" w:rsidRPr="001B0975" w:rsidP="001B0975">
      <w:pPr>
        <w:pStyle w:val="AllowPageBreak"/>
      </w:pPr>
    </w:p>
    <w:p w:rsidR="00000000" w:rsidRPr="001B0975" w:rsidP="001B0975">
      <w:pPr>
        <w:pStyle w:val="Heading1"/>
      </w:pPr>
      <w:bookmarkStart w:id="7" w:name="O_1185316"/>
      <w:bookmarkEnd w:id="7"/>
      <w:r w:rsidRPr="001B0975">
        <w:t>Foundation Skills</w:t>
      </w:r>
    </w:p>
    <w:tbl>
      <w:tblPr>
        <w:tblW w:w="9497" w:type="dxa"/>
        <w:tblLayout w:type="fixed"/>
        <w:tblCellMar>
          <w:left w:w="62" w:type="dxa"/>
          <w:right w:w="62" w:type="dxa"/>
        </w:tblCellMar>
        <w:tblLook w:val="0000"/>
      </w:tblPr>
      <w:tblGrid>
        <w:gridCol w:w="9497"/>
      </w:tblGrid>
      <w:tr w:rsidTr="001B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t>Foundation skills essential to performance are explicit in the performance criteria of this unit of competency.</w:t>
            </w:r>
          </w:p>
        </w:tc>
      </w:tr>
    </w:tbl>
    <w:p w:rsidR="00000000" w:rsidRPr="001B0975" w:rsidP="001B0975">
      <w:pPr>
        <w:pStyle w:val="NoPaddingFontSize1"/>
      </w:pPr>
    </w:p>
    <w:p w:rsidR="00000000" w:rsidRPr="001B0975" w:rsidP="001B0975">
      <w:pPr>
        <w:pStyle w:val="AllowPageBreak"/>
      </w:pPr>
    </w:p>
    <w:p w:rsidR="00000000" w:rsidRPr="001B0975" w:rsidP="001B0975">
      <w:pPr>
        <w:pStyle w:val="Heading1"/>
      </w:pPr>
      <w:bookmarkStart w:id="8" w:name="O_1185315"/>
      <w:bookmarkEnd w:id="8"/>
      <w:r w:rsidRPr="001B0975">
        <w:t>Range of Conditions</w:t>
      </w:r>
    </w:p>
    <w:tbl>
      <w:tblPr>
        <w:tblW w:w="9497" w:type="dxa"/>
        <w:tblLayout w:type="fixed"/>
        <w:tblCellMar>
          <w:left w:w="62" w:type="dxa"/>
          <w:right w:w="62" w:type="dxa"/>
        </w:tblCellMar>
        <w:tblLook w:val="0000"/>
      </w:tblPr>
      <w:tblGrid>
        <w:gridCol w:w="4661"/>
        <w:gridCol w:w="4836"/>
      </w:tblGrid>
      <w:tr w:rsidTr="001B097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t>Range is restricted to essential operating conditions and any other variables essential to the work environment.</w:t>
            </w:r>
          </w:p>
          <w:p w:rsidR="00000000" w:rsidP="001B0975">
            <w:pPr>
              <w:pStyle w:val="BodyText"/>
              <w:rPr>
                <w:lang w:val="en-NZ"/>
              </w:rPr>
            </w:pPr>
            <w:r w:rsidRPr="001B0975">
              <w:t>Non-essential conditions may be found in the UEE Electrotechnology Training Package Companion Volume Implementation Guide.</w:t>
            </w:r>
          </w:p>
        </w:tc>
      </w:tr>
      <w:tr w:rsidTr="001B0975">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Cable laying and c</w:t>
            </w:r>
            <w:r w:rsidRPr="001B0975">
              <w:t>onnecting to larger commercial and industry installations must include:</w:t>
            </w:r>
          </w:p>
        </w:tc>
        <w:tc>
          <w:tcPr>
            <w:tcW w:w="4836" w:type="dxa"/>
            <w:tcBorders>
              <w:top w:val="nil"/>
              <w:left w:val="nil"/>
              <w:bottom w:val="nil"/>
              <w:right w:val="nil"/>
            </w:tcBorders>
            <w:tcMar>
              <w:top w:w="0" w:type="dxa"/>
              <w:left w:w="62" w:type="dxa"/>
              <w:bottom w:w="0" w:type="dxa"/>
              <w:right w:w="62" w:type="dxa"/>
            </w:tcMar>
          </w:tcPr>
          <w:p w:rsidR="00000000" w:rsidRPr="001B0975" w:rsidP="001B0975">
            <w:pPr>
              <w:pStyle w:val="ListBullet"/>
            </w:pPr>
            <w:r w:rsidRPr="001B0975">
              <w:t>multi-pair cables</w:t>
            </w:r>
          </w:p>
          <w:p w:rsidR="00000000" w:rsidRPr="001B0975" w:rsidP="001B0975">
            <w:pPr>
              <w:pStyle w:val="ListBullet"/>
            </w:pPr>
            <w:r w:rsidRPr="001B0975">
              <w:t>multi-story buildings</w:t>
            </w:r>
          </w:p>
          <w:p w:rsidR="00000000" w:rsidP="001B0975">
            <w:pPr>
              <w:pStyle w:val="ListBullet"/>
              <w:rPr>
                <w:lang w:val="en-NZ"/>
              </w:rPr>
            </w:pPr>
            <w:r w:rsidRPr="001B0975">
              <w:t>termination modules and distributors</w:t>
            </w:r>
          </w:p>
        </w:tc>
      </w:tr>
      <w:tr w:rsidTr="001B0975">
        <w:tblPrEx>
          <w:tblW w:w="9497" w:type="dxa"/>
          <w:tblLayout w:type="fixed"/>
          <w:tblCellMar>
            <w:left w:w="62" w:type="dxa"/>
            <w:right w:w="62" w:type="dxa"/>
          </w:tblCellMar>
          <w:tblLook w:val="0000"/>
        </w:tblPrEx>
        <w:tc>
          <w:tcPr>
            <w:tcW w:w="4661" w:type="dxa"/>
            <w:tcBorders>
              <w:top w:val="nil"/>
              <w:left w:val="nil"/>
              <w:bottom w:val="nil"/>
              <w:right w:val="nil"/>
            </w:tcBorders>
            <w:tcMar>
              <w:top w:w="0" w:type="dxa"/>
              <w:left w:w="62" w:type="dxa"/>
              <w:bottom w:w="0" w:type="dxa"/>
              <w:right w:w="62" w:type="dxa"/>
            </w:tcMar>
          </w:tcPr>
          <w:p w:rsidR="00000000" w:rsidP="001B0975">
            <w:pPr>
              <w:pStyle w:val="BodyText"/>
              <w:rPr>
                <w:lang w:val="en-NZ"/>
              </w:rPr>
            </w:pPr>
            <w:r w:rsidRPr="001B0975">
              <w:t>Terminating systems at both distributor and outlet locations must include:</w:t>
            </w:r>
          </w:p>
        </w:tc>
        <w:tc>
          <w:tcPr>
            <w:tcW w:w="4836" w:type="dxa"/>
            <w:tcBorders>
              <w:top w:val="nil"/>
              <w:left w:val="nil"/>
              <w:bottom w:val="nil"/>
              <w:right w:val="nil"/>
            </w:tcBorders>
            <w:tcMar>
              <w:top w:w="0" w:type="dxa"/>
              <w:left w:w="62" w:type="dxa"/>
              <w:bottom w:w="0" w:type="dxa"/>
              <w:right w:w="62" w:type="dxa"/>
            </w:tcMar>
          </w:tcPr>
          <w:p w:rsidR="00000000" w:rsidRPr="001B0975" w:rsidP="001B0975">
            <w:pPr>
              <w:pStyle w:val="ListBullet"/>
            </w:pPr>
            <w:r w:rsidRPr="001B0975">
              <w:t>two jumperable distr</w:t>
            </w:r>
            <w:r w:rsidRPr="001B0975">
              <w:t>ibutors with one having a capacity of 100 pair or greater</w:t>
            </w:r>
          </w:p>
          <w:p w:rsidR="00000000" w:rsidRPr="001B0975" w:rsidP="001B0975">
            <w:pPr>
              <w:pStyle w:val="ListBullet"/>
            </w:pPr>
            <w:r w:rsidRPr="001B0975">
              <w:t>a cable in excess of 20 pair and a 4 pair</w:t>
            </w:r>
          </w:p>
        </w:tc>
      </w:tr>
    </w:tbl>
    <w:p w:rsidR="00000000" w:rsidRPr="001B0975" w:rsidP="001B0975">
      <w:pPr>
        <w:pStyle w:val="NoPaddingFontSize1"/>
      </w:pPr>
    </w:p>
    <w:p w:rsidR="00000000" w:rsidRPr="001B0975" w:rsidP="001B0975">
      <w:pPr>
        <w:pStyle w:val="AllowPageBreak"/>
      </w:pPr>
    </w:p>
    <w:p w:rsidR="00000000" w:rsidRPr="001B0975" w:rsidP="001B0975">
      <w:pPr>
        <w:pStyle w:val="Heading1"/>
      </w:pPr>
      <w:bookmarkStart w:id="9" w:name="O_1185314"/>
      <w:bookmarkEnd w:id="9"/>
      <w:r w:rsidRPr="001B0975">
        <w:t>Unit Mapping Information</w:t>
      </w:r>
    </w:p>
    <w:tbl>
      <w:tblPr>
        <w:tblW w:w="9497" w:type="dxa"/>
        <w:tblLayout w:type="fixed"/>
        <w:tblCellMar>
          <w:left w:w="62" w:type="dxa"/>
          <w:right w:w="62" w:type="dxa"/>
        </w:tblCellMar>
        <w:tblLook w:val="0000"/>
      </w:tblPr>
      <w:tblGrid>
        <w:gridCol w:w="9497"/>
      </w:tblGrid>
      <w:tr w:rsidTr="001B097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0975" w:rsidP="001B0975">
            <w:pPr>
              <w:pStyle w:val="BodyText"/>
            </w:pPr>
            <w:r w:rsidRPr="001B0975">
              <w:t>This unit replaces and is equivalent to UEENEEF102A Install and maintain cabling for multiple access to teleco</w:t>
            </w:r>
            <w:r w:rsidRPr="001B0975">
              <w:t>mmunication services.</w:t>
            </w:r>
          </w:p>
        </w:tc>
      </w:tr>
    </w:tbl>
    <w:p w:rsidR="00000000" w:rsidRPr="001B0975" w:rsidP="001B0975">
      <w:pPr>
        <w:pStyle w:val="NoPaddingFontSize1"/>
      </w:pPr>
    </w:p>
    <w:p w:rsidR="00000000" w:rsidRPr="001B0975" w:rsidP="001B0975">
      <w:pPr>
        <w:pStyle w:val="AllowPageBreak"/>
      </w:pPr>
    </w:p>
    <w:p w:rsidR="00000000" w:rsidRPr="001B0975" w:rsidP="001B0975">
      <w:pPr>
        <w:pStyle w:val="Heading1"/>
      </w:pPr>
      <w:bookmarkStart w:id="10" w:name="O_1185323"/>
      <w:bookmarkEnd w:id="10"/>
      <w:r w:rsidRPr="001B0975">
        <w:t>Links</w:t>
      </w:r>
    </w:p>
    <w:p w:rsidR="00000000" w:rsidRPr="001B0975" w:rsidP="008A59BE">
      <w:pPr>
        <w:pStyle w:val="BodyText"/>
      </w:pPr>
      <w:r w:rsidRPr="001B097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11168C">
        <w:rPr>
          <w:rStyle w:val="Hyperlink"/>
        </w:rPr>
        <w:t>https://vetnet.gov.au/Pages/TrainingDocs.aspx?q=b8a8f136-5421-4ce1-92e0-2b50341431b6</w:t>
      </w:r>
      <w:r>
        <w:fldChar w:fldCharType="end"/>
      </w:r>
    </w:p>
    <w:p w:rsidR="00000000" w:rsidRPr="001B0975" w:rsidP="001B0975"/>
    <w:sectPr w:rsidSect="001B09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75" w:rsidRPr="008A59BE" w:rsidP="008A59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BE" w:rsidP="001B09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59BE" w:rsidP="001B097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A59BE" w:rsidP="001B09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0975" w:rsidRPr="008A59BE" w:rsidP="008A59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9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9BE" w:rsidRPr="002D2AF8" w:rsidP="001B0975">
    <w:pPr>
      <w:pStyle w:val="Header"/>
      <w:framePr w:wrap="around"/>
    </w:pPr>
    <w:r>
      <w:fldChar w:fldCharType="begin"/>
    </w:r>
    <w:r>
      <w:instrText xml:space="preserve"> TITLE   \* MERGEFORMAT </w:instrText>
    </w:r>
    <w:r>
      <w:fldChar w:fldCharType="separate"/>
    </w:r>
    <w:r>
      <w:t>UEEDV0005 Install and maintain cabling for multiple access to telecommunication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A59BE" w:rsidP="001B09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E84F6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6872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9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0975"/>
    <w:pPr>
      <w:spacing w:before="360" w:after="60"/>
      <w:outlineLvl w:val="0"/>
    </w:pPr>
    <w:rPr>
      <w:sz w:val="32"/>
    </w:rPr>
  </w:style>
  <w:style w:type="paragraph" w:styleId="Heading2">
    <w:name w:val="heading 2"/>
    <w:basedOn w:val="HeadingBase"/>
    <w:next w:val="BodyText"/>
    <w:link w:val="Heading2Char"/>
    <w:qFormat/>
    <w:rsid w:val="001B0975"/>
    <w:pPr>
      <w:keepLines/>
      <w:spacing w:before="240" w:after="120"/>
      <w:outlineLvl w:val="1"/>
    </w:pPr>
    <w:rPr>
      <w:sz w:val="28"/>
      <w:szCs w:val="40"/>
    </w:rPr>
  </w:style>
  <w:style w:type="paragraph" w:styleId="Heading3">
    <w:name w:val="heading 3"/>
    <w:basedOn w:val="HeadingBase"/>
    <w:next w:val="BodyText"/>
    <w:link w:val="Heading3Char"/>
    <w:qFormat/>
    <w:rsid w:val="001B0975"/>
    <w:pPr>
      <w:spacing w:before="180" w:after="120"/>
      <w:outlineLvl w:val="2"/>
    </w:pPr>
    <w:rPr>
      <w:spacing w:val="-10"/>
      <w:kern w:val="32"/>
    </w:rPr>
  </w:style>
  <w:style w:type="paragraph" w:styleId="Heading4">
    <w:name w:val="heading 4"/>
    <w:basedOn w:val="HeadingBase"/>
    <w:next w:val="BodyText"/>
    <w:link w:val="Heading4Char"/>
    <w:qFormat/>
    <w:rsid w:val="001B0975"/>
    <w:pPr>
      <w:spacing w:before="160" w:after="120"/>
      <w:outlineLvl w:val="3"/>
    </w:pPr>
    <w:rPr>
      <w:sz w:val="22"/>
    </w:rPr>
  </w:style>
  <w:style w:type="paragraph" w:styleId="Heading5">
    <w:name w:val="heading 5"/>
    <w:basedOn w:val="HeadingBase"/>
    <w:next w:val="Normal"/>
    <w:link w:val="Heading5Char"/>
    <w:qFormat/>
    <w:rsid w:val="001B0975"/>
    <w:pPr>
      <w:spacing w:before="80"/>
      <w:outlineLvl w:val="4"/>
    </w:pPr>
    <w:rPr>
      <w:color w:val="918585"/>
      <w:sz w:val="20"/>
    </w:rPr>
  </w:style>
  <w:style w:type="paragraph" w:styleId="Heading6">
    <w:name w:val="heading 6"/>
    <w:basedOn w:val="HeadingBase"/>
    <w:next w:val="Normal"/>
    <w:link w:val="Heading6Char"/>
    <w:qFormat/>
    <w:rsid w:val="001B0975"/>
    <w:pPr>
      <w:spacing w:before="60"/>
      <w:outlineLvl w:val="5"/>
    </w:pPr>
    <w:rPr>
      <w:color w:val="918585"/>
      <w:sz w:val="20"/>
    </w:rPr>
  </w:style>
  <w:style w:type="paragraph" w:styleId="Heading7">
    <w:name w:val="heading 7"/>
    <w:basedOn w:val="Normal"/>
    <w:next w:val="Normal"/>
    <w:link w:val="Heading7Char"/>
    <w:qFormat/>
    <w:rsid w:val="001B0975"/>
    <w:pPr>
      <w:ind w:left="720"/>
      <w:outlineLvl w:val="6"/>
    </w:pPr>
    <w:rPr>
      <w:i/>
    </w:rPr>
  </w:style>
  <w:style w:type="paragraph" w:styleId="Heading8">
    <w:name w:val="heading 8"/>
    <w:basedOn w:val="Normal"/>
    <w:next w:val="Normal"/>
    <w:link w:val="Heading8Char"/>
    <w:qFormat/>
    <w:rsid w:val="001B0975"/>
    <w:pPr>
      <w:ind w:left="720"/>
      <w:outlineLvl w:val="7"/>
    </w:pPr>
    <w:rPr>
      <w:i/>
    </w:rPr>
  </w:style>
  <w:style w:type="paragraph" w:styleId="Heading9">
    <w:name w:val="heading 9"/>
    <w:basedOn w:val="Normal"/>
    <w:next w:val="Normal"/>
    <w:link w:val="Heading9Char"/>
    <w:qFormat/>
    <w:rsid w:val="001B0975"/>
    <w:pPr>
      <w:ind w:left="720"/>
      <w:outlineLvl w:val="8"/>
    </w:pPr>
    <w:rPr>
      <w:i/>
    </w:rPr>
  </w:style>
  <w:style w:type="character" w:default="1" w:styleId="DefaultParagraphFont">
    <w:name w:val="Default Paragraph Font"/>
    <w:uiPriority w:val="1"/>
    <w:unhideWhenUsed/>
    <w:rsid w:val="001B09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975"/>
  </w:style>
  <w:style w:type="character" w:customStyle="1" w:styleId="Heading1Char">
    <w:name w:val="Heading 1 Char"/>
    <w:basedOn w:val="DefaultParagraphFont"/>
    <w:link w:val="Heading1"/>
    <w:rsid w:val="001B0975"/>
    <w:rPr>
      <w:rFonts w:ascii="Times New Roman" w:eastAsia="Times New Roman" w:hAnsi="Times New Roman" w:cs="Times New Roman"/>
      <w:b/>
      <w:sz w:val="32"/>
      <w:szCs w:val="20"/>
      <w:lang w:eastAsia="en-US"/>
    </w:rPr>
  </w:style>
  <w:style w:type="paragraph" w:styleId="BodyText">
    <w:name w:val="Body Text"/>
    <w:basedOn w:val="Normal"/>
    <w:link w:val="BodyTextChar"/>
    <w:rsid w:val="001B09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0975"/>
    <w:rPr>
      <w:rFonts w:ascii="Times New Roman" w:eastAsia="Times New Roman" w:hAnsi="Times New Roman" w:cs="Times New Roman"/>
      <w:sz w:val="24"/>
      <w:lang w:eastAsia="en-US"/>
    </w:rPr>
  </w:style>
  <w:style w:type="paragraph" w:styleId="ListBullet">
    <w:name w:val="List Bullet"/>
    <w:basedOn w:val="List"/>
    <w:rsid w:val="001B0975"/>
    <w:pPr>
      <w:numPr>
        <w:numId w:val="11"/>
      </w:numPr>
      <w:tabs>
        <w:tab w:val="clear" w:pos="340"/>
      </w:tabs>
      <w:spacing w:before="40" w:after="40"/>
    </w:pPr>
  </w:style>
  <w:style w:type="character" w:customStyle="1" w:styleId="SpecialBold">
    <w:name w:val="Special Bold"/>
    <w:basedOn w:val="DefaultParagraphFont"/>
    <w:rsid w:val="001B0975"/>
    <w:rPr>
      <w:b/>
      <w:spacing w:val="0"/>
    </w:rPr>
  </w:style>
  <w:style w:type="paragraph" w:customStyle="1" w:styleId="SuperHeading">
    <w:name w:val="SuperHeading"/>
    <w:basedOn w:val="Normal"/>
    <w:rsid w:val="001B0975"/>
    <w:pPr>
      <w:spacing w:before="240" w:after="120"/>
      <w:outlineLvl w:val="0"/>
    </w:pPr>
    <w:rPr>
      <w:rFonts w:ascii="Times New Roman" w:hAnsi="Times New Roman"/>
      <w:b/>
      <w:sz w:val="32"/>
    </w:rPr>
  </w:style>
  <w:style w:type="paragraph" w:customStyle="1" w:styleId="AllowPageBreak">
    <w:name w:val="AllowPageBreak"/>
    <w:rsid w:val="001B097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09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9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9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9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9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9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09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0975"/>
    <w:rPr>
      <w:rFonts w:ascii="Courier New" w:eastAsia="Times New Roman" w:hAnsi="Courier New" w:cs="Times New Roman"/>
      <w:i/>
      <w:szCs w:val="20"/>
      <w:lang w:eastAsia="en-US"/>
    </w:rPr>
  </w:style>
  <w:style w:type="paragraph" w:customStyle="1" w:styleId="HeadingBase">
    <w:name w:val="Heading Base"/>
    <w:rsid w:val="001B09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975"/>
    <w:pPr>
      <w:tabs>
        <w:tab w:val="right" w:leader="dot" w:pos="9072"/>
      </w:tabs>
      <w:ind w:left="567"/>
    </w:pPr>
    <w:rPr>
      <w:szCs w:val="22"/>
    </w:rPr>
  </w:style>
  <w:style w:type="paragraph" w:customStyle="1" w:styleId="TOCBase">
    <w:name w:val="TOC Base"/>
    <w:rsid w:val="001B09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975"/>
    <w:pPr>
      <w:tabs>
        <w:tab w:val="right" w:leader="dot" w:pos="9072"/>
      </w:tabs>
      <w:spacing w:before="40" w:after="40"/>
      <w:ind w:left="284"/>
    </w:pPr>
    <w:rPr>
      <w:rFonts w:ascii="Times New Roman" w:hAnsi="Times New Roman"/>
    </w:rPr>
  </w:style>
  <w:style w:type="paragraph" w:styleId="TOC1">
    <w:name w:val="toc 1"/>
    <w:basedOn w:val="TOCBase"/>
    <w:next w:val="Normal"/>
    <w:rsid w:val="001B09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09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975"/>
    <w:rPr>
      <w:rFonts w:ascii="Times New Roman" w:eastAsia="Times New Roman" w:hAnsi="Times New Roman" w:cs="Times New Roman"/>
      <w:sz w:val="16"/>
      <w:lang w:eastAsia="en-US"/>
    </w:rPr>
  </w:style>
  <w:style w:type="paragraph" w:styleId="Title">
    <w:name w:val="Title"/>
    <w:basedOn w:val="HeadingBase"/>
    <w:link w:val="TitleChar"/>
    <w:qFormat/>
    <w:rsid w:val="001B0975"/>
    <w:pPr>
      <w:spacing w:before="5040"/>
      <w:jc w:val="center"/>
    </w:pPr>
    <w:rPr>
      <w:sz w:val="48"/>
      <w:szCs w:val="72"/>
      <w:lang w:val="en-US"/>
    </w:rPr>
  </w:style>
  <w:style w:type="character" w:customStyle="1" w:styleId="TitleChar">
    <w:name w:val="Title Char"/>
    <w:basedOn w:val="DefaultParagraphFont"/>
    <w:link w:val="Title"/>
    <w:rsid w:val="001B09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975"/>
    <w:pPr>
      <w:tabs>
        <w:tab w:val="left" w:pos="3600"/>
        <w:tab w:val="left" w:pos="3958"/>
      </w:tabs>
    </w:pPr>
  </w:style>
  <w:style w:type="paragraph" w:styleId="List">
    <w:name w:val="List"/>
    <w:basedOn w:val="BodyText"/>
    <w:next w:val="BodyText"/>
    <w:rsid w:val="001B0975"/>
    <w:pPr>
      <w:tabs>
        <w:tab w:val="left" w:pos="340"/>
      </w:tabs>
      <w:spacing w:before="60" w:after="60"/>
      <w:ind w:left="340" w:hanging="340"/>
    </w:pPr>
  </w:style>
  <w:style w:type="paragraph" w:customStyle="1" w:styleId="Note">
    <w:name w:val="Note"/>
    <w:basedOn w:val="BodyText"/>
    <w:rsid w:val="001B09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975"/>
    <w:pPr>
      <w:framePr w:wrap="auto" w:hAnchor="text" w:y="6049"/>
    </w:pPr>
    <w:rPr>
      <w:color w:val="000000"/>
      <w:sz w:val="40"/>
    </w:rPr>
  </w:style>
  <w:style w:type="paragraph" w:customStyle="1" w:styleId="TOCTitle">
    <w:name w:val="TOCTitle"/>
    <w:basedOn w:val="Heading1"/>
    <w:rsid w:val="001B0975"/>
    <w:pPr>
      <w:spacing w:after="240"/>
      <w:jc w:val="center"/>
      <w:outlineLvl w:val="9"/>
    </w:pPr>
    <w:rPr>
      <w:caps/>
    </w:rPr>
  </w:style>
  <w:style w:type="paragraph" w:customStyle="1" w:styleId="Version">
    <w:name w:val="Version"/>
    <w:rsid w:val="001B09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0975"/>
    <w:pPr>
      <w:numPr>
        <w:numId w:val="12"/>
      </w:numPr>
      <w:tabs>
        <w:tab w:val="clear" w:pos="680"/>
      </w:tabs>
    </w:pPr>
  </w:style>
  <w:style w:type="paragraph" w:styleId="Index1">
    <w:name w:val="index 1"/>
    <w:basedOn w:val="Normal"/>
    <w:next w:val="Normal"/>
    <w:semiHidden/>
    <w:rsid w:val="001B0975"/>
    <w:pPr>
      <w:keepNext w:val="0"/>
      <w:tabs>
        <w:tab w:val="right" w:pos="4176"/>
      </w:tabs>
      <w:ind w:left="198" w:hanging="198"/>
    </w:pPr>
    <w:rPr>
      <w:rFonts w:ascii="Garamond" w:hAnsi="Garamond"/>
    </w:rPr>
  </w:style>
  <w:style w:type="paragraph" w:styleId="IndexHeading">
    <w:name w:val="index heading"/>
    <w:basedOn w:val="Normal"/>
    <w:next w:val="Index1"/>
    <w:semiHidden/>
    <w:rsid w:val="001B0975"/>
    <w:pPr>
      <w:spacing w:before="120" w:after="120"/>
    </w:pPr>
    <w:rPr>
      <w:rFonts w:ascii="Arial" w:hAnsi="Arial"/>
      <w:b/>
      <w:color w:val="918585"/>
      <w:sz w:val="24"/>
    </w:rPr>
  </w:style>
  <w:style w:type="paragraph" w:styleId="Header">
    <w:name w:val="header"/>
    <w:basedOn w:val="Normal"/>
    <w:link w:val="HeaderChar"/>
    <w:rsid w:val="001B09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975"/>
    <w:rPr>
      <w:rFonts w:ascii="Times New Roman" w:eastAsia="Times New Roman" w:hAnsi="Times New Roman" w:cs="Times New Roman"/>
      <w:sz w:val="16"/>
      <w:szCs w:val="20"/>
      <w:lang w:val="en-GB" w:eastAsia="en-US"/>
    </w:rPr>
  </w:style>
  <w:style w:type="paragraph" w:customStyle="1" w:styleId="Chapter">
    <w:name w:val="Chapter"/>
    <w:basedOn w:val="Normal"/>
    <w:rsid w:val="001B0975"/>
    <w:pPr>
      <w:spacing w:before="240"/>
    </w:pPr>
    <w:rPr>
      <w:rFonts w:ascii="Times New Roman" w:hAnsi="Times New Roman"/>
      <w:smallCaps/>
      <w:spacing w:val="80"/>
      <w:sz w:val="28"/>
    </w:rPr>
  </w:style>
  <w:style w:type="paragraph" w:customStyle="1" w:styleId="InChapter">
    <w:name w:val="InChapter"/>
    <w:basedOn w:val="Heading3"/>
    <w:rsid w:val="001B0975"/>
    <w:pPr>
      <w:spacing w:after="240"/>
      <w:outlineLvl w:val="9"/>
    </w:pPr>
    <w:rPr>
      <w:noProof/>
    </w:rPr>
  </w:style>
  <w:style w:type="paragraph" w:styleId="Index2">
    <w:name w:val="index 2"/>
    <w:basedOn w:val="Normal"/>
    <w:next w:val="Normal"/>
    <w:semiHidden/>
    <w:rsid w:val="001B0975"/>
    <w:pPr>
      <w:tabs>
        <w:tab w:val="right" w:pos="4176"/>
      </w:tabs>
      <w:ind w:left="568" w:hanging="284"/>
    </w:pPr>
    <w:rPr>
      <w:rFonts w:ascii="Garamond" w:hAnsi="Garamond"/>
    </w:rPr>
  </w:style>
  <w:style w:type="paragraph" w:customStyle="1" w:styleId="Byline">
    <w:name w:val="Byline"/>
    <w:rsid w:val="001B09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975"/>
    <w:pPr>
      <w:tabs>
        <w:tab w:val="clear" w:pos="3600"/>
        <w:tab w:val="clear" w:pos="3958"/>
      </w:tabs>
      <w:jc w:val="right"/>
    </w:pPr>
  </w:style>
  <w:style w:type="character" w:styleId="Emphasis">
    <w:name w:val="Emphasis"/>
    <w:basedOn w:val="DefaultParagraphFont"/>
    <w:qFormat/>
    <w:rsid w:val="001B0975"/>
    <w:rPr>
      <w:i/>
    </w:rPr>
  </w:style>
  <w:style w:type="paragraph" w:styleId="Caption">
    <w:name w:val="caption"/>
    <w:basedOn w:val="BodyText"/>
    <w:next w:val="Normal"/>
    <w:qFormat/>
    <w:rsid w:val="001B0975"/>
    <w:pPr>
      <w:framePr w:w="2268" w:hSpace="181" w:vSpace="181" w:wrap="around" w:vAnchor="text" w:hAnchor="page" w:x="1135" w:y="285" w:anchorLock="1"/>
    </w:pPr>
    <w:rPr>
      <w:i/>
    </w:rPr>
  </w:style>
  <w:style w:type="paragraph" w:customStyle="1" w:styleId="MiniTOCTitle">
    <w:name w:val="MiniTOCTitle"/>
    <w:basedOn w:val="Heading4"/>
    <w:rsid w:val="001B0975"/>
    <w:pPr>
      <w:spacing w:before="240"/>
      <w:outlineLvl w:val="9"/>
    </w:pPr>
    <w:rPr>
      <w:noProof/>
      <w:sz w:val="24"/>
    </w:rPr>
  </w:style>
  <w:style w:type="paragraph" w:customStyle="1" w:styleId="MiniTOCItem">
    <w:name w:val="MiniTOCItem"/>
    <w:basedOn w:val="ListBullet"/>
    <w:rsid w:val="001B0975"/>
    <w:pPr>
      <w:numPr>
        <w:numId w:val="0"/>
      </w:numPr>
      <w:tabs>
        <w:tab w:val="right" w:leader="dot" w:pos="6521"/>
      </w:tabs>
      <w:spacing w:before="0" w:after="0"/>
    </w:pPr>
  </w:style>
  <w:style w:type="paragraph" w:customStyle="1" w:styleId="TOFTitle">
    <w:name w:val="TOFTitle"/>
    <w:basedOn w:val="TOCTitle"/>
    <w:rsid w:val="001B0975"/>
  </w:style>
  <w:style w:type="paragraph" w:styleId="TableofFigures">
    <w:name w:val="table of figures"/>
    <w:basedOn w:val="Normal"/>
    <w:next w:val="Normal"/>
    <w:semiHidden/>
    <w:rsid w:val="001B0975"/>
    <w:pPr>
      <w:tabs>
        <w:tab w:val="right" w:leader="dot" w:pos="9072"/>
      </w:tabs>
      <w:ind w:left="970" w:hanging="403"/>
    </w:pPr>
    <w:rPr>
      <w:rFonts w:ascii="Times New Roman" w:hAnsi="Times New Roman"/>
      <w:b/>
    </w:rPr>
  </w:style>
  <w:style w:type="paragraph" w:styleId="ListNumber">
    <w:name w:val="List Number"/>
    <w:basedOn w:val="List"/>
    <w:rsid w:val="001B0975"/>
    <w:pPr>
      <w:numPr>
        <w:numId w:val="14"/>
      </w:numPr>
      <w:tabs>
        <w:tab w:val="clear" w:pos="340"/>
      </w:tabs>
    </w:pPr>
  </w:style>
  <w:style w:type="character" w:customStyle="1" w:styleId="WingdingSymbols">
    <w:name w:val="Wingding Symbols"/>
    <w:rsid w:val="001B0975"/>
    <w:rPr>
      <w:rFonts w:ascii="Wingdings" w:hAnsi="Wingdings"/>
    </w:rPr>
  </w:style>
  <w:style w:type="paragraph" w:customStyle="1" w:styleId="TableHeading">
    <w:name w:val="Table Heading"/>
    <w:basedOn w:val="HeadingBase"/>
    <w:rsid w:val="001B0975"/>
    <w:pPr>
      <w:keepLines/>
      <w:pBdr>
        <w:bottom w:val="single" w:sz="6" w:space="1" w:color="918585"/>
      </w:pBdr>
      <w:spacing w:before="240"/>
    </w:pPr>
  </w:style>
  <w:style w:type="character" w:customStyle="1" w:styleId="HotSpot">
    <w:name w:val="HotSpot"/>
    <w:rsid w:val="001B0975"/>
    <w:rPr>
      <w:color w:val="0033CC"/>
      <w:u w:val="none"/>
    </w:rPr>
  </w:style>
  <w:style w:type="paragraph" w:customStyle="1" w:styleId="BodyTextRight">
    <w:name w:val="Body Text Right"/>
    <w:basedOn w:val="BodyText"/>
    <w:rsid w:val="001B0975"/>
    <w:pPr>
      <w:spacing w:before="0" w:after="0"/>
      <w:jc w:val="right"/>
    </w:pPr>
  </w:style>
  <w:style w:type="paragraph" w:styleId="Index3">
    <w:name w:val="index 3"/>
    <w:basedOn w:val="ListNumber2"/>
    <w:next w:val="Normal"/>
    <w:semiHidden/>
    <w:rsid w:val="001B0975"/>
    <w:pPr>
      <w:numPr>
        <w:numId w:val="0"/>
      </w:numPr>
      <w:tabs>
        <w:tab w:val="right" w:leader="dot" w:pos="4176"/>
      </w:tabs>
    </w:pPr>
  </w:style>
  <w:style w:type="paragraph" w:styleId="ListNumber2">
    <w:name w:val="List Number 2"/>
    <w:basedOn w:val="List2"/>
    <w:rsid w:val="001B0975"/>
    <w:pPr>
      <w:numPr>
        <w:numId w:val="9"/>
      </w:numPr>
      <w:tabs>
        <w:tab w:val="clear" w:pos="1060"/>
      </w:tabs>
    </w:pPr>
  </w:style>
  <w:style w:type="paragraph" w:customStyle="1" w:styleId="MarginNote">
    <w:name w:val="Margin Note"/>
    <w:basedOn w:val="BodyText"/>
    <w:rsid w:val="001B09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9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9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0975"/>
    <w:rPr>
      <w:sz w:val="32"/>
    </w:rPr>
  </w:style>
  <w:style w:type="paragraph" w:customStyle="1" w:styleId="HeadingProcedure">
    <w:name w:val="Heading Procedure"/>
    <w:basedOn w:val="HeadingBase"/>
    <w:next w:val="Normal"/>
    <w:rsid w:val="001B0975"/>
    <w:pPr>
      <w:tabs>
        <w:tab w:val="left" w:pos="0"/>
      </w:tabs>
      <w:spacing w:before="120" w:after="60"/>
    </w:pPr>
    <w:rPr>
      <w:i/>
      <w:color w:val="918585"/>
      <w:sz w:val="22"/>
    </w:rPr>
  </w:style>
  <w:style w:type="paragraph" w:customStyle="1" w:styleId="TableBodyText">
    <w:name w:val="Table Body Text"/>
    <w:basedOn w:val="BodyText"/>
    <w:rsid w:val="001B0975"/>
    <w:pPr>
      <w:spacing w:before="60" w:after="60"/>
    </w:pPr>
  </w:style>
  <w:style w:type="paragraph" w:styleId="ListContinue">
    <w:name w:val="List Continue"/>
    <w:basedOn w:val="List"/>
    <w:rsid w:val="001B0975"/>
    <w:pPr>
      <w:ind w:firstLine="0"/>
    </w:pPr>
  </w:style>
  <w:style w:type="paragraph" w:customStyle="1" w:styleId="ListNote">
    <w:name w:val="List Note"/>
    <w:basedOn w:val="List"/>
    <w:rsid w:val="001B0975"/>
    <w:pPr>
      <w:pBdr>
        <w:top w:val="single" w:sz="6" w:space="2" w:color="918585"/>
        <w:bottom w:val="single" w:sz="6" w:space="2" w:color="918585"/>
      </w:pBdr>
      <w:tabs>
        <w:tab w:val="left" w:pos="1021"/>
      </w:tabs>
      <w:ind w:firstLine="0"/>
    </w:pPr>
  </w:style>
  <w:style w:type="paragraph" w:customStyle="1" w:styleId="Warning">
    <w:name w:val="Warning"/>
    <w:basedOn w:val="BodyText"/>
    <w:rsid w:val="001B0975"/>
    <w:pPr>
      <w:shd w:val="clear" w:color="auto" w:fill="D9D9D9"/>
      <w:tabs>
        <w:tab w:val="left" w:pos="992"/>
      </w:tabs>
      <w:ind w:left="119" w:right="119"/>
    </w:pPr>
    <w:rPr>
      <w:sz w:val="20"/>
    </w:rPr>
  </w:style>
  <w:style w:type="paragraph" w:customStyle="1" w:styleId="MarginIcons">
    <w:name w:val="Margin Icons"/>
    <w:basedOn w:val="BodyText"/>
    <w:rsid w:val="001B09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975"/>
    <w:rPr>
      <w:rFonts w:ascii="Courier New" w:hAnsi="Courier New"/>
    </w:rPr>
  </w:style>
  <w:style w:type="paragraph" w:customStyle="1" w:styleId="NoteBullet">
    <w:name w:val="Note Bullet"/>
    <w:basedOn w:val="Note"/>
    <w:rsid w:val="001B0975"/>
    <w:pPr>
      <w:tabs>
        <w:tab w:val="clear" w:pos="680"/>
      </w:tabs>
      <w:spacing w:before="60" w:after="60"/>
    </w:pPr>
  </w:style>
  <w:style w:type="paragraph" w:customStyle="1" w:styleId="SubHeading2">
    <w:name w:val="SubHeading2"/>
    <w:basedOn w:val="HeadingBase"/>
    <w:rsid w:val="001B0975"/>
    <w:pPr>
      <w:spacing w:before="240" w:after="60"/>
    </w:pPr>
    <w:rPr>
      <w:sz w:val="20"/>
    </w:rPr>
  </w:style>
  <w:style w:type="paragraph" w:customStyle="1" w:styleId="SubHeading1">
    <w:name w:val="SubHeading1"/>
    <w:basedOn w:val="HeadingBase"/>
    <w:rsid w:val="001B0975"/>
    <w:pPr>
      <w:spacing w:before="240" w:after="60"/>
    </w:pPr>
    <w:rPr>
      <w:color w:val="918585"/>
      <w:sz w:val="22"/>
    </w:rPr>
  </w:style>
  <w:style w:type="paragraph" w:customStyle="1" w:styleId="SideHeading">
    <w:name w:val="Side Heading"/>
    <w:basedOn w:val="HeadingBase"/>
    <w:rsid w:val="001B09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975"/>
    <w:pPr>
      <w:numPr>
        <w:numId w:val="10"/>
      </w:numPr>
    </w:pPr>
  </w:style>
  <w:style w:type="paragraph" w:styleId="PlainText">
    <w:name w:val="Plain Text"/>
    <w:basedOn w:val="Normal"/>
    <w:link w:val="PlainTextChar"/>
    <w:rsid w:val="001B0975"/>
    <w:rPr>
      <w:sz w:val="20"/>
    </w:rPr>
  </w:style>
  <w:style w:type="character" w:customStyle="1" w:styleId="PlainTextChar">
    <w:name w:val="Plain Text Char"/>
    <w:basedOn w:val="DefaultParagraphFont"/>
    <w:link w:val="PlainText"/>
    <w:rsid w:val="001B0975"/>
    <w:rPr>
      <w:rFonts w:ascii="Courier New" w:eastAsia="Times New Roman" w:hAnsi="Courier New" w:cs="Times New Roman"/>
      <w:sz w:val="20"/>
      <w:szCs w:val="20"/>
      <w:lang w:eastAsia="en-US"/>
    </w:rPr>
  </w:style>
  <w:style w:type="character" w:customStyle="1" w:styleId="MenuOption">
    <w:name w:val="Menu Option"/>
    <w:basedOn w:val="DefaultParagraphFont"/>
    <w:rsid w:val="001B0975"/>
    <w:rPr>
      <w:b/>
      <w:smallCaps/>
    </w:rPr>
  </w:style>
  <w:style w:type="paragraph" w:customStyle="1" w:styleId="TableListNumber">
    <w:name w:val="Table List Number"/>
    <w:basedOn w:val="ListNumber"/>
    <w:rsid w:val="001B0975"/>
    <w:pPr>
      <w:numPr>
        <w:numId w:val="0"/>
      </w:numPr>
    </w:pPr>
  </w:style>
  <w:style w:type="paragraph" w:styleId="TOC4">
    <w:name w:val="toc 4"/>
    <w:basedOn w:val="TOCBase"/>
    <w:next w:val="Normal"/>
    <w:semiHidden/>
    <w:rsid w:val="001B0975"/>
    <w:pPr>
      <w:tabs>
        <w:tab w:val="right" w:leader="dot" w:pos="9071"/>
      </w:tabs>
      <w:ind w:left="1701"/>
    </w:pPr>
  </w:style>
  <w:style w:type="paragraph" w:customStyle="1" w:styleId="ListAlpha">
    <w:name w:val="List Alpha"/>
    <w:basedOn w:val="List"/>
    <w:rsid w:val="001B0975"/>
    <w:pPr>
      <w:numPr>
        <w:numId w:val="8"/>
      </w:numPr>
    </w:pPr>
  </w:style>
  <w:style w:type="paragraph" w:customStyle="1" w:styleId="ListAlpha2">
    <w:name w:val="List Alpha 2"/>
    <w:basedOn w:val="List2"/>
    <w:rsid w:val="001B0975"/>
    <w:pPr>
      <w:numPr>
        <w:numId w:val="7"/>
      </w:numPr>
    </w:pPr>
  </w:style>
  <w:style w:type="paragraph" w:styleId="List2">
    <w:name w:val="List 2"/>
    <w:basedOn w:val="BodyText"/>
    <w:rsid w:val="001B0975"/>
    <w:pPr>
      <w:tabs>
        <w:tab w:val="left" w:pos="680"/>
      </w:tabs>
      <w:spacing w:before="60" w:after="60"/>
      <w:ind w:left="680" w:hanging="340"/>
    </w:pPr>
  </w:style>
  <w:style w:type="paragraph" w:styleId="List3">
    <w:name w:val="List 3"/>
    <w:basedOn w:val="BodyText"/>
    <w:rsid w:val="001B0975"/>
    <w:pPr>
      <w:tabs>
        <w:tab w:val="left" w:pos="1021"/>
      </w:tabs>
      <w:spacing w:before="60" w:after="60"/>
      <w:ind w:left="1020" w:hanging="340"/>
    </w:pPr>
  </w:style>
  <w:style w:type="paragraph" w:styleId="List4">
    <w:name w:val="List 4"/>
    <w:basedOn w:val="BodyText"/>
    <w:rsid w:val="001B0975"/>
    <w:pPr>
      <w:tabs>
        <w:tab w:val="left" w:pos="1361"/>
      </w:tabs>
      <w:spacing w:before="60" w:after="60"/>
      <w:ind w:left="1361" w:hanging="340"/>
    </w:pPr>
  </w:style>
  <w:style w:type="paragraph" w:styleId="List5">
    <w:name w:val="List 5"/>
    <w:basedOn w:val="BodyText"/>
    <w:rsid w:val="001B0975"/>
    <w:pPr>
      <w:tabs>
        <w:tab w:val="left" w:pos="1701"/>
      </w:tabs>
      <w:spacing w:before="60" w:after="60"/>
      <w:ind w:left="1701" w:hanging="340"/>
    </w:pPr>
  </w:style>
  <w:style w:type="paragraph" w:styleId="ListBullet3">
    <w:name w:val="List Bullet 3"/>
    <w:basedOn w:val="List3"/>
    <w:rsid w:val="001B0975"/>
    <w:pPr>
      <w:numPr>
        <w:numId w:val="13"/>
      </w:numPr>
      <w:tabs>
        <w:tab w:val="clear" w:pos="1021"/>
      </w:tabs>
      <w:ind w:left="1037" w:hanging="357"/>
    </w:pPr>
  </w:style>
  <w:style w:type="paragraph" w:styleId="ListBullet4">
    <w:name w:val="List Bullet 4"/>
    <w:basedOn w:val="List4"/>
    <w:rsid w:val="001B0975"/>
    <w:pPr>
      <w:numPr>
        <w:numId w:val="2"/>
      </w:numPr>
      <w:tabs>
        <w:tab w:val="clear" w:pos="1361"/>
      </w:tabs>
    </w:pPr>
  </w:style>
  <w:style w:type="paragraph" w:styleId="ListBullet5">
    <w:name w:val="List Bullet 5"/>
    <w:basedOn w:val="List5"/>
    <w:rsid w:val="001B0975"/>
    <w:pPr>
      <w:numPr>
        <w:numId w:val="3"/>
      </w:numPr>
    </w:pPr>
  </w:style>
  <w:style w:type="paragraph" w:styleId="ListContinue2">
    <w:name w:val="List Continue 2"/>
    <w:basedOn w:val="List2"/>
    <w:rsid w:val="001B0975"/>
    <w:pPr>
      <w:ind w:firstLine="0"/>
    </w:pPr>
  </w:style>
  <w:style w:type="paragraph" w:styleId="ListContinue3">
    <w:name w:val="List Continue 3"/>
    <w:basedOn w:val="List3"/>
    <w:rsid w:val="001B0975"/>
    <w:pPr>
      <w:ind w:left="1021" w:firstLine="0"/>
    </w:pPr>
  </w:style>
  <w:style w:type="paragraph" w:styleId="ListContinue4">
    <w:name w:val="List Continue 4"/>
    <w:basedOn w:val="List4"/>
    <w:rsid w:val="001B0975"/>
    <w:pPr>
      <w:ind w:firstLine="0"/>
    </w:pPr>
  </w:style>
  <w:style w:type="paragraph" w:styleId="ListContinue5">
    <w:name w:val="List Continue 5"/>
    <w:basedOn w:val="List5"/>
    <w:rsid w:val="001B0975"/>
    <w:pPr>
      <w:ind w:firstLine="0"/>
    </w:pPr>
  </w:style>
  <w:style w:type="paragraph" w:styleId="ListNumber3">
    <w:name w:val="List Number 3"/>
    <w:basedOn w:val="List3"/>
    <w:rsid w:val="001B0975"/>
    <w:pPr>
      <w:numPr>
        <w:numId w:val="4"/>
      </w:numPr>
    </w:pPr>
  </w:style>
  <w:style w:type="paragraph" w:styleId="ListNumber4">
    <w:name w:val="List Number 4"/>
    <w:basedOn w:val="List4"/>
    <w:rsid w:val="001B0975"/>
    <w:pPr>
      <w:numPr>
        <w:numId w:val="5"/>
      </w:numPr>
    </w:pPr>
  </w:style>
  <w:style w:type="paragraph" w:styleId="ListNumber5">
    <w:name w:val="List Number 5"/>
    <w:basedOn w:val="List5"/>
    <w:rsid w:val="001B0975"/>
    <w:pPr>
      <w:numPr>
        <w:numId w:val="6"/>
      </w:numPr>
    </w:pPr>
  </w:style>
  <w:style w:type="paragraph" w:styleId="BlockText">
    <w:name w:val="Block Text"/>
    <w:basedOn w:val="Normal"/>
    <w:rsid w:val="001B0975"/>
    <w:pPr>
      <w:spacing w:after="120"/>
      <w:ind w:left="1440" w:right="1440"/>
    </w:pPr>
  </w:style>
  <w:style w:type="character" w:customStyle="1" w:styleId="Subscript">
    <w:name w:val="Subscript"/>
    <w:basedOn w:val="DefaultParagraphFont"/>
    <w:rsid w:val="001B0975"/>
    <w:rPr>
      <w:sz w:val="16"/>
      <w:vertAlign w:val="subscript"/>
    </w:rPr>
  </w:style>
  <w:style w:type="character" w:customStyle="1" w:styleId="Superscript">
    <w:name w:val="Superscript"/>
    <w:basedOn w:val="DefaultParagraphFont"/>
    <w:rsid w:val="001B0975"/>
    <w:rPr>
      <w:sz w:val="16"/>
      <w:vertAlign w:val="superscript"/>
    </w:rPr>
  </w:style>
  <w:style w:type="character" w:customStyle="1" w:styleId="Symbols">
    <w:name w:val="Symbols"/>
    <w:basedOn w:val="DefaultParagraphFont"/>
    <w:rsid w:val="001B0975"/>
    <w:rPr>
      <w:rFonts w:ascii="Symbol" w:hAnsi="Symbol"/>
    </w:rPr>
  </w:style>
  <w:style w:type="character" w:customStyle="1" w:styleId="MenuOptions">
    <w:name w:val="Menu Options"/>
    <w:basedOn w:val="DefaultParagraphFont"/>
    <w:rsid w:val="001B0975"/>
    <w:rPr>
      <w:rFonts w:ascii="Arial Narrow" w:hAnsi="Arial Narrow"/>
      <w:smallCaps/>
    </w:rPr>
  </w:style>
  <w:style w:type="character" w:customStyle="1" w:styleId="Buttons">
    <w:name w:val="Buttons"/>
    <w:basedOn w:val="DefaultParagraphFont"/>
    <w:rsid w:val="001B0975"/>
    <w:rPr>
      <w:b/>
    </w:rPr>
  </w:style>
  <w:style w:type="character" w:customStyle="1" w:styleId="Underlined">
    <w:name w:val="Underlined"/>
    <w:basedOn w:val="DefaultParagraphFont"/>
    <w:rsid w:val="001B0975"/>
    <w:rPr>
      <w:u w:val="single"/>
    </w:rPr>
  </w:style>
  <w:style w:type="paragraph" w:customStyle="1" w:styleId="TableBodyTextRight">
    <w:name w:val="Table Body Text Right"/>
    <w:basedOn w:val="TableBodyText"/>
    <w:rsid w:val="001B0975"/>
    <w:pPr>
      <w:widowControl w:val="0"/>
      <w:autoSpaceDE w:val="0"/>
      <w:autoSpaceDN w:val="0"/>
      <w:adjustRightInd w:val="0"/>
      <w:jc w:val="right"/>
    </w:pPr>
    <w:rPr>
      <w:rFonts w:cs="Arial"/>
      <w:szCs w:val="18"/>
    </w:rPr>
  </w:style>
  <w:style w:type="paragraph" w:customStyle="1" w:styleId="CopyrightText">
    <w:name w:val="Copyright Text"/>
    <w:basedOn w:val="BodyText"/>
    <w:rsid w:val="001B0975"/>
    <w:rPr>
      <w:sz w:val="18"/>
    </w:rPr>
  </w:style>
  <w:style w:type="paragraph" w:customStyle="1" w:styleId="BodySmallRight">
    <w:name w:val="Body Small Right"/>
    <w:basedOn w:val="BodyTextRight"/>
    <w:rsid w:val="001B0975"/>
    <w:rPr>
      <w:sz w:val="18"/>
      <w:szCs w:val="18"/>
    </w:rPr>
  </w:style>
  <w:style w:type="paragraph" w:customStyle="1" w:styleId="MarginEdition">
    <w:name w:val="Margin Edition"/>
    <w:basedOn w:val="MarginNote"/>
    <w:rsid w:val="001B0975"/>
    <w:pPr>
      <w:spacing w:before="0" w:after="0"/>
    </w:pPr>
    <w:rPr>
      <w:rFonts w:ascii="Times New Roman" w:hAnsi="Times New Roman"/>
      <w:color w:val="999999"/>
    </w:rPr>
  </w:style>
  <w:style w:type="paragraph" w:customStyle="1" w:styleId="Spacer">
    <w:name w:val="Spacer"/>
    <w:basedOn w:val="Normal"/>
    <w:rsid w:val="001B0975"/>
    <w:rPr>
      <w:sz w:val="2"/>
      <w:szCs w:val="2"/>
    </w:rPr>
  </w:style>
  <w:style w:type="character" w:customStyle="1" w:styleId="Small">
    <w:name w:val="Small"/>
    <w:basedOn w:val="DefaultParagraphFont"/>
    <w:rsid w:val="001B0975"/>
    <w:rPr>
      <w:sz w:val="16"/>
    </w:rPr>
  </w:style>
  <w:style w:type="paragraph" w:customStyle="1" w:styleId="WideTable">
    <w:name w:val="Wide Table"/>
    <w:basedOn w:val="Normal"/>
    <w:rsid w:val="001B0975"/>
    <w:pPr>
      <w:ind w:left="-1418"/>
    </w:pPr>
    <w:rPr>
      <w:sz w:val="2"/>
      <w:szCs w:val="2"/>
    </w:rPr>
  </w:style>
  <w:style w:type="character" w:styleId="PageNumber">
    <w:name w:val="page number"/>
    <w:basedOn w:val="DefaultParagraphFont"/>
    <w:rsid w:val="001B0975"/>
  </w:style>
  <w:style w:type="paragraph" w:styleId="Quote">
    <w:name w:val="Quote"/>
    <w:basedOn w:val="Heading1"/>
    <w:link w:val="QuoteChar"/>
    <w:qFormat/>
    <w:rsid w:val="001B0975"/>
    <w:rPr>
      <w:b w:val="0"/>
      <w:sz w:val="72"/>
      <w:szCs w:val="72"/>
      <w:lang w:val="en-NZ"/>
    </w:rPr>
  </w:style>
  <w:style w:type="character" w:customStyle="1" w:styleId="QuoteChar">
    <w:name w:val="Quote Char"/>
    <w:basedOn w:val="DefaultParagraphFont"/>
    <w:link w:val="Quote"/>
    <w:rsid w:val="001B09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975"/>
    <w:pPr>
      <w:pageBreakBefore/>
    </w:pPr>
  </w:style>
  <w:style w:type="paragraph" w:customStyle="1" w:styleId="Border">
    <w:name w:val="Border"/>
    <w:basedOn w:val="Normal"/>
    <w:qFormat/>
    <w:rsid w:val="001B09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975"/>
    <w:rPr>
      <w:b/>
      <w:bCs/>
      <w:i/>
      <w:iCs/>
      <w:color w:val="auto"/>
    </w:rPr>
  </w:style>
  <w:style w:type="paragraph" w:styleId="IntenseQuote">
    <w:name w:val="Intense Quote"/>
    <w:basedOn w:val="Normal"/>
    <w:next w:val="Normal"/>
    <w:link w:val="IntenseQuoteChar"/>
    <w:uiPriority w:val="30"/>
    <w:qFormat/>
    <w:rsid w:val="001B09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9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0975"/>
    <w:rPr>
      <w:smallCaps/>
      <w:color w:val="auto"/>
      <w:u w:val="single"/>
    </w:rPr>
  </w:style>
  <w:style w:type="character" w:styleId="IntenseReference">
    <w:name w:val="Intense Reference"/>
    <w:basedOn w:val="DefaultParagraphFont"/>
    <w:uiPriority w:val="32"/>
    <w:qFormat/>
    <w:rsid w:val="001B0975"/>
    <w:rPr>
      <w:b/>
      <w:bCs/>
      <w:smallCaps/>
      <w:color w:val="auto"/>
      <w:spacing w:val="5"/>
      <w:u w:val="single"/>
    </w:rPr>
  </w:style>
  <w:style w:type="paragraph" w:customStyle="1" w:styleId="2ColumnHeading">
    <w:name w:val="2Column Heading"/>
    <w:basedOn w:val="BodyText"/>
    <w:qFormat/>
    <w:rsid w:val="001B0975"/>
    <w:pPr>
      <w:spacing w:after="60"/>
      <w:ind w:left="-2268"/>
    </w:pPr>
    <w:rPr>
      <w:b/>
    </w:rPr>
  </w:style>
  <w:style w:type="paragraph" w:customStyle="1" w:styleId="Heading1TOC">
    <w:name w:val="Heading1 TOC"/>
    <w:basedOn w:val="Normal"/>
    <w:qFormat/>
    <w:rsid w:val="001B0975"/>
    <w:pPr>
      <w:spacing w:before="240" w:after="120"/>
    </w:pPr>
    <w:rPr>
      <w:rFonts w:ascii="Times New Roman" w:hAnsi="Times New Roman"/>
      <w:b/>
      <w:sz w:val="32"/>
    </w:rPr>
  </w:style>
  <w:style w:type="paragraph" w:customStyle="1" w:styleId="Heading2TOC">
    <w:name w:val="Heading2 TOC"/>
    <w:basedOn w:val="Normal"/>
    <w:qFormat/>
    <w:rsid w:val="001B0975"/>
    <w:pPr>
      <w:spacing w:before="240" w:after="60"/>
    </w:pPr>
    <w:rPr>
      <w:rFonts w:ascii="Times New Roman" w:hAnsi="Times New Roman"/>
      <w:b/>
      <w:sz w:val="28"/>
    </w:rPr>
  </w:style>
  <w:style w:type="character" w:customStyle="1" w:styleId="Underline">
    <w:name w:val="Underline"/>
    <w:basedOn w:val="DefaultParagraphFont"/>
    <w:qFormat/>
    <w:rsid w:val="001B0975"/>
    <w:rPr>
      <w:u w:val="single"/>
    </w:rPr>
  </w:style>
  <w:style w:type="character" w:customStyle="1" w:styleId="BoldandItalics">
    <w:name w:val="Bold and Italics"/>
    <w:qFormat/>
    <w:rsid w:val="001B0975"/>
    <w:rPr>
      <w:b/>
      <w:i/>
      <w:u w:val="none"/>
    </w:rPr>
  </w:style>
  <w:style w:type="paragraph" w:styleId="BalloonText">
    <w:name w:val="Balloon Text"/>
    <w:basedOn w:val="Normal"/>
    <w:link w:val="BalloonTextChar"/>
    <w:rsid w:val="001B0975"/>
    <w:rPr>
      <w:rFonts w:ascii="Tahoma" w:hAnsi="Tahoma" w:cs="Tahoma"/>
      <w:sz w:val="16"/>
      <w:szCs w:val="16"/>
    </w:rPr>
  </w:style>
  <w:style w:type="character" w:customStyle="1" w:styleId="BalloonTextChar">
    <w:name w:val="Balloon Text Char"/>
    <w:basedOn w:val="DefaultParagraphFont"/>
    <w:link w:val="BalloonText"/>
    <w:rsid w:val="001B09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09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09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0975"/>
    <w:rPr>
      <w:b/>
      <w:color w:val="660033"/>
      <w:spacing w:val="0"/>
    </w:rPr>
  </w:style>
  <w:style w:type="paragraph" w:customStyle="1" w:styleId="Nameditemlist">
    <w:name w:val="Named item list"/>
    <w:basedOn w:val="BodyText"/>
    <w:qFormat/>
    <w:rsid w:val="001B0975"/>
    <w:pPr>
      <w:tabs>
        <w:tab w:val="left" w:pos="2835"/>
      </w:tabs>
      <w:ind w:left="2835" w:hanging="2835"/>
    </w:pPr>
  </w:style>
  <w:style w:type="paragraph" w:customStyle="1" w:styleId="BodyTextnopadding">
    <w:name w:val="Body Text no padding"/>
    <w:basedOn w:val="BodyText"/>
    <w:qFormat/>
    <w:rsid w:val="001B0975"/>
    <w:pPr>
      <w:spacing w:before="0" w:after="0"/>
    </w:pPr>
  </w:style>
  <w:style w:type="paragraph" w:customStyle="1" w:styleId="BodyTextBold">
    <w:name w:val="Body Text Bold"/>
    <w:basedOn w:val="BodyText"/>
    <w:qFormat/>
    <w:rsid w:val="001B0975"/>
    <w:rPr>
      <w:b/>
    </w:rPr>
  </w:style>
  <w:style w:type="character" w:styleId="Hyperlink">
    <w:name w:val="Hyperlink"/>
    <w:basedOn w:val="DefaultParagraphFont"/>
    <w:uiPriority w:val="99"/>
    <w:unhideWhenUsed/>
    <w:rsid w:val="008A59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1352</Words>
  <Characters>8547</Characters>
  <Application>Microsoft Office Word</Application>
  <DocSecurity>0</DocSecurity>
  <Lines>356</Lines>
  <Paragraphs>162</Paragraphs>
  <ScaleCrop>false</ScaleCrop>
  <Company>Author-it Software Corporation Ltd.</Company>
  <LinksUpToDate>false</LinksUpToDate>
  <CharactersWithSpaces>9737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UEEDV0005 Install and maintain cabling for multiple access to telecommunication services</dc:title>
  <dc:subject>Approved</dc:subject>
  <dc:creator>Powering Skills Organisation</dc:creator>
  <cp:keywords>Release: 2</cp:keywords>
  <dc:description>Review Date: 12 April 2008</dc:description>
  <cp:lastModifiedBy>HSD_TPCMSd.prod</cp:lastModifiedBy>
  <cp:revision>3</cp:revision>
  <dcterms:created xsi:type="dcterms:W3CDTF">2024-11-29T00:57:00Z</dcterms:created>
  <dcterms:modified xsi:type="dcterms:W3CDTF">2024-11-29T00:57:00Z</dcterms:modified>
</cp:coreProperties>
</file>