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90E" w:rsidP="0039290E">
      <w:pPr>
        <w:pStyle w:val="Title"/>
      </w:pPr>
      <w:r>
        <w:fldChar w:fldCharType="begin"/>
      </w:r>
      <w:r>
        <w:instrText xml:space="preserve"> TITLE   \* MERGEFORMAT </w:instrText>
      </w:r>
      <w:r>
        <w:fldChar w:fldCharType="separate"/>
      </w:r>
      <w:r>
        <w:t>Assessment Requirements for UEECD0050 Use and maintain the integrity of a portable gas detection device</w:t>
      </w:r>
      <w:r>
        <w:fldChar w:fldCharType="end"/>
      </w:r>
    </w:p>
    <w:p w:rsidR="0039290E" w:rsidP="0039290E">
      <w:pPr>
        <w:pStyle w:val="Version"/>
        <w:sectPr w:rsidSect="00EB4F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4F8B" w:rsidP="00EB4F8B">
      <w:pPr>
        <w:pStyle w:val="SuperHeading"/>
      </w:pPr>
      <w:r w:rsidRPr="00EB4F8B">
        <w:t>Assessment Requirements for UEECD0050 Use and maintain the integrity of a portable gas detection device</w:t>
      </w:r>
    </w:p>
    <w:p w:rsidR="00000000" w:rsidRPr="00EB4F8B" w:rsidP="00EB4F8B">
      <w:pPr>
        <w:pStyle w:val="Heading1"/>
      </w:pPr>
      <w:bookmarkStart w:id="1" w:name="O_1185294"/>
      <w:bookmarkEnd w:id="1"/>
      <w:r w:rsidRPr="00EB4F8B">
        <w:t>Modification History</w:t>
      </w:r>
    </w:p>
    <w:tbl>
      <w:tblPr>
        <w:tblW w:w="9497" w:type="dxa"/>
        <w:tblLayout w:type="fixed"/>
        <w:tblCellMar>
          <w:left w:w="62" w:type="dxa"/>
          <w:right w:w="62" w:type="dxa"/>
        </w:tblCellMar>
        <w:tblLook w:val="0000"/>
      </w:tblPr>
      <w:tblGrid>
        <w:gridCol w:w="9497"/>
      </w:tblGrid>
      <w:tr w:rsidTr="00EB4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F8B" w:rsidP="00EB4F8B">
            <w:pPr>
              <w:pStyle w:val="BodyText"/>
            </w:pPr>
            <w:r w:rsidRPr="00EB4F8B">
              <w:t>Release 2.  This minor update is the second release of this unit of competency in the UEE Electrotechnology Training Package.</w:t>
            </w:r>
          </w:p>
          <w:p w:rsidR="00000000" w:rsidP="00EB4F8B">
            <w:pPr>
              <w:pStyle w:val="BodyText"/>
              <w:rPr>
                <w:lang w:val="en-NZ"/>
              </w:rPr>
            </w:pPr>
            <w:r w:rsidRPr="00EB4F8B">
              <w:t>Duplicate content in Knowledge Evidence removed and typographic errors fixed.</w:t>
            </w:r>
          </w:p>
        </w:tc>
      </w:tr>
      <w:tr w:rsidTr="00EB4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F8B" w:rsidP="00EB4F8B">
            <w:pPr>
              <w:pStyle w:val="BodyText"/>
            </w:pPr>
            <w:r w:rsidRPr="00EB4F8B">
              <w:t>Release 1. This is the first release of this unit o</w:t>
            </w:r>
            <w:r w:rsidRPr="00EB4F8B">
              <w:t>f competency in the UEE Electrotechnology Training Package.</w:t>
            </w:r>
          </w:p>
        </w:tc>
      </w:tr>
    </w:tbl>
    <w:p w:rsidR="00000000" w:rsidRPr="00EB4F8B" w:rsidP="00EB4F8B">
      <w:pPr>
        <w:pStyle w:val="NoPaddingFontSize1"/>
      </w:pPr>
    </w:p>
    <w:p w:rsidR="00000000" w:rsidRPr="00EB4F8B" w:rsidP="00EB4F8B">
      <w:pPr>
        <w:pStyle w:val="AllowPageBreak"/>
      </w:pPr>
    </w:p>
    <w:p w:rsidR="00000000" w:rsidRPr="00EB4F8B" w:rsidP="00EB4F8B">
      <w:pPr>
        <w:pStyle w:val="Heading1"/>
      </w:pPr>
      <w:bookmarkStart w:id="2" w:name="O_1185293"/>
      <w:bookmarkEnd w:id="2"/>
      <w:r w:rsidRPr="00EB4F8B">
        <w:t>Performance Evidence</w:t>
      </w:r>
    </w:p>
    <w:tbl>
      <w:tblPr>
        <w:tblW w:w="9497" w:type="dxa"/>
        <w:tblLayout w:type="fixed"/>
        <w:tblCellMar>
          <w:left w:w="62" w:type="dxa"/>
          <w:right w:w="62" w:type="dxa"/>
        </w:tblCellMar>
        <w:tblLook w:val="0000"/>
      </w:tblPr>
      <w:tblGrid>
        <w:gridCol w:w="9497"/>
      </w:tblGrid>
      <w:tr w:rsidTr="00EB4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4F8B">
            <w:pPr>
              <w:pStyle w:val="BodyText"/>
              <w:rPr>
                <w:lang w:val="en-NZ"/>
              </w:rPr>
            </w:pPr>
            <w:r w:rsidRPr="00EB4F8B">
              <w:t>Evidence required to demonstrate competence in this unit must be relevant to and satisfy all of the requirements of the elements, performance criteria and</w:t>
            </w:r>
            <w:r w:rsidRPr="00EB4F8B">
              <w:t xml:space="preserve"> range of conditions on at least two separate occasions and include: </w:t>
            </w:r>
          </w:p>
        </w:tc>
      </w:tr>
      <w:tr w:rsidTr="00EB4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F8B" w:rsidP="00EB4F8B">
            <w:pPr>
              <w:pStyle w:val="ListBullet"/>
            </w:pPr>
            <w:r w:rsidRPr="00EB4F8B">
              <w:t>applying legislation, industry standards, codes of practice and regulations</w:t>
            </w:r>
          </w:p>
          <w:p w:rsidR="00000000" w:rsidRPr="00EB4F8B" w:rsidP="00EB4F8B">
            <w:pPr>
              <w:pStyle w:val="ListBullet"/>
            </w:pPr>
            <w:r w:rsidRPr="00EB4F8B">
              <w:t>applying relevant work health and safety (WHS)/occupational health and safety (OHS) requirements and workpla</w:t>
            </w:r>
            <w:r w:rsidRPr="00EB4F8B">
              <w:t>ce procedures and practices, including:</w:t>
            </w:r>
          </w:p>
          <w:p w:rsidR="00000000" w:rsidRPr="00EB4F8B" w:rsidP="00EB4F8B">
            <w:pPr>
              <w:pStyle w:val="ListBullet2"/>
            </w:pPr>
            <w:r w:rsidRPr="00EB4F8B">
              <w:t>applying safe work practices</w:t>
            </w:r>
          </w:p>
          <w:p w:rsidR="00000000" w:rsidRPr="00EB4F8B" w:rsidP="00EB4F8B">
            <w:pPr>
              <w:pStyle w:val="ListBullet2"/>
            </w:pPr>
            <w:r w:rsidRPr="00EB4F8B">
              <w:t xml:space="preserve">determining safety of area </w:t>
            </w:r>
          </w:p>
          <w:p w:rsidR="00000000" w:rsidRPr="00EB4F8B" w:rsidP="00EB4F8B">
            <w:pPr>
              <w:pStyle w:val="ListBullet2"/>
            </w:pPr>
            <w:r w:rsidRPr="00EB4F8B">
              <w:t xml:space="preserve">identifying and monitoring hazards </w:t>
            </w:r>
          </w:p>
          <w:p w:rsidR="00000000" w:rsidRPr="00EB4F8B" w:rsidP="00EB4F8B">
            <w:pPr>
              <w:pStyle w:val="ListBullet2"/>
            </w:pPr>
            <w:r w:rsidRPr="00EB4F8B">
              <w:t>implementing risk control measures</w:t>
            </w:r>
          </w:p>
          <w:p w:rsidR="00000000" w:rsidRPr="00EB4F8B" w:rsidP="00EB4F8B">
            <w:pPr>
              <w:pStyle w:val="ListBullet2"/>
            </w:pPr>
            <w:r w:rsidRPr="00EB4F8B">
              <w:t>using material data safety sheets (MSDS)/safety data sheets (SDS) and safe work method statements (SWMS)</w:t>
            </w:r>
          </w:p>
          <w:p w:rsidR="00000000" w:rsidRPr="00EB4F8B" w:rsidP="00EB4F8B">
            <w:pPr>
              <w:pStyle w:val="ListBullet2"/>
            </w:pPr>
            <w:r w:rsidRPr="00EB4F8B">
              <w:t xml:space="preserve">wearing personal protective equipment (PPE) </w:t>
            </w:r>
          </w:p>
          <w:p w:rsidR="00000000" w:rsidRPr="00EB4F8B" w:rsidP="00EB4F8B">
            <w:pPr>
              <w:pStyle w:val="ListBullet"/>
            </w:pPr>
            <w:r w:rsidRPr="00EB4F8B">
              <w:t>following workplace procedures to maintain gas detection devices</w:t>
            </w:r>
          </w:p>
          <w:p w:rsidR="00000000" w:rsidRPr="00EB4F8B" w:rsidP="00EB4F8B">
            <w:pPr>
              <w:pStyle w:val="ListBullet"/>
            </w:pPr>
            <w:r w:rsidRPr="00EB4F8B">
              <w:t>interpreting manufacturer specifications</w:t>
            </w:r>
          </w:p>
          <w:p w:rsidR="00000000" w:rsidRPr="00EB4F8B" w:rsidP="00EB4F8B">
            <w:pPr>
              <w:pStyle w:val="ListBullet"/>
            </w:pPr>
            <w:r w:rsidRPr="00EB4F8B">
              <w:t>meeting workplace compliance requirements</w:t>
            </w:r>
          </w:p>
          <w:p w:rsidR="00000000" w:rsidRPr="00EB4F8B" w:rsidP="00EB4F8B">
            <w:pPr>
              <w:pStyle w:val="ListBullet"/>
            </w:pPr>
            <w:r w:rsidRPr="00EB4F8B">
              <w:t>preparing to use portable gas detection devices</w:t>
            </w:r>
          </w:p>
          <w:p w:rsidR="00000000" w:rsidRPr="00EB4F8B" w:rsidP="00EB4F8B">
            <w:pPr>
              <w:pStyle w:val="ListBullet"/>
            </w:pPr>
            <w:r w:rsidRPr="00EB4F8B">
              <w:t>using and maintaining the integrity of portable gas detection devices, including:</w:t>
            </w:r>
          </w:p>
          <w:p w:rsidR="00000000" w:rsidRPr="00EB4F8B" w:rsidP="00EB4F8B">
            <w:pPr>
              <w:pStyle w:val="ListBullet2"/>
            </w:pPr>
            <w:r w:rsidRPr="00EB4F8B">
              <w:t xml:space="preserve">determining whether gas/vapour level in a work area is safe from explosive, toxic </w:t>
            </w:r>
            <w:r w:rsidRPr="00EB4F8B">
              <w:t>and oxygen deficiency</w:t>
            </w:r>
          </w:p>
          <w:p w:rsidR="00000000" w:rsidRPr="00EB4F8B" w:rsidP="00EB4F8B">
            <w:pPr>
              <w:pStyle w:val="ListBullet2"/>
            </w:pPr>
            <w:r w:rsidRPr="00EB4F8B">
              <w:t>following work permits and clearance procedures</w:t>
            </w:r>
          </w:p>
          <w:p w:rsidR="00000000" w:rsidRPr="00EB4F8B" w:rsidP="00EB4F8B">
            <w:pPr>
              <w:pStyle w:val="ListBullet2"/>
            </w:pPr>
            <w:r w:rsidRPr="00EB4F8B">
              <w:t>following workplace procedures to maintain integrity of gas detection devices</w:t>
            </w:r>
          </w:p>
          <w:p w:rsidR="00000000" w:rsidRPr="00EB4F8B" w:rsidP="00EB4F8B">
            <w:pPr>
              <w:pStyle w:val="ListBullet2"/>
            </w:pPr>
            <w:r w:rsidRPr="00EB4F8B">
              <w:t xml:space="preserve">instructing others in use of a portable gas detection devices </w:t>
            </w:r>
          </w:p>
          <w:p w:rsidR="00000000" w:rsidRPr="00EB4F8B" w:rsidP="00EB4F8B">
            <w:pPr>
              <w:pStyle w:val="ListBullet2"/>
            </w:pPr>
            <w:r w:rsidRPr="00EB4F8B">
              <w:t>monitoring hazards and following evacuation procedures</w:t>
            </w:r>
          </w:p>
          <w:p w:rsidR="00000000" w:rsidRPr="00EB4F8B" w:rsidP="00EB4F8B">
            <w:pPr>
              <w:pStyle w:val="ListBullet"/>
            </w:pPr>
            <w:r w:rsidRPr="00EB4F8B">
              <w:t xml:space="preserve">using portable gas detection devices to monitor gases and/or vapours </w:t>
            </w:r>
          </w:p>
          <w:p w:rsidR="00000000" w:rsidRPr="00EB4F8B" w:rsidP="00EB4F8B">
            <w:pPr>
              <w:pStyle w:val="ListBullet"/>
            </w:pPr>
            <w:r w:rsidRPr="00EB4F8B">
              <w:t>using site-specific documentation, including plans, records and schedules</w:t>
            </w:r>
          </w:p>
          <w:p w:rsidR="00000000" w:rsidRPr="00EB4F8B" w:rsidP="00EB4F8B">
            <w:pPr>
              <w:pStyle w:val="ListBullet"/>
            </w:pPr>
            <w:r w:rsidRPr="00EB4F8B">
              <w:t>utilising relevant equipment and tools.</w:t>
            </w:r>
          </w:p>
        </w:tc>
      </w:tr>
    </w:tbl>
    <w:p w:rsidR="00000000" w:rsidRPr="00EB4F8B" w:rsidP="00EB4F8B">
      <w:pPr>
        <w:pStyle w:val="NoPaddingFontSize1"/>
      </w:pPr>
    </w:p>
    <w:p w:rsidR="00000000" w:rsidRPr="00EB4F8B" w:rsidP="00EB4F8B">
      <w:pPr>
        <w:pStyle w:val="AllowPageBreak"/>
      </w:pPr>
    </w:p>
    <w:p w:rsidR="00000000" w:rsidRPr="00EB4F8B" w:rsidP="00EB4F8B">
      <w:pPr>
        <w:pStyle w:val="Heading1"/>
      </w:pPr>
      <w:bookmarkStart w:id="3" w:name="O_1185292"/>
      <w:bookmarkEnd w:id="3"/>
      <w:r w:rsidRPr="00EB4F8B">
        <w:t>Knowledge Evidence</w:t>
      </w:r>
    </w:p>
    <w:tbl>
      <w:tblPr>
        <w:tblW w:w="9497" w:type="dxa"/>
        <w:tblLayout w:type="fixed"/>
        <w:tblCellMar>
          <w:left w:w="62" w:type="dxa"/>
          <w:right w:w="62" w:type="dxa"/>
        </w:tblCellMar>
        <w:tblLook w:val="0000"/>
      </w:tblPr>
      <w:tblGrid>
        <w:gridCol w:w="9497"/>
      </w:tblGrid>
      <w:tr w:rsidTr="00EB4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4F8B">
            <w:pPr>
              <w:pStyle w:val="BodyText"/>
              <w:rPr>
                <w:lang w:val="en-NZ"/>
              </w:rPr>
            </w:pPr>
            <w:r w:rsidRPr="00EB4F8B">
              <w:t xml:space="preserve">Evidence required to demonstrate competence in this unit must be relevant to and satisfy all of the requirements of the elements, performance criteria and range of conditions and include knowledge of: </w:t>
            </w:r>
          </w:p>
        </w:tc>
      </w:tr>
      <w:tr w:rsidTr="00EB4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F8B" w:rsidP="00EB4F8B">
            <w:pPr>
              <w:pStyle w:val="ListBullet"/>
            </w:pPr>
            <w:r w:rsidRPr="00EB4F8B">
              <w:t>actions or conditions that would void hazardous area/equipment protections</w:t>
            </w:r>
          </w:p>
          <w:p w:rsidR="00000000" w:rsidRPr="00EB4F8B" w:rsidP="00EB4F8B">
            <w:pPr>
              <w:pStyle w:val="ListBullet"/>
            </w:pPr>
            <w:r w:rsidRPr="00EB4F8B">
              <w:t>characteristics and liabilities of equipment and tools</w:t>
            </w:r>
          </w:p>
          <w:p w:rsidR="00000000" w:rsidRPr="00EB4F8B" w:rsidP="00EB4F8B">
            <w:pPr>
              <w:pStyle w:val="ListBullet"/>
            </w:pPr>
            <w:r w:rsidRPr="00EB4F8B">
              <w:t>principles of gas detection and the use and care of portable gas detection devices, including:</w:t>
            </w:r>
          </w:p>
          <w:p w:rsidR="00000000" w:rsidRPr="00EB4F8B" w:rsidP="00EB4F8B">
            <w:pPr>
              <w:pStyle w:val="ListBullet2"/>
            </w:pPr>
            <w:r w:rsidRPr="00EB4F8B">
              <w:t xml:space="preserve">fundamental principles in the </w:t>
            </w:r>
            <w:r w:rsidRPr="00EB4F8B">
              <w:t>use of gas and vapour instruments</w:t>
            </w:r>
          </w:p>
          <w:p w:rsidR="00000000" w:rsidRPr="00EB4F8B" w:rsidP="00EB4F8B">
            <w:pPr>
              <w:pStyle w:val="ListBullet2"/>
            </w:pPr>
            <w:r w:rsidRPr="00EB4F8B">
              <w:t>use of manufacturer instruction manuals (operating instructions, adjustment procedures, operational limitations and storage)</w:t>
            </w:r>
          </w:p>
          <w:p w:rsidR="00000000" w:rsidRPr="00EB4F8B" w:rsidP="00EB4F8B">
            <w:pPr>
              <w:pStyle w:val="ListBullet2"/>
            </w:pPr>
            <w:r w:rsidRPr="00EB4F8B">
              <w:t>calibration and response checking</w:t>
            </w:r>
          </w:p>
          <w:p w:rsidR="00000000" w:rsidRPr="00EB4F8B" w:rsidP="00EB4F8B">
            <w:pPr>
              <w:pStyle w:val="ListBullet"/>
            </w:pPr>
            <w:r w:rsidRPr="00EB4F8B">
              <w:t>detecting gases and vapours, including:</w:t>
            </w:r>
          </w:p>
          <w:p w:rsidR="00000000" w:rsidRPr="00EB4F8B" w:rsidP="00EB4F8B">
            <w:pPr>
              <w:pStyle w:val="ListBullet2"/>
            </w:pPr>
            <w:r w:rsidRPr="00EB4F8B">
              <w:t>apparatus capability and users’ knowledge of gases and vapours</w:t>
            </w:r>
          </w:p>
          <w:p w:rsidR="00000000" w:rsidRPr="00EB4F8B" w:rsidP="00EB4F8B">
            <w:pPr>
              <w:pStyle w:val="ListBullet2"/>
            </w:pPr>
            <w:r w:rsidRPr="00EB4F8B">
              <w:t>common properties of gases and vapours, including density of gases, complication of evaporation, condensation and temperature effects of vapours and their mixtures; effect of temperature on den</w:t>
            </w:r>
            <w:r w:rsidRPr="00EB4F8B">
              <w:t>sity; lower explosive limit (LEL) and upper explosive limit (UEL) of combustibles and toxicity</w:t>
            </w:r>
          </w:p>
          <w:p w:rsidR="00000000" w:rsidRPr="00EB4F8B" w:rsidP="00EB4F8B">
            <w:pPr>
              <w:pStyle w:val="ListBullet2"/>
            </w:pPr>
            <w:r w:rsidRPr="00EB4F8B">
              <w:t xml:space="preserve">detection and non-detection of gases </w:t>
            </w:r>
          </w:p>
          <w:p w:rsidR="00000000" w:rsidRPr="00EB4F8B" w:rsidP="00EB4F8B">
            <w:pPr>
              <w:pStyle w:val="ListBullet2"/>
            </w:pPr>
            <w:r w:rsidRPr="00EB4F8B">
              <w:t>environmental effects and intended application</w:t>
            </w:r>
          </w:p>
          <w:p w:rsidR="00000000" w:rsidRPr="00EB4F8B" w:rsidP="00EB4F8B">
            <w:pPr>
              <w:pStyle w:val="ListBullet2"/>
            </w:pPr>
            <w:r w:rsidRPr="00EB4F8B">
              <w:t>propagation of gases, including the release of gas and vapours, ventilation,</w:t>
            </w:r>
            <w:r w:rsidRPr="00EB4F8B">
              <w:t xml:space="preserve"> density, temperature and location</w:t>
            </w:r>
          </w:p>
          <w:p w:rsidR="00000000" w:rsidRPr="00EB4F8B" w:rsidP="00EB4F8B">
            <w:pPr>
              <w:pStyle w:val="ListBullet2"/>
            </w:pPr>
            <w:r w:rsidRPr="00EB4F8B">
              <w:t>safety when monitoring for flammable gases where personnel could be present</w:t>
            </w:r>
          </w:p>
          <w:p w:rsidR="00000000" w:rsidRPr="00EB4F8B" w:rsidP="00EB4F8B">
            <w:pPr>
              <w:pStyle w:val="ListBullet2"/>
            </w:pPr>
            <w:r w:rsidRPr="00EB4F8B">
              <w:t>the differences between detecting gases and vapours, including added complication of evaporation, condensation and temperature effects of vapours</w:t>
            </w:r>
            <w:r w:rsidRPr="00EB4F8B">
              <w:t xml:space="preserve"> and their effect on propagation, calibration and detection, including sampling</w:t>
            </w:r>
          </w:p>
          <w:p w:rsidR="00000000" w:rsidRPr="00EB4F8B" w:rsidP="00EB4F8B">
            <w:pPr>
              <w:pStyle w:val="ListBullet"/>
            </w:pPr>
            <w:r w:rsidRPr="00EB4F8B">
              <w:t xml:space="preserve">oxygen deficiency and effects on safety, including: </w:t>
            </w:r>
          </w:p>
          <w:p w:rsidR="00000000" w:rsidRPr="00EB4F8B" w:rsidP="00EB4F8B">
            <w:pPr>
              <w:pStyle w:val="ListBullet2"/>
            </w:pPr>
            <w:r w:rsidRPr="00EB4F8B">
              <w:t>chemical reaction of oxygen with solid and gaseous products</w:t>
            </w:r>
          </w:p>
          <w:p w:rsidR="00000000" w:rsidRPr="00EB4F8B" w:rsidP="00EB4F8B">
            <w:pPr>
              <w:pStyle w:val="ListBullet2"/>
            </w:pPr>
            <w:r w:rsidRPr="00EB4F8B">
              <w:t>dilution of the air by displacement by some other gas or vapo</w:t>
            </w:r>
            <w:r w:rsidRPr="00EB4F8B">
              <w:t>ur</w:t>
            </w:r>
          </w:p>
          <w:p w:rsidR="00000000" w:rsidRPr="00EB4F8B" w:rsidP="00EB4F8B">
            <w:pPr>
              <w:pStyle w:val="ListBullet"/>
            </w:pPr>
            <w:r w:rsidRPr="00EB4F8B">
              <w:tab/>
              <w:t>measuring principles of catalytic sensors, electrochemical sensors, infrared sensors and semi-conductor sensors, including:</w:t>
            </w:r>
          </w:p>
          <w:p w:rsidR="00000000" w:rsidRPr="00EB4F8B" w:rsidP="00EB4F8B">
            <w:pPr>
              <w:pStyle w:val="ListBullet2"/>
            </w:pPr>
            <w:r w:rsidRPr="00EB4F8B">
              <w:t>common applications, limitations and safety</w:t>
            </w:r>
          </w:p>
          <w:p w:rsidR="00000000" w:rsidRPr="00EB4F8B" w:rsidP="00EB4F8B">
            <w:pPr>
              <w:pStyle w:val="ListBullet2"/>
            </w:pPr>
            <w:r w:rsidRPr="00EB4F8B">
              <w:t>interferences of other gases with the measurement</w:t>
            </w:r>
          </w:p>
          <w:p w:rsidR="00000000" w:rsidRPr="00EB4F8B" w:rsidP="00EB4F8B">
            <w:pPr>
              <w:pStyle w:val="ListBullet2"/>
            </w:pPr>
            <w:r w:rsidRPr="00EB4F8B">
              <w:t>poisoning of the sensor</w:t>
            </w:r>
          </w:p>
          <w:p w:rsidR="00000000" w:rsidRPr="00EB4F8B" w:rsidP="00EB4F8B">
            <w:pPr>
              <w:pStyle w:val="ListBullet3"/>
            </w:pPr>
            <w:r w:rsidRPr="00EB4F8B">
              <w:t>note: detailed information on gas detection is given in AS/NZS 60079.29.2 Explosive atmospheres Gas detectors - Performance requirements of detectors for flammable gases</w:t>
            </w:r>
          </w:p>
          <w:p w:rsidR="00000000" w:rsidRPr="00EB4F8B" w:rsidP="00EB4F8B">
            <w:pPr>
              <w:pStyle w:val="ListBullet"/>
            </w:pPr>
            <w:r w:rsidRPr="00EB4F8B">
              <w:tab/>
              <w:t>limits of gas detection of flammable (combustible) gas equipment, including:</w:t>
            </w:r>
          </w:p>
          <w:p w:rsidR="00000000" w:rsidRPr="00EB4F8B" w:rsidP="00EB4F8B">
            <w:pPr>
              <w:pStyle w:val="ListBullet2"/>
            </w:pPr>
            <w:r w:rsidRPr="00EB4F8B">
              <w:t xml:space="preserve">limit </w:t>
            </w:r>
            <w:r w:rsidRPr="00EB4F8B">
              <w:t>to which flammable gas detection equipment will only detect gases and vapours that are present in the vicinity of the detector or in the line of sight of open path apparatus</w:t>
            </w:r>
          </w:p>
          <w:p w:rsidR="00000000" w:rsidRPr="00EB4F8B" w:rsidP="00EB4F8B">
            <w:pPr>
              <w:pStyle w:val="ListBullet2"/>
            </w:pPr>
            <w:r w:rsidRPr="00EB4F8B">
              <w:t>limit to which flammable gas equipment will not detect combustible liquids and not</w:t>
            </w:r>
            <w:r w:rsidRPr="00EB4F8B">
              <w:t xml:space="preserve"> detect </w:t>
            </w:r>
            <w:r w:rsidRPr="00EB4F8B">
              <w:t>combustible liquids as such, or combustible mists, dusts or fibres</w:t>
            </w:r>
          </w:p>
          <w:p w:rsidR="00000000" w:rsidRPr="00EB4F8B" w:rsidP="00EB4F8B">
            <w:pPr>
              <w:pStyle w:val="ListBullet"/>
            </w:pPr>
            <w:r w:rsidRPr="00EB4F8B">
              <w:tab/>
              <w:t>limits of vapour detection of flammable (combustible) gas equipment (flammable gas detection equipment will only detect those vapours that do not condense at the temperature of</w:t>
            </w:r>
            <w:r w:rsidRPr="00EB4F8B">
              <w:t xml:space="preserve"> the detector or its sampling equipment)</w:t>
            </w:r>
          </w:p>
          <w:p w:rsidR="00000000" w:rsidRPr="00EB4F8B" w:rsidP="00EB4F8B">
            <w:pPr>
              <w:pStyle w:val="ListBullet"/>
            </w:pPr>
            <w:r w:rsidRPr="00EB4F8B">
              <w:t>interpretation of gas detection instrument readings (behaviour), including:</w:t>
            </w:r>
          </w:p>
          <w:p w:rsidR="00000000" w:rsidRPr="00EB4F8B" w:rsidP="00EB4F8B">
            <w:pPr>
              <w:pStyle w:val="ListBullet2"/>
            </w:pPr>
            <w:r w:rsidRPr="00EB4F8B">
              <w:t>upscale reading in the presence of a gas for which an instrument is not calibrated</w:t>
            </w:r>
          </w:p>
          <w:p w:rsidR="00000000" w:rsidRPr="00EB4F8B" w:rsidP="00EB4F8B">
            <w:pPr>
              <w:pStyle w:val="ListBullet2"/>
            </w:pPr>
            <w:r w:rsidRPr="00EB4F8B">
              <w:t>causes of erratic indications</w:t>
            </w:r>
          </w:p>
          <w:p w:rsidR="00000000" w:rsidRPr="00EB4F8B" w:rsidP="00EB4F8B">
            <w:pPr>
              <w:pStyle w:val="ListBullet2"/>
            </w:pPr>
            <w:r w:rsidRPr="00EB4F8B">
              <w:t>reading of low concentrat</w:t>
            </w:r>
            <w:r w:rsidRPr="00EB4F8B">
              <w:t>ions of gas of interest</w:t>
            </w:r>
          </w:p>
          <w:p w:rsidR="00000000" w:rsidRPr="00EB4F8B" w:rsidP="00EB4F8B">
            <w:pPr>
              <w:pStyle w:val="ListBullet2"/>
            </w:pPr>
            <w:r w:rsidRPr="00EB4F8B">
              <w:t xml:space="preserve">off-scale readings </w:t>
            </w:r>
          </w:p>
          <w:p w:rsidR="00000000" w:rsidRPr="00EB4F8B" w:rsidP="00EB4F8B">
            <w:pPr>
              <w:pStyle w:val="ListBullet"/>
            </w:pPr>
            <w:r w:rsidRPr="00EB4F8B">
              <w:t>toxicity level of flammable gases and vapours and their potential for occurring in a given situation</w:t>
            </w:r>
          </w:p>
          <w:p w:rsidR="00000000" w:rsidRPr="00EB4F8B" w:rsidP="00EB4F8B">
            <w:pPr>
              <w:pStyle w:val="ListBullet"/>
            </w:pPr>
            <w:r w:rsidRPr="00EB4F8B">
              <w:t>issues with gas and vapour detection in hazardous areas which may include confined spaces</w:t>
            </w:r>
          </w:p>
          <w:p w:rsidR="00000000" w:rsidRPr="00EB4F8B" w:rsidP="00EB4F8B">
            <w:pPr>
              <w:pStyle w:val="ListBullet"/>
            </w:pPr>
            <w:r w:rsidRPr="00EB4F8B">
              <w:t>manufacturer instruc</w:t>
            </w:r>
            <w:r w:rsidRPr="00EB4F8B">
              <w:t>tion manuals (operating instructions, adjustment procedures, operational limitations and storage)</w:t>
            </w:r>
          </w:p>
          <w:p w:rsidR="00000000" w:rsidRPr="00EB4F8B" w:rsidP="00EB4F8B">
            <w:pPr>
              <w:pStyle w:val="ListBullet"/>
            </w:pPr>
            <w:r w:rsidRPr="00EB4F8B">
              <w:t>relevant hazardous area classification principles and techniques, including calibration and response checking</w:t>
            </w:r>
          </w:p>
          <w:p w:rsidR="00000000" w:rsidRPr="00EB4F8B" w:rsidP="00EB4F8B">
            <w:pPr>
              <w:pStyle w:val="ListBullet"/>
            </w:pPr>
            <w:r w:rsidRPr="00EB4F8B">
              <w:t xml:space="preserve">relevant legislation, industry standards, codes </w:t>
            </w:r>
            <w:r w:rsidRPr="00EB4F8B">
              <w:t>of practice and regulations</w:t>
            </w:r>
          </w:p>
          <w:p w:rsidR="00000000" w:rsidRPr="00EB4F8B" w:rsidP="00EB4F8B">
            <w:pPr>
              <w:pStyle w:val="ListBullet"/>
            </w:pPr>
            <w:r w:rsidRPr="00EB4F8B">
              <w:t>relevant manufacturer specifications</w:t>
            </w:r>
          </w:p>
          <w:p w:rsidR="00000000" w:rsidRPr="00EB4F8B" w:rsidP="00EB4F8B">
            <w:pPr>
              <w:pStyle w:val="ListBullet"/>
            </w:pPr>
            <w:r w:rsidRPr="00EB4F8B">
              <w:t>relevant risk mitigation processes</w:t>
            </w:r>
          </w:p>
          <w:p w:rsidR="00000000" w:rsidRPr="00EB4F8B" w:rsidP="00EB4F8B">
            <w:pPr>
              <w:pStyle w:val="ListBullet"/>
            </w:pPr>
            <w:r w:rsidRPr="00EB4F8B">
              <w:t>relevant WHS/OHS legislated requirements</w:t>
            </w:r>
          </w:p>
          <w:p w:rsidR="00000000" w:rsidRPr="00EB4F8B" w:rsidP="00EB4F8B">
            <w:pPr>
              <w:pStyle w:val="ListBullet"/>
            </w:pPr>
            <w:r w:rsidRPr="00EB4F8B">
              <w:t>relevant workplace documentation</w:t>
            </w:r>
          </w:p>
          <w:p w:rsidR="00000000" w:rsidRPr="00EB4F8B" w:rsidP="00EB4F8B">
            <w:pPr>
              <w:pStyle w:val="ListBullet"/>
            </w:pPr>
            <w:r w:rsidRPr="00EB4F8B">
              <w:t>relevant workplace policies and procedures for testing and inspection of electrical equipment in hazardous atmospheres</w:t>
            </w:r>
          </w:p>
          <w:p w:rsidR="00000000" w:rsidRPr="00EB4F8B" w:rsidP="00EB4F8B">
            <w:pPr>
              <w:pStyle w:val="ListBullet"/>
            </w:pPr>
            <w:r w:rsidRPr="00EB4F8B">
              <w:t>environmental conditions that may impact explosion-protection techniques</w:t>
            </w:r>
          </w:p>
          <w:p w:rsidR="00000000" w:rsidRPr="00EB4F8B" w:rsidP="00EB4F8B">
            <w:pPr>
              <w:pStyle w:val="ListBullet"/>
            </w:pPr>
            <w:r w:rsidRPr="00EB4F8B">
              <w:t>flammable material properties and ignition characteristics.</w:t>
            </w:r>
          </w:p>
        </w:tc>
      </w:tr>
    </w:tbl>
    <w:p w:rsidR="00000000" w:rsidRPr="00EB4F8B" w:rsidP="00EB4F8B">
      <w:pPr>
        <w:pStyle w:val="NoPaddingFontSize1"/>
      </w:pPr>
    </w:p>
    <w:p w:rsidR="00000000" w:rsidRPr="00EB4F8B" w:rsidP="00EB4F8B">
      <w:pPr>
        <w:pStyle w:val="AllowPageBreak"/>
      </w:pPr>
    </w:p>
    <w:p w:rsidR="00000000" w:rsidRPr="00EB4F8B" w:rsidP="00EB4F8B">
      <w:pPr>
        <w:pStyle w:val="Heading1"/>
      </w:pPr>
      <w:bookmarkStart w:id="4" w:name="O_1185291"/>
      <w:bookmarkEnd w:id="4"/>
      <w:r w:rsidRPr="00EB4F8B">
        <w:t>Assessment Conditions</w:t>
      </w:r>
    </w:p>
    <w:tbl>
      <w:tblPr>
        <w:tblW w:w="9497" w:type="dxa"/>
        <w:tblLayout w:type="fixed"/>
        <w:tblCellMar>
          <w:left w:w="62" w:type="dxa"/>
          <w:right w:w="62" w:type="dxa"/>
        </w:tblCellMar>
        <w:tblLook w:val="0000"/>
      </w:tblPr>
      <w:tblGrid>
        <w:gridCol w:w="9497"/>
      </w:tblGrid>
      <w:tr w:rsidTr="00EB4F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F8B" w:rsidP="00EB4F8B">
            <w:pPr>
              <w:pStyle w:val="BodyText"/>
            </w:pPr>
            <w:r w:rsidRPr="00EB4F8B">
              <w:t xml:space="preserve">Assessors must hold credentials specified within the Standards for Registered Training Organisations current at the time of assessment. </w:t>
            </w:r>
          </w:p>
          <w:p w:rsidR="00000000" w:rsidRPr="00EB4F8B" w:rsidP="00EB4F8B">
            <w:pPr>
              <w:pStyle w:val="BodyText"/>
            </w:pPr>
            <w:r w:rsidRPr="00EB4F8B">
              <w:t>Assessment must satisfy the Principles of Assessment and Rules of Evidence and a</w:t>
            </w:r>
            <w:r w:rsidRPr="00EB4F8B">
              <w:t>ll regulatory requirements included within the Standards for Registered Training Organisations current at the time of assessment.</w:t>
            </w:r>
          </w:p>
          <w:p w:rsidR="00000000" w:rsidRPr="00EB4F8B" w:rsidP="00EB4F8B">
            <w:pPr>
              <w:pStyle w:val="BodyText"/>
            </w:pPr>
            <w:r w:rsidRPr="00EB4F8B">
              <w:t>Assessment must occur in workplace operational situations where it is appropriate to do so; where this is not appropriate, ass</w:t>
            </w:r>
            <w:r w:rsidRPr="00EB4F8B">
              <w:t>essment must occur in simulated workplace operational situations that replicate workplace conditions.</w:t>
            </w:r>
          </w:p>
          <w:p w:rsidR="00000000" w:rsidRPr="00EB4F8B" w:rsidP="00EB4F8B">
            <w:pPr>
              <w:pStyle w:val="BodyText"/>
            </w:pPr>
            <w:r w:rsidRPr="00EB4F8B">
              <w:t>Assessment processes and techniques must be appropriate to the language, literacy and numeracy requirements of the work being performed and the needs of t</w:t>
            </w:r>
            <w:r w:rsidRPr="00EB4F8B">
              <w:t>he candidate.</w:t>
            </w:r>
          </w:p>
          <w:p w:rsidR="00000000" w:rsidRPr="00EB4F8B" w:rsidP="00EB4F8B">
            <w:pPr>
              <w:pStyle w:val="BodyText"/>
            </w:pPr>
            <w:r w:rsidRPr="00EB4F8B">
              <w:t>Resources for assessment must include access to:</w:t>
            </w:r>
          </w:p>
          <w:p w:rsidR="00000000" w:rsidRPr="00EB4F8B" w:rsidP="00EB4F8B">
            <w:pPr>
              <w:pStyle w:val="ListBullet"/>
            </w:pPr>
            <w:r w:rsidRPr="00EB4F8B">
              <w:t>a range of relevant exercises, case studies and/or other simulations</w:t>
            </w:r>
          </w:p>
          <w:p w:rsidR="00000000" w:rsidRPr="00EB4F8B" w:rsidP="00EB4F8B">
            <w:pPr>
              <w:pStyle w:val="ListBullet"/>
            </w:pPr>
            <w:r w:rsidRPr="00EB4F8B">
              <w:t xml:space="preserve">relevant and appropriate materials, tools, equipment and PPE currently used in industry </w:t>
            </w:r>
          </w:p>
          <w:p w:rsidR="00000000" w:rsidRPr="00EB4F8B" w:rsidP="00EB4F8B">
            <w:pPr>
              <w:pStyle w:val="ListBullet"/>
            </w:pPr>
            <w:r w:rsidRPr="00EB4F8B">
              <w:t>applicable documentation, including workplace procedures, industry standards, equipment specifications, regulations, codes of practice and operation manuals.</w:t>
            </w:r>
          </w:p>
        </w:tc>
      </w:tr>
    </w:tbl>
    <w:p w:rsidR="00000000" w:rsidRPr="00EB4F8B" w:rsidP="00EB4F8B">
      <w:pPr>
        <w:pStyle w:val="NoPaddingFontSize1"/>
      </w:pPr>
    </w:p>
    <w:p w:rsidR="00000000" w:rsidRPr="00EB4F8B" w:rsidP="00EB4F8B">
      <w:pPr>
        <w:pStyle w:val="AllowPageBreak"/>
      </w:pPr>
    </w:p>
    <w:p w:rsidR="00000000" w:rsidRPr="00EB4F8B" w:rsidP="00EB4F8B">
      <w:pPr>
        <w:pStyle w:val="Heading1"/>
      </w:pPr>
      <w:bookmarkStart w:id="5" w:name="O_1185306"/>
      <w:bookmarkEnd w:id="5"/>
      <w:r w:rsidRPr="00EB4F8B">
        <w:t>Links</w:t>
      </w:r>
    </w:p>
    <w:p w:rsidR="00000000" w:rsidRPr="00EB4F8B" w:rsidP="0039290E">
      <w:pPr>
        <w:pStyle w:val="BodyText"/>
      </w:pPr>
      <w:r w:rsidRPr="00EB4F8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64307">
        <w:rPr>
          <w:rStyle w:val="Hyperlink"/>
        </w:rPr>
        <w:t>https://vetnet.gov.au/Pages/TrainingDocs.aspx?q=b8a8f136-5421-4ce1-92e0-2b50341431b6</w:t>
      </w:r>
      <w:r>
        <w:fldChar w:fldCharType="end"/>
      </w:r>
    </w:p>
    <w:p w:rsidR="00000000" w:rsidRPr="00EB4F8B" w:rsidP="00EB4F8B"/>
    <w:sectPr w:rsidSect="00EB4F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8B" w:rsidRPr="0039290E" w:rsidP="003929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0E" w:rsidP="00EB4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290E" w:rsidP="00EB4F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9290E" w:rsidP="00EB4F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F8B" w:rsidRPr="0039290E" w:rsidP="003929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0E" w:rsidRPr="002D2AF8" w:rsidP="00EB4F8B">
    <w:pPr>
      <w:pStyle w:val="Header"/>
      <w:framePr w:wrap="around"/>
    </w:pPr>
    <w:r>
      <w:fldChar w:fldCharType="begin"/>
    </w:r>
    <w:r>
      <w:instrText xml:space="preserve"> TITLE   \* MERGEFORMAT </w:instrText>
    </w:r>
    <w:r>
      <w:fldChar w:fldCharType="separate"/>
    </w:r>
    <w:r>
      <w:t>Assessment Requirements for UEECD0050 Use and maintain the integrity of a portable gas detection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9290E" w:rsidP="00EB4F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AE5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C6B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A8C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F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F8B"/>
    <w:pPr>
      <w:spacing w:before="360" w:after="60"/>
      <w:outlineLvl w:val="0"/>
    </w:pPr>
    <w:rPr>
      <w:sz w:val="32"/>
    </w:rPr>
  </w:style>
  <w:style w:type="paragraph" w:styleId="Heading2">
    <w:name w:val="heading 2"/>
    <w:basedOn w:val="HeadingBase"/>
    <w:next w:val="BodyText"/>
    <w:link w:val="Heading2Char"/>
    <w:qFormat/>
    <w:rsid w:val="00EB4F8B"/>
    <w:pPr>
      <w:keepLines/>
      <w:spacing w:before="240" w:after="120"/>
      <w:outlineLvl w:val="1"/>
    </w:pPr>
    <w:rPr>
      <w:sz w:val="28"/>
      <w:szCs w:val="40"/>
    </w:rPr>
  </w:style>
  <w:style w:type="paragraph" w:styleId="Heading3">
    <w:name w:val="heading 3"/>
    <w:basedOn w:val="HeadingBase"/>
    <w:next w:val="BodyText"/>
    <w:link w:val="Heading3Char"/>
    <w:qFormat/>
    <w:rsid w:val="00EB4F8B"/>
    <w:pPr>
      <w:spacing w:before="180" w:after="120"/>
      <w:outlineLvl w:val="2"/>
    </w:pPr>
    <w:rPr>
      <w:spacing w:val="-10"/>
      <w:kern w:val="32"/>
    </w:rPr>
  </w:style>
  <w:style w:type="paragraph" w:styleId="Heading4">
    <w:name w:val="heading 4"/>
    <w:basedOn w:val="HeadingBase"/>
    <w:next w:val="BodyText"/>
    <w:link w:val="Heading4Char"/>
    <w:qFormat/>
    <w:rsid w:val="00EB4F8B"/>
    <w:pPr>
      <w:spacing w:before="160" w:after="120"/>
      <w:outlineLvl w:val="3"/>
    </w:pPr>
    <w:rPr>
      <w:sz w:val="22"/>
    </w:rPr>
  </w:style>
  <w:style w:type="paragraph" w:styleId="Heading5">
    <w:name w:val="heading 5"/>
    <w:basedOn w:val="HeadingBase"/>
    <w:next w:val="Normal"/>
    <w:link w:val="Heading5Char"/>
    <w:qFormat/>
    <w:rsid w:val="00EB4F8B"/>
    <w:pPr>
      <w:spacing w:before="80"/>
      <w:outlineLvl w:val="4"/>
    </w:pPr>
    <w:rPr>
      <w:color w:val="918585"/>
      <w:sz w:val="20"/>
    </w:rPr>
  </w:style>
  <w:style w:type="paragraph" w:styleId="Heading6">
    <w:name w:val="heading 6"/>
    <w:basedOn w:val="HeadingBase"/>
    <w:next w:val="Normal"/>
    <w:link w:val="Heading6Char"/>
    <w:qFormat/>
    <w:rsid w:val="00EB4F8B"/>
    <w:pPr>
      <w:spacing w:before="60"/>
      <w:outlineLvl w:val="5"/>
    </w:pPr>
    <w:rPr>
      <w:color w:val="918585"/>
      <w:sz w:val="20"/>
    </w:rPr>
  </w:style>
  <w:style w:type="paragraph" w:styleId="Heading7">
    <w:name w:val="heading 7"/>
    <w:basedOn w:val="Normal"/>
    <w:next w:val="Normal"/>
    <w:link w:val="Heading7Char"/>
    <w:qFormat/>
    <w:rsid w:val="00EB4F8B"/>
    <w:pPr>
      <w:ind w:left="720"/>
      <w:outlineLvl w:val="6"/>
    </w:pPr>
    <w:rPr>
      <w:i/>
    </w:rPr>
  </w:style>
  <w:style w:type="paragraph" w:styleId="Heading8">
    <w:name w:val="heading 8"/>
    <w:basedOn w:val="Normal"/>
    <w:next w:val="Normal"/>
    <w:link w:val="Heading8Char"/>
    <w:qFormat/>
    <w:rsid w:val="00EB4F8B"/>
    <w:pPr>
      <w:ind w:left="720"/>
      <w:outlineLvl w:val="7"/>
    </w:pPr>
    <w:rPr>
      <w:i/>
    </w:rPr>
  </w:style>
  <w:style w:type="paragraph" w:styleId="Heading9">
    <w:name w:val="heading 9"/>
    <w:basedOn w:val="Normal"/>
    <w:next w:val="Normal"/>
    <w:link w:val="Heading9Char"/>
    <w:qFormat/>
    <w:rsid w:val="00EB4F8B"/>
    <w:pPr>
      <w:ind w:left="720"/>
      <w:outlineLvl w:val="8"/>
    </w:pPr>
    <w:rPr>
      <w:i/>
    </w:rPr>
  </w:style>
  <w:style w:type="character" w:default="1" w:styleId="DefaultParagraphFont">
    <w:name w:val="Default Paragraph Font"/>
    <w:uiPriority w:val="1"/>
    <w:unhideWhenUsed/>
    <w:rsid w:val="00EB4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F8B"/>
  </w:style>
  <w:style w:type="character" w:customStyle="1" w:styleId="Heading1Char">
    <w:name w:val="Heading 1 Char"/>
    <w:basedOn w:val="DefaultParagraphFont"/>
    <w:link w:val="Heading1"/>
    <w:rsid w:val="00EB4F8B"/>
    <w:rPr>
      <w:rFonts w:ascii="Times New Roman" w:eastAsia="Times New Roman" w:hAnsi="Times New Roman" w:cs="Times New Roman"/>
      <w:b/>
      <w:sz w:val="32"/>
      <w:szCs w:val="20"/>
      <w:lang w:eastAsia="en-US"/>
    </w:rPr>
  </w:style>
  <w:style w:type="paragraph" w:styleId="BodyText">
    <w:name w:val="Body Text"/>
    <w:basedOn w:val="Normal"/>
    <w:link w:val="BodyTextChar"/>
    <w:rsid w:val="00EB4F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F8B"/>
    <w:rPr>
      <w:rFonts w:ascii="Times New Roman" w:eastAsia="Times New Roman" w:hAnsi="Times New Roman" w:cs="Times New Roman"/>
      <w:sz w:val="24"/>
      <w:lang w:eastAsia="en-US"/>
    </w:rPr>
  </w:style>
  <w:style w:type="paragraph" w:styleId="ListBullet">
    <w:name w:val="List Bullet"/>
    <w:basedOn w:val="List"/>
    <w:rsid w:val="00EB4F8B"/>
    <w:pPr>
      <w:numPr>
        <w:numId w:val="13"/>
      </w:numPr>
      <w:tabs>
        <w:tab w:val="clear" w:pos="340"/>
      </w:tabs>
      <w:spacing w:before="40" w:after="40"/>
    </w:pPr>
  </w:style>
  <w:style w:type="paragraph" w:styleId="ListBullet2">
    <w:name w:val="List Bullet 2"/>
    <w:basedOn w:val="List2"/>
    <w:rsid w:val="00EB4F8B"/>
    <w:pPr>
      <w:numPr>
        <w:numId w:val="14"/>
      </w:numPr>
      <w:tabs>
        <w:tab w:val="clear" w:pos="680"/>
      </w:tabs>
    </w:pPr>
  </w:style>
  <w:style w:type="paragraph" w:customStyle="1" w:styleId="SuperHeading">
    <w:name w:val="SuperHeading"/>
    <w:basedOn w:val="Normal"/>
    <w:rsid w:val="00EB4F8B"/>
    <w:pPr>
      <w:spacing w:before="240" w:after="120"/>
      <w:outlineLvl w:val="0"/>
    </w:pPr>
    <w:rPr>
      <w:rFonts w:ascii="Times New Roman" w:hAnsi="Times New Roman"/>
      <w:b/>
      <w:sz w:val="32"/>
    </w:rPr>
  </w:style>
  <w:style w:type="paragraph" w:customStyle="1" w:styleId="AllowPageBreak">
    <w:name w:val="AllowPageBreak"/>
    <w:rsid w:val="00EB4F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4F8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4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F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F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F8B"/>
    <w:rPr>
      <w:rFonts w:ascii="Courier New" w:eastAsia="Times New Roman" w:hAnsi="Courier New" w:cs="Times New Roman"/>
      <w:i/>
      <w:szCs w:val="20"/>
      <w:lang w:eastAsia="en-US"/>
    </w:rPr>
  </w:style>
  <w:style w:type="paragraph" w:customStyle="1" w:styleId="HeadingBase">
    <w:name w:val="Heading Base"/>
    <w:rsid w:val="00EB4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F8B"/>
    <w:pPr>
      <w:tabs>
        <w:tab w:val="right" w:leader="dot" w:pos="9072"/>
      </w:tabs>
      <w:ind w:left="567"/>
    </w:pPr>
    <w:rPr>
      <w:szCs w:val="22"/>
    </w:rPr>
  </w:style>
  <w:style w:type="paragraph" w:customStyle="1" w:styleId="TOCBase">
    <w:name w:val="TOC Base"/>
    <w:rsid w:val="00EB4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F8B"/>
    <w:pPr>
      <w:tabs>
        <w:tab w:val="right" w:leader="dot" w:pos="9072"/>
      </w:tabs>
      <w:spacing w:before="40" w:after="40"/>
      <w:ind w:left="284"/>
    </w:pPr>
    <w:rPr>
      <w:rFonts w:ascii="Times New Roman" w:hAnsi="Times New Roman"/>
    </w:rPr>
  </w:style>
  <w:style w:type="paragraph" w:styleId="TOC1">
    <w:name w:val="toc 1"/>
    <w:basedOn w:val="TOCBase"/>
    <w:next w:val="Normal"/>
    <w:rsid w:val="00EB4F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F8B"/>
    <w:rPr>
      <w:rFonts w:ascii="Times New Roman" w:eastAsia="Times New Roman" w:hAnsi="Times New Roman" w:cs="Times New Roman"/>
      <w:sz w:val="16"/>
      <w:lang w:eastAsia="en-US"/>
    </w:rPr>
  </w:style>
  <w:style w:type="paragraph" w:styleId="Title">
    <w:name w:val="Title"/>
    <w:basedOn w:val="HeadingBase"/>
    <w:link w:val="TitleChar"/>
    <w:qFormat/>
    <w:rsid w:val="00EB4F8B"/>
    <w:pPr>
      <w:spacing w:before="5040"/>
      <w:jc w:val="center"/>
    </w:pPr>
    <w:rPr>
      <w:sz w:val="48"/>
      <w:szCs w:val="72"/>
      <w:lang w:val="en-US"/>
    </w:rPr>
  </w:style>
  <w:style w:type="character" w:customStyle="1" w:styleId="TitleChar">
    <w:name w:val="Title Char"/>
    <w:basedOn w:val="DefaultParagraphFont"/>
    <w:link w:val="Title"/>
    <w:rsid w:val="00EB4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F8B"/>
    <w:pPr>
      <w:tabs>
        <w:tab w:val="left" w:pos="3600"/>
        <w:tab w:val="left" w:pos="3958"/>
      </w:tabs>
    </w:pPr>
  </w:style>
  <w:style w:type="paragraph" w:styleId="List">
    <w:name w:val="List"/>
    <w:basedOn w:val="BodyText"/>
    <w:next w:val="BodyText"/>
    <w:rsid w:val="00EB4F8B"/>
    <w:pPr>
      <w:tabs>
        <w:tab w:val="left" w:pos="340"/>
      </w:tabs>
      <w:spacing w:before="60" w:after="60"/>
      <w:ind w:left="340" w:hanging="340"/>
    </w:pPr>
  </w:style>
  <w:style w:type="paragraph" w:customStyle="1" w:styleId="Note">
    <w:name w:val="Note"/>
    <w:basedOn w:val="BodyText"/>
    <w:rsid w:val="00EB4F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4F8B"/>
    <w:rPr>
      <w:b/>
      <w:spacing w:val="0"/>
    </w:rPr>
  </w:style>
  <w:style w:type="paragraph" w:customStyle="1" w:styleId="SuperTitle">
    <w:name w:val="SuperTitle"/>
    <w:basedOn w:val="Title"/>
    <w:rsid w:val="00EB4F8B"/>
    <w:pPr>
      <w:framePr w:wrap="auto" w:hAnchor="text" w:y="6049"/>
    </w:pPr>
    <w:rPr>
      <w:color w:val="000000"/>
      <w:sz w:val="40"/>
    </w:rPr>
  </w:style>
  <w:style w:type="paragraph" w:customStyle="1" w:styleId="TOCTitle">
    <w:name w:val="TOCTitle"/>
    <w:basedOn w:val="Heading1"/>
    <w:rsid w:val="00EB4F8B"/>
    <w:pPr>
      <w:spacing w:after="240"/>
      <w:jc w:val="center"/>
      <w:outlineLvl w:val="9"/>
    </w:pPr>
    <w:rPr>
      <w:caps/>
    </w:rPr>
  </w:style>
  <w:style w:type="paragraph" w:customStyle="1" w:styleId="Version">
    <w:name w:val="Version"/>
    <w:rsid w:val="00EB4F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F8B"/>
    <w:pPr>
      <w:keepNext w:val="0"/>
      <w:tabs>
        <w:tab w:val="right" w:pos="4176"/>
      </w:tabs>
      <w:ind w:left="198" w:hanging="198"/>
    </w:pPr>
    <w:rPr>
      <w:rFonts w:ascii="Garamond" w:hAnsi="Garamond"/>
    </w:rPr>
  </w:style>
  <w:style w:type="paragraph" w:styleId="IndexHeading">
    <w:name w:val="index heading"/>
    <w:basedOn w:val="Normal"/>
    <w:next w:val="Index1"/>
    <w:semiHidden/>
    <w:rsid w:val="00EB4F8B"/>
    <w:pPr>
      <w:spacing w:before="120" w:after="120"/>
    </w:pPr>
    <w:rPr>
      <w:rFonts w:ascii="Arial" w:hAnsi="Arial"/>
      <w:b/>
      <w:color w:val="918585"/>
      <w:sz w:val="24"/>
    </w:rPr>
  </w:style>
  <w:style w:type="paragraph" w:styleId="Header">
    <w:name w:val="header"/>
    <w:basedOn w:val="Normal"/>
    <w:link w:val="HeaderChar"/>
    <w:rsid w:val="00EB4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F8B"/>
    <w:rPr>
      <w:rFonts w:ascii="Times New Roman" w:eastAsia="Times New Roman" w:hAnsi="Times New Roman" w:cs="Times New Roman"/>
      <w:sz w:val="16"/>
      <w:szCs w:val="20"/>
      <w:lang w:val="en-GB" w:eastAsia="en-US"/>
    </w:rPr>
  </w:style>
  <w:style w:type="paragraph" w:customStyle="1" w:styleId="Chapter">
    <w:name w:val="Chapter"/>
    <w:basedOn w:val="Normal"/>
    <w:rsid w:val="00EB4F8B"/>
    <w:pPr>
      <w:spacing w:before="240"/>
    </w:pPr>
    <w:rPr>
      <w:rFonts w:ascii="Times New Roman" w:hAnsi="Times New Roman"/>
      <w:smallCaps/>
      <w:spacing w:val="80"/>
      <w:sz w:val="28"/>
    </w:rPr>
  </w:style>
  <w:style w:type="paragraph" w:customStyle="1" w:styleId="InChapter">
    <w:name w:val="InChapter"/>
    <w:basedOn w:val="Heading3"/>
    <w:rsid w:val="00EB4F8B"/>
    <w:pPr>
      <w:spacing w:after="240"/>
      <w:outlineLvl w:val="9"/>
    </w:pPr>
    <w:rPr>
      <w:noProof/>
    </w:rPr>
  </w:style>
  <w:style w:type="paragraph" w:styleId="Index2">
    <w:name w:val="index 2"/>
    <w:basedOn w:val="Normal"/>
    <w:next w:val="Normal"/>
    <w:semiHidden/>
    <w:rsid w:val="00EB4F8B"/>
    <w:pPr>
      <w:tabs>
        <w:tab w:val="right" w:pos="4176"/>
      </w:tabs>
      <w:ind w:left="568" w:hanging="284"/>
    </w:pPr>
    <w:rPr>
      <w:rFonts w:ascii="Garamond" w:hAnsi="Garamond"/>
    </w:rPr>
  </w:style>
  <w:style w:type="paragraph" w:customStyle="1" w:styleId="Byline">
    <w:name w:val="Byline"/>
    <w:rsid w:val="00EB4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F8B"/>
    <w:pPr>
      <w:tabs>
        <w:tab w:val="clear" w:pos="3600"/>
        <w:tab w:val="clear" w:pos="3958"/>
      </w:tabs>
      <w:jc w:val="right"/>
    </w:pPr>
  </w:style>
  <w:style w:type="character" w:styleId="Emphasis">
    <w:name w:val="Emphasis"/>
    <w:basedOn w:val="DefaultParagraphFont"/>
    <w:qFormat/>
    <w:rsid w:val="00EB4F8B"/>
    <w:rPr>
      <w:i/>
    </w:rPr>
  </w:style>
  <w:style w:type="paragraph" w:styleId="Caption">
    <w:name w:val="caption"/>
    <w:basedOn w:val="BodyText"/>
    <w:next w:val="Normal"/>
    <w:qFormat/>
    <w:rsid w:val="00EB4F8B"/>
    <w:pPr>
      <w:framePr w:w="2268" w:hSpace="181" w:vSpace="181" w:wrap="around" w:vAnchor="text" w:hAnchor="page" w:x="1135" w:y="285" w:anchorLock="1"/>
    </w:pPr>
    <w:rPr>
      <w:i/>
    </w:rPr>
  </w:style>
  <w:style w:type="paragraph" w:customStyle="1" w:styleId="MiniTOCTitle">
    <w:name w:val="MiniTOCTitle"/>
    <w:basedOn w:val="Heading4"/>
    <w:rsid w:val="00EB4F8B"/>
    <w:pPr>
      <w:spacing w:before="240"/>
      <w:outlineLvl w:val="9"/>
    </w:pPr>
    <w:rPr>
      <w:noProof/>
      <w:sz w:val="24"/>
    </w:rPr>
  </w:style>
  <w:style w:type="paragraph" w:customStyle="1" w:styleId="MiniTOCItem">
    <w:name w:val="MiniTOCItem"/>
    <w:basedOn w:val="ListBullet"/>
    <w:rsid w:val="00EB4F8B"/>
    <w:pPr>
      <w:numPr>
        <w:numId w:val="0"/>
      </w:numPr>
      <w:tabs>
        <w:tab w:val="right" w:leader="dot" w:pos="6521"/>
      </w:tabs>
      <w:spacing w:before="0" w:after="0"/>
    </w:pPr>
  </w:style>
  <w:style w:type="paragraph" w:customStyle="1" w:styleId="TOFTitle">
    <w:name w:val="TOFTitle"/>
    <w:basedOn w:val="TOCTitle"/>
    <w:rsid w:val="00EB4F8B"/>
  </w:style>
  <w:style w:type="paragraph" w:styleId="TableofFigures">
    <w:name w:val="table of figures"/>
    <w:basedOn w:val="Normal"/>
    <w:next w:val="Normal"/>
    <w:semiHidden/>
    <w:rsid w:val="00EB4F8B"/>
    <w:pPr>
      <w:tabs>
        <w:tab w:val="right" w:leader="dot" w:pos="9072"/>
      </w:tabs>
      <w:ind w:left="970" w:hanging="403"/>
    </w:pPr>
    <w:rPr>
      <w:rFonts w:ascii="Times New Roman" w:hAnsi="Times New Roman"/>
      <w:b/>
    </w:rPr>
  </w:style>
  <w:style w:type="paragraph" w:styleId="ListNumber">
    <w:name w:val="List Number"/>
    <w:basedOn w:val="List"/>
    <w:rsid w:val="00EB4F8B"/>
    <w:pPr>
      <w:numPr>
        <w:numId w:val="16"/>
      </w:numPr>
      <w:tabs>
        <w:tab w:val="clear" w:pos="340"/>
      </w:tabs>
    </w:pPr>
  </w:style>
  <w:style w:type="character" w:customStyle="1" w:styleId="WingdingSymbols">
    <w:name w:val="Wingding Symbols"/>
    <w:rsid w:val="00EB4F8B"/>
    <w:rPr>
      <w:rFonts w:ascii="Wingdings" w:hAnsi="Wingdings"/>
    </w:rPr>
  </w:style>
  <w:style w:type="paragraph" w:customStyle="1" w:styleId="TableHeading">
    <w:name w:val="Table Heading"/>
    <w:basedOn w:val="HeadingBase"/>
    <w:rsid w:val="00EB4F8B"/>
    <w:pPr>
      <w:keepLines/>
      <w:pBdr>
        <w:bottom w:val="single" w:sz="6" w:space="1" w:color="918585"/>
      </w:pBdr>
      <w:spacing w:before="240"/>
    </w:pPr>
  </w:style>
  <w:style w:type="character" w:customStyle="1" w:styleId="HotSpot">
    <w:name w:val="HotSpot"/>
    <w:rsid w:val="00EB4F8B"/>
    <w:rPr>
      <w:color w:val="0033CC"/>
      <w:u w:val="none"/>
    </w:rPr>
  </w:style>
  <w:style w:type="paragraph" w:customStyle="1" w:styleId="BodyTextRight">
    <w:name w:val="Body Text Right"/>
    <w:basedOn w:val="BodyText"/>
    <w:rsid w:val="00EB4F8B"/>
    <w:pPr>
      <w:spacing w:before="0" w:after="0"/>
      <w:jc w:val="right"/>
    </w:pPr>
  </w:style>
  <w:style w:type="paragraph" w:styleId="Index3">
    <w:name w:val="index 3"/>
    <w:basedOn w:val="ListNumber2"/>
    <w:next w:val="Normal"/>
    <w:semiHidden/>
    <w:rsid w:val="00EB4F8B"/>
    <w:pPr>
      <w:numPr>
        <w:numId w:val="0"/>
      </w:numPr>
      <w:tabs>
        <w:tab w:val="right" w:leader="dot" w:pos="4176"/>
      </w:tabs>
    </w:pPr>
  </w:style>
  <w:style w:type="paragraph" w:styleId="ListNumber2">
    <w:name w:val="List Number 2"/>
    <w:basedOn w:val="List2"/>
    <w:rsid w:val="00EB4F8B"/>
    <w:pPr>
      <w:numPr>
        <w:numId w:val="11"/>
      </w:numPr>
      <w:tabs>
        <w:tab w:val="clear" w:pos="1060"/>
      </w:tabs>
    </w:pPr>
  </w:style>
  <w:style w:type="paragraph" w:customStyle="1" w:styleId="MarginNote">
    <w:name w:val="Margin Note"/>
    <w:basedOn w:val="BodyText"/>
    <w:rsid w:val="00EB4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F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F8B"/>
    <w:rPr>
      <w:sz w:val="32"/>
    </w:rPr>
  </w:style>
  <w:style w:type="paragraph" w:customStyle="1" w:styleId="HeadingProcedure">
    <w:name w:val="Heading Procedure"/>
    <w:basedOn w:val="HeadingBase"/>
    <w:next w:val="Normal"/>
    <w:rsid w:val="00EB4F8B"/>
    <w:pPr>
      <w:tabs>
        <w:tab w:val="left" w:pos="0"/>
      </w:tabs>
      <w:spacing w:before="120" w:after="60"/>
    </w:pPr>
    <w:rPr>
      <w:i/>
      <w:color w:val="918585"/>
      <w:sz w:val="22"/>
    </w:rPr>
  </w:style>
  <w:style w:type="paragraph" w:customStyle="1" w:styleId="TableBodyText">
    <w:name w:val="Table Body Text"/>
    <w:basedOn w:val="BodyText"/>
    <w:rsid w:val="00EB4F8B"/>
    <w:pPr>
      <w:spacing w:before="60" w:after="60"/>
    </w:pPr>
  </w:style>
  <w:style w:type="paragraph" w:styleId="ListContinue">
    <w:name w:val="List Continue"/>
    <w:basedOn w:val="List"/>
    <w:rsid w:val="00EB4F8B"/>
    <w:pPr>
      <w:ind w:firstLine="0"/>
    </w:pPr>
  </w:style>
  <w:style w:type="paragraph" w:customStyle="1" w:styleId="ListNote">
    <w:name w:val="List Note"/>
    <w:basedOn w:val="List"/>
    <w:rsid w:val="00EB4F8B"/>
    <w:pPr>
      <w:pBdr>
        <w:top w:val="single" w:sz="6" w:space="2" w:color="918585"/>
        <w:bottom w:val="single" w:sz="6" w:space="2" w:color="918585"/>
      </w:pBdr>
      <w:tabs>
        <w:tab w:val="left" w:pos="1021"/>
      </w:tabs>
      <w:ind w:firstLine="0"/>
    </w:pPr>
  </w:style>
  <w:style w:type="paragraph" w:customStyle="1" w:styleId="Warning">
    <w:name w:val="Warning"/>
    <w:basedOn w:val="BodyText"/>
    <w:rsid w:val="00EB4F8B"/>
    <w:pPr>
      <w:shd w:val="clear" w:color="auto" w:fill="D9D9D9"/>
      <w:tabs>
        <w:tab w:val="left" w:pos="992"/>
      </w:tabs>
      <w:ind w:left="119" w:right="119"/>
    </w:pPr>
    <w:rPr>
      <w:sz w:val="20"/>
    </w:rPr>
  </w:style>
  <w:style w:type="paragraph" w:customStyle="1" w:styleId="MarginIcons">
    <w:name w:val="Margin Icons"/>
    <w:basedOn w:val="BodyText"/>
    <w:rsid w:val="00EB4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F8B"/>
    <w:rPr>
      <w:rFonts w:ascii="Courier New" w:hAnsi="Courier New"/>
    </w:rPr>
  </w:style>
  <w:style w:type="paragraph" w:customStyle="1" w:styleId="NoteBullet">
    <w:name w:val="Note Bullet"/>
    <w:basedOn w:val="Note"/>
    <w:rsid w:val="00EB4F8B"/>
    <w:pPr>
      <w:tabs>
        <w:tab w:val="clear" w:pos="680"/>
      </w:tabs>
      <w:spacing w:before="60" w:after="60"/>
    </w:pPr>
  </w:style>
  <w:style w:type="paragraph" w:customStyle="1" w:styleId="SubHeading2">
    <w:name w:val="SubHeading2"/>
    <w:basedOn w:val="HeadingBase"/>
    <w:rsid w:val="00EB4F8B"/>
    <w:pPr>
      <w:spacing w:before="240" w:after="60"/>
    </w:pPr>
    <w:rPr>
      <w:sz w:val="20"/>
    </w:rPr>
  </w:style>
  <w:style w:type="paragraph" w:customStyle="1" w:styleId="SubHeading1">
    <w:name w:val="SubHeading1"/>
    <w:basedOn w:val="HeadingBase"/>
    <w:rsid w:val="00EB4F8B"/>
    <w:pPr>
      <w:spacing w:before="240" w:after="60"/>
    </w:pPr>
    <w:rPr>
      <w:color w:val="918585"/>
      <w:sz w:val="22"/>
    </w:rPr>
  </w:style>
  <w:style w:type="paragraph" w:customStyle="1" w:styleId="SideHeading">
    <w:name w:val="Side Heading"/>
    <w:basedOn w:val="HeadingBase"/>
    <w:rsid w:val="00EB4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F8B"/>
    <w:pPr>
      <w:numPr>
        <w:numId w:val="12"/>
      </w:numPr>
    </w:pPr>
  </w:style>
  <w:style w:type="paragraph" w:styleId="PlainText">
    <w:name w:val="Plain Text"/>
    <w:basedOn w:val="Normal"/>
    <w:link w:val="PlainTextChar"/>
    <w:rsid w:val="00EB4F8B"/>
    <w:rPr>
      <w:sz w:val="20"/>
    </w:rPr>
  </w:style>
  <w:style w:type="character" w:customStyle="1" w:styleId="PlainTextChar">
    <w:name w:val="Plain Text Char"/>
    <w:basedOn w:val="DefaultParagraphFont"/>
    <w:link w:val="PlainText"/>
    <w:rsid w:val="00EB4F8B"/>
    <w:rPr>
      <w:rFonts w:ascii="Courier New" w:eastAsia="Times New Roman" w:hAnsi="Courier New" w:cs="Times New Roman"/>
      <w:sz w:val="20"/>
      <w:szCs w:val="20"/>
      <w:lang w:eastAsia="en-US"/>
    </w:rPr>
  </w:style>
  <w:style w:type="character" w:customStyle="1" w:styleId="MenuOption">
    <w:name w:val="Menu Option"/>
    <w:basedOn w:val="DefaultParagraphFont"/>
    <w:rsid w:val="00EB4F8B"/>
    <w:rPr>
      <w:b/>
      <w:smallCaps/>
    </w:rPr>
  </w:style>
  <w:style w:type="paragraph" w:customStyle="1" w:styleId="TableListNumber">
    <w:name w:val="Table List Number"/>
    <w:basedOn w:val="ListNumber"/>
    <w:rsid w:val="00EB4F8B"/>
    <w:pPr>
      <w:numPr>
        <w:numId w:val="0"/>
      </w:numPr>
    </w:pPr>
  </w:style>
  <w:style w:type="paragraph" w:styleId="TOC4">
    <w:name w:val="toc 4"/>
    <w:basedOn w:val="TOCBase"/>
    <w:next w:val="Normal"/>
    <w:semiHidden/>
    <w:rsid w:val="00EB4F8B"/>
    <w:pPr>
      <w:tabs>
        <w:tab w:val="right" w:leader="dot" w:pos="9071"/>
      </w:tabs>
      <w:ind w:left="1701"/>
    </w:pPr>
  </w:style>
  <w:style w:type="paragraph" w:customStyle="1" w:styleId="ListAlpha">
    <w:name w:val="List Alpha"/>
    <w:basedOn w:val="List"/>
    <w:rsid w:val="00EB4F8B"/>
    <w:pPr>
      <w:numPr>
        <w:numId w:val="10"/>
      </w:numPr>
    </w:pPr>
  </w:style>
  <w:style w:type="paragraph" w:customStyle="1" w:styleId="ListAlpha2">
    <w:name w:val="List Alpha 2"/>
    <w:basedOn w:val="List2"/>
    <w:rsid w:val="00EB4F8B"/>
    <w:pPr>
      <w:numPr>
        <w:numId w:val="9"/>
      </w:numPr>
    </w:pPr>
  </w:style>
  <w:style w:type="paragraph" w:styleId="List2">
    <w:name w:val="List 2"/>
    <w:basedOn w:val="BodyText"/>
    <w:rsid w:val="00EB4F8B"/>
    <w:pPr>
      <w:tabs>
        <w:tab w:val="left" w:pos="680"/>
      </w:tabs>
      <w:spacing w:before="60" w:after="60"/>
      <w:ind w:left="680" w:hanging="340"/>
    </w:pPr>
  </w:style>
  <w:style w:type="paragraph" w:styleId="List3">
    <w:name w:val="List 3"/>
    <w:basedOn w:val="BodyText"/>
    <w:rsid w:val="00EB4F8B"/>
    <w:pPr>
      <w:tabs>
        <w:tab w:val="left" w:pos="1021"/>
      </w:tabs>
      <w:spacing w:before="60" w:after="60"/>
      <w:ind w:left="1020" w:hanging="340"/>
    </w:pPr>
  </w:style>
  <w:style w:type="paragraph" w:styleId="List4">
    <w:name w:val="List 4"/>
    <w:basedOn w:val="BodyText"/>
    <w:rsid w:val="00EB4F8B"/>
    <w:pPr>
      <w:tabs>
        <w:tab w:val="left" w:pos="1361"/>
      </w:tabs>
      <w:spacing w:before="60" w:after="60"/>
      <w:ind w:left="1361" w:hanging="340"/>
    </w:pPr>
  </w:style>
  <w:style w:type="paragraph" w:styleId="List5">
    <w:name w:val="List 5"/>
    <w:basedOn w:val="BodyText"/>
    <w:rsid w:val="00EB4F8B"/>
    <w:pPr>
      <w:tabs>
        <w:tab w:val="left" w:pos="1701"/>
      </w:tabs>
      <w:spacing w:before="60" w:after="60"/>
      <w:ind w:left="1701" w:hanging="340"/>
    </w:pPr>
  </w:style>
  <w:style w:type="paragraph" w:styleId="ListBullet4">
    <w:name w:val="List Bullet 4"/>
    <w:basedOn w:val="List4"/>
    <w:rsid w:val="00EB4F8B"/>
    <w:pPr>
      <w:numPr>
        <w:numId w:val="4"/>
      </w:numPr>
      <w:tabs>
        <w:tab w:val="clear" w:pos="1361"/>
      </w:tabs>
    </w:pPr>
  </w:style>
  <w:style w:type="paragraph" w:styleId="ListBullet5">
    <w:name w:val="List Bullet 5"/>
    <w:basedOn w:val="List5"/>
    <w:rsid w:val="00EB4F8B"/>
    <w:pPr>
      <w:numPr>
        <w:numId w:val="5"/>
      </w:numPr>
    </w:pPr>
  </w:style>
  <w:style w:type="paragraph" w:styleId="ListContinue2">
    <w:name w:val="List Continue 2"/>
    <w:basedOn w:val="List2"/>
    <w:rsid w:val="00EB4F8B"/>
    <w:pPr>
      <w:ind w:firstLine="0"/>
    </w:pPr>
  </w:style>
  <w:style w:type="paragraph" w:styleId="ListContinue3">
    <w:name w:val="List Continue 3"/>
    <w:basedOn w:val="List3"/>
    <w:rsid w:val="00EB4F8B"/>
    <w:pPr>
      <w:ind w:left="1021" w:firstLine="0"/>
    </w:pPr>
  </w:style>
  <w:style w:type="paragraph" w:styleId="ListContinue4">
    <w:name w:val="List Continue 4"/>
    <w:basedOn w:val="List4"/>
    <w:rsid w:val="00EB4F8B"/>
    <w:pPr>
      <w:ind w:firstLine="0"/>
    </w:pPr>
  </w:style>
  <w:style w:type="paragraph" w:styleId="ListContinue5">
    <w:name w:val="List Continue 5"/>
    <w:basedOn w:val="List5"/>
    <w:rsid w:val="00EB4F8B"/>
    <w:pPr>
      <w:ind w:firstLine="0"/>
    </w:pPr>
  </w:style>
  <w:style w:type="paragraph" w:styleId="ListNumber3">
    <w:name w:val="List Number 3"/>
    <w:basedOn w:val="List3"/>
    <w:rsid w:val="00EB4F8B"/>
    <w:pPr>
      <w:numPr>
        <w:numId w:val="6"/>
      </w:numPr>
    </w:pPr>
  </w:style>
  <w:style w:type="paragraph" w:styleId="ListNumber4">
    <w:name w:val="List Number 4"/>
    <w:basedOn w:val="List4"/>
    <w:rsid w:val="00EB4F8B"/>
    <w:pPr>
      <w:numPr>
        <w:numId w:val="7"/>
      </w:numPr>
    </w:pPr>
  </w:style>
  <w:style w:type="paragraph" w:styleId="ListNumber5">
    <w:name w:val="List Number 5"/>
    <w:basedOn w:val="List5"/>
    <w:rsid w:val="00EB4F8B"/>
    <w:pPr>
      <w:numPr>
        <w:numId w:val="8"/>
      </w:numPr>
    </w:pPr>
  </w:style>
  <w:style w:type="paragraph" w:styleId="BlockText">
    <w:name w:val="Block Text"/>
    <w:basedOn w:val="Normal"/>
    <w:rsid w:val="00EB4F8B"/>
    <w:pPr>
      <w:spacing w:after="120"/>
      <w:ind w:left="1440" w:right="1440"/>
    </w:pPr>
  </w:style>
  <w:style w:type="character" w:customStyle="1" w:styleId="Subscript">
    <w:name w:val="Subscript"/>
    <w:basedOn w:val="DefaultParagraphFont"/>
    <w:rsid w:val="00EB4F8B"/>
    <w:rPr>
      <w:sz w:val="16"/>
      <w:vertAlign w:val="subscript"/>
    </w:rPr>
  </w:style>
  <w:style w:type="character" w:customStyle="1" w:styleId="Superscript">
    <w:name w:val="Superscript"/>
    <w:basedOn w:val="DefaultParagraphFont"/>
    <w:rsid w:val="00EB4F8B"/>
    <w:rPr>
      <w:sz w:val="16"/>
      <w:vertAlign w:val="superscript"/>
    </w:rPr>
  </w:style>
  <w:style w:type="character" w:customStyle="1" w:styleId="Symbols">
    <w:name w:val="Symbols"/>
    <w:basedOn w:val="DefaultParagraphFont"/>
    <w:rsid w:val="00EB4F8B"/>
    <w:rPr>
      <w:rFonts w:ascii="Symbol" w:hAnsi="Symbol"/>
    </w:rPr>
  </w:style>
  <w:style w:type="character" w:customStyle="1" w:styleId="MenuOptions">
    <w:name w:val="Menu Options"/>
    <w:basedOn w:val="DefaultParagraphFont"/>
    <w:rsid w:val="00EB4F8B"/>
    <w:rPr>
      <w:rFonts w:ascii="Arial Narrow" w:hAnsi="Arial Narrow"/>
      <w:smallCaps/>
    </w:rPr>
  </w:style>
  <w:style w:type="character" w:customStyle="1" w:styleId="Buttons">
    <w:name w:val="Buttons"/>
    <w:basedOn w:val="DefaultParagraphFont"/>
    <w:rsid w:val="00EB4F8B"/>
    <w:rPr>
      <w:b/>
    </w:rPr>
  </w:style>
  <w:style w:type="character" w:customStyle="1" w:styleId="Underlined">
    <w:name w:val="Underlined"/>
    <w:basedOn w:val="DefaultParagraphFont"/>
    <w:rsid w:val="00EB4F8B"/>
    <w:rPr>
      <w:u w:val="single"/>
    </w:rPr>
  </w:style>
  <w:style w:type="paragraph" w:customStyle="1" w:styleId="TableBodyTextRight">
    <w:name w:val="Table Body Text Right"/>
    <w:basedOn w:val="TableBodyText"/>
    <w:rsid w:val="00EB4F8B"/>
    <w:pPr>
      <w:widowControl w:val="0"/>
      <w:autoSpaceDE w:val="0"/>
      <w:autoSpaceDN w:val="0"/>
      <w:adjustRightInd w:val="0"/>
      <w:jc w:val="right"/>
    </w:pPr>
    <w:rPr>
      <w:rFonts w:cs="Arial"/>
      <w:szCs w:val="18"/>
    </w:rPr>
  </w:style>
  <w:style w:type="paragraph" w:customStyle="1" w:styleId="CopyrightText">
    <w:name w:val="Copyright Text"/>
    <w:basedOn w:val="BodyText"/>
    <w:rsid w:val="00EB4F8B"/>
    <w:rPr>
      <w:sz w:val="18"/>
    </w:rPr>
  </w:style>
  <w:style w:type="paragraph" w:customStyle="1" w:styleId="BodySmallRight">
    <w:name w:val="Body Small Right"/>
    <w:basedOn w:val="BodyTextRight"/>
    <w:rsid w:val="00EB4F8B"/>
    <w:rPr>
      <w:sz w:val="18"/>
      <w:szCs w:val="18"/>
    </w:rPr>
  </w:style>
  <w:style w:type="paragraph" w:customStyle="1" w:styleId="MarginEdition">
    <w:name w:val="Margin Edition"/>
    <w:basedOn w:val="MarginNote"/>
    <w:rsid w:val="00EB4F8B"/>
    <w:pPr>
      <w:spacing w:before="0" w:after="0"/>
    </w:pPr>
    <w:rPr>
      <w:rFonts w:ascii="Times New Roman" w:hAnsi="Times New Roman"/>
      <w:color w:val="999999"/>
    </w:rPr>
  </w:style>
  <w:style w:type="paragraph" w:customStyle="1" w:styleId="Spacer">
    <w:name w:val="Spacer"/>
    <w:basedOn w:val="Normal"/>
    <w:rsid w:val="00EB4F8B"/>
    <w:rPr>
      <w:sz w:val="2"/>
      <w:szCs w:val="2"/>
    </w:rPr>
  </w:style>
  <w:style w:type="character" w:customStyle="1" w:styleId="Small">
    <w:name w:val="Small"/>
    <w:basedOn w:val="DefaultParagraphFont"/>
    <w:rsid w:val="00EB4F8B"/>
    <w:rPr>
      <w:sz w:val="16"/>
    </w:rPr>
  </w:style>
  <w:style w:type="paragraph" w:customStyle="1" w:styleId="WideTable">
    <w:name w:val="Wide Table"/>
    <w:basedOn w:val="Normal"/>
    <w:rsid w:val="00EB4F8B"/>
    <w:pPr>
      <w:ind w:left="-1418"/>
    </w:pPr>
    <w:rPr>
      <w:sz w:val="2"/>
      <w:szCs w:val="2"/>
    </w:rPr>
  </w:style>
  <w:style w:type="character" w:styleId="PageNumber">
    <w:name w:val="page number"/>
    <w:basedOn w:val="DefaultParagraphFont"/>
    <w:rsid w:val="00EB4F8B"/>
  </w:style>
  <w:style w:type="paragraph" w:styleId="Quote">
    <w:name w:val="Quote"/>
    <w:basedOn w:val="Heading1"/>
    <w:link w:val="QuoteChar"/>
    <w:qFormat/>
    <w:rsid w:val="00EB4F8B"/>
    <w:rPr>
      <w:b w:val="0"/>
      <w:sz w:val="72"/>
      <w:szCs w:val="72"/>
      <w:lang w:val="en-NZ"/>
    </w:rPr>
  </w:style>
  <w:style w:type="character" w:customStyle="1" w:styleId="QuoteChar">
    <w:name w:val="Quote Char"/>
    <w:basedOn w:val="DefaultParagraphFont"/>
    <w:link w:val="Quote"/>
    <w:rsid w:val="00EB4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F8B"/>
    <w:pPr>
      <w:pageBreakBefore/>
    </w:pPr>
  </w:style>
  <w:style w:type="paragraph" w:customStyle="1" w:styleId="Border">
    <w:name w:val="Border"/>
    <w:basedOn w:val="Normal"/>
    <w:qFormat/>
    <w:rsid w:val="00EB4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F8B"/>
    <w:rPr>
      <w:b/>
      <w:bCs/>
      <w:i/>
      <w:iCs/>
      <w:color w:val="auto"/>
    </w:rPr>
  </w:style>
  <w:style w:type="paragraph" w:styleId="IntenseQuote">
    <w:name w:val="Intense Quote"/>
    <w:basedOn w:val="Normal"/>
    <w:next w:val="Normal"/>
    <w:link w:val="IntenseQuoteChar"/>
    <w:uiPriority w:val="30"/>
    <w:qFormat/>
    <w:rsid w:val="00EB4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F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F8B"/>
    <w:rPr>
      <w:smallCaps/>
      <w:color w:val="auto"/>
      <w:u w:val="single"/>
    </w:rPr>
  </w:style>
  <w:style w:type="character" w:styleId="IntenseReference">
    <w:name w:val="Intense Reference"/>
    <w:basedOn w:val="DefaultParagraphFont"/>
    <w:uiPriority w:val="32"/>
    <w:qFormat/>
    <w:rsid w:val="00EB4F8B"/>
    <w:rPr>
      <w:b/>
      <w:bCs/>
      <w:smallCaps/>
      <w:color w:val="auto"/>
      <w:spacing w:val="5"/>
      <w:u w:val="single"/>
    </w:rPr>
  </w:style>
  <w:style w:type="paragraph" w:customStyle="1" w:styleId="2ColumnHeading">
    <w:name w:val="2Column Heading"/>
    <w:basedOn w:val="BodyText"/>
    <w:qFormat/>
    <w:rsid w:val="00EB4F8B"/>
    <w:pPr>
      <w:spacing w:after="60"/>
      <w:ind w:left="-2268"/>
    </w:pPr>
    <w:rPr>
      <w:b/>
    </w:rPr>
  </w:style>
  <w:style w:type="paragraph" w:customStyle="1" w:styleId="Heading1TOC">
    <w:name w:val="Heading1 TOC"/>
    <w:basedOn w:val="Normal"/>
    <w:qFormat/>
    <w:rsid w:val="00EB4F8B"/>
    <w:pPr>
      <w:spacing w:before="240" w:after="120"/>
    </w:pPr>
    <w:rPr>
      <w:rFonts w:ascii="Times New Roman" w:hAnsi="Times New Roman"/>
      <w:b/>
      <w:sz w:val="32"/>
    </w:rPr>
  </w:style>
  <w:style w:type="paragraph" w:customStyle="1" w:styleId="Heading2TOC">
    <w:name w:val="Heading2 TOC"/>
    <w:basedOn w:val="Normal"/>
    <w:qFormat/>
    <w:rsid w:val="00EB4F8B"/>
    <w:pPr>
      <w:spacing w:before="240" w:after="60"/>
    </w:pPr>
    <w:rPr>
      <w:rFonts w:ascii="Times New Roman" w:hAnsi="Times New Roman"/>
      <w:b/>
      <w:sz w:val="28"/>
    </w:rPr>
  </w:style>
  <w:style w:type="character" w:customStyle="1" w:styleId="Underline">
    <w:name w:val="Underline"/>
    <w:basedOn w:val="DefaultParagraphFont"/>
    <w:qFormat/>
    <w:rsid w:val="00EB4F8B"/>
    <w:rPr>
      <w:u w:val="single"/>
    </w:rPr>
  </w:style>
  <w:style w:type="character" w:customStyle="1" w:styleId="BoldandItalics">
    <w:name w:val="Bold and Italics"/>
    <w:qFormat/>
    <w:rsid w:val="00EB4F8B"/>
    <w:rPr>
      <w:b/>
      <w:i/>
      <w:u w:val="none"/>
    </w:rPr>
  </w:style>
  <w:style w:type="paragraph" w:styleId="BalloonText">
    <w:name w:val="Balloon Text"/>
    <w:basedOn w:val="Normal"/>
    <w:link w:val="BalloonTextChar"/>
    <w:rsid w:val="00EB4F8B"/>
    <w:rPr>
      <w:rFonts w:ascii="Tahoma" w:hAnsi="Tahoma" w:cs="Tahoma"/>
      <w:sz w:val="16"/>
      <w:szCs w:val="16"/>
    </w:rPr>
  </w:style>
  <w:style w:type="character" w:customStyle="1" w:styleId="BalloonTextChar">
    <w:name w:val="Balloon Text Char"/>
    <w:basedOn w:val="DefaultParagraphFont"/>
    <w:link w:val="BalloonText"/>
    <w:rsid w:val="00EB4F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F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F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F8B"/>
    <w:rPr>
      <w:b/>
      <w:color w:val="660033"/>
      <w:spacing w:val="0"/>
    </w:rPr>
  </w:style>
  <w:style w:type="paragraph" w:customStyle="1" w:styleId="Nameditemlist">
    <w:name w:val="Named item list"/>
    <w:basedOn w:val="BodyText"/>
    <w:qFormat/>
    <w:rsid w:val="00EB4F8B"/>
    <w:pPr>
      <w:tabs>
        <w:tab w:val="left" w:pos="2835"/>
      </w:tabs>
      <w:ind w:left="2835" w:hanging="2835"/>
    </w:pPr>
  </w:style>
  <w:style w:type="paragraph" w:customStyle="1" w:styleId="BodyTextnopadding">
    <w:name w:val="Body Text no padding"/>
    <w:basedOn w:val="BodyText"/>
    <w:qFormat/>
    <w:rsid w:val="00EB4F8B"/>
    <w:pPr>
      <w:spacing w:before="0" w:after="0"/>
    </w:pPr>
  </w:style>
  <w:style w:type="paragraph" w:customStyle="1" w:styleId="BodyTextBold">
    <w:name w:val="Body Text Bold"/>
    <w:basedOn w:val="BodyText"/>
    <w:qFormat/>
    <w:rsid w:val="00EB4F8B"/>
    <w:rPr>
      <w:b/>
    </w:rPr>
  </w:style>
  <w:style w:type="character" w:styleId="Hyperlink">
    <w:name w:val="Hyperlink"/>
    <w:basedOn w:val="DefaultParagraphFont"/>
    <w:uiPriority w:val="99"/>
    <w:unhideWhenUsed/>
    <w:rsid w:val="003929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6518</Characters>
  <Application>Microsoft Office Word</Application>
  <DocSecurity>0</DocSecurity>
  <Lines>135</Lines>
  <Paragraphs>100</Paragraphs>
  <ScaleCrop>false</ScaleCrop>
  <Company>Author-it Software Corporation Ltd.</Company>
  <LinksUpToDate>false</LinksUpToDate>
  <CharactersWithSpaces>7411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UEECD0050 Use and maintain the integrity of a portable gas detection device</dc:title>
  <dc:subject>Approved</dc:subject>
  <dc:creator>Powering Skills Organisation</dc:creator>
  <cp:keywords>Release: 2</cp:keywords>
  <dc:description>Review Date: 12 April 2008</dc:description>
  <cp:lastModifiedBy>HSD_TPCMSd.prod</cp:lastModifiedBy>
  <cp:revision>3</cp:revision>
  <dcterms:created xsi:type="dcterms:W3CDTF">2024-11-29T00:30:00Z</dcterms:created>
  <dcterms:modified xsi:type="dcterms:W3CDTF">2024-11-29T00:30:00Z</dcterms:modified>
</cp:coreProperties>
</file>