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F59" w:rsidP="009A6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UEECD0024 Implement and monitor energy sector WHS policies and procedures</w:t>
      </w:r>
      <w:r>
        <w:fldChar w:fldCharType="end"/>
      </w:r>
    </w:p>
    <w:p w:rsidR="009A6F59" w:rsidP="009A6F59">
      <w:pPr>
        <w:pStyle w:val="Version"/>
        <w:sectPr w:rsidSect="00802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DAC" w:rsidP="00802DAC">
      <w:pPr>
        <w:pStyle w:val="SuperHeading"/>
      </w:pPr>
      <w:r w:rsidRPr="00802DAC">
        <w:t>UEECD0024 Implement and monitor energy sector WHS policies and procedures</w:t>
      </w:r>
    </w:p>
    <w:p w:rsidR="00000000" w:rsidRPr="00802DAC" w:rsidP="00802DAC">
      <w:pPr>
        <w:pStyle w:val="Heading1"/>
      </w:pPr>
      <w:bookmarkStart w:id="1" w:name="O_1076810"/>
      <w:bookmarkEnd w:id="1"/>
      <w:r w:rsidRPr="00802D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Release 1. This is the first release of this unit of competency in the UEE Electrotechnology Training Package.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2" w:name="O_1076811"/>
      <w:bookmarkEnd w:id="2"/>
      <w:r w:rsidRPr="00802D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This unit involves the skills and knowledge required to implement and monitor energy sector work health and safety (WHS)/occupational health and safety (OHS) policies and procedures.</w:t>
            </w:r>
          </w:p>
          <w:p w:rsidR="00000000" w:rsidRPr="00802DAC" w:rsidP="00802DAC">
            <w:pPr>
              <w:pStyle w:val="BodyText"/>
            </w:pPr>
            <w:r w:rsidRPr="00802DAC">
              <w:t xml:space="preserve">It includes providing WHS/OHS information to the work group; </w:t>
            </w:r>
            <w:r w:rsidRPr="00802DAC">
              <w:t>implementing and monitoring participative arrangements for the management of WHS/OHS; and implementing and monitoring the workplace procedures for identifying hazards, assessing and controlling risks. It also includes implementing and monitoring procedures</w:t>
            </w:r>
            <w:r w:rsidRPr="00802DAC">
              <w:t xml:space="preserve"> for dealing with hazardous events, WHS/OHS training, and maintaining WHS/OHS records.</w:t>
            </w:r>
          </w:p>
          <w:p w:rsidR="00000000" w:rsidRPr="00802DAC" w:rsidP="00802DAC">
            <w:pPr>
              <w:pStyle w:val="BodyText"/>
            </w:pPr>
            <w:r w:rsidRPr="00802DAC">
              <w:t>No licensing, legislative or certification requirements apply to this unit at the time of publication.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3" w:name="O_1076812"/>
      <w:bookmarkEnd w:id="3"/>
      <w:r w:rsidRPr="00802D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Not applicable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4" w:name="O_1076813"/>
      <w:bookmarkEnd w:id="4"/>
      <w:r w:rsidRPr="00802D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Cross Discipline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5" w:name="O_1076814"/>
      <w:bookmarkEnd w:id="5"/>
      <w:r w:rsidRPr="00802D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Electrotechnology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6" w:name="O_1076815"/>
      <w:bookmarkEnd w:id="6"/>
      <w:r w:rsidRPr="00802D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PERFORMANCE CRITERIA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Performance criteria describe the performance needed to demonstrate achievement of the element.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Provide WHS/OHS information to the work group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Relevant WHS/OHS legislation and codes of practice are explained to work group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Relevant WHS/OHS workplace policies, procedures and programs are available in a readily accessible manner and explained to work group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Identified hazards, risk assessments and risk control measures are identified, supplied and explained to the work g</w:t>
            </w:r>
            <w:r w:rsidRPr="00802DAC">
              <w:t>roup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Implement and monitor participative arrangements for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 xml:space="preserve">Workplace procedures for consultation of WHS/OHS issues are implemented, monitored and communicated to work group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 xml:space="preserve">Issues raised through consultation are dealt with and resolved promptly or referred to relevant person/s for resolution in accordance with workplace procedures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 xml:space="preserve">Outcomes of WHS/OHS consultation issues are communicated to the work group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Implement</w:t>
            </w:r>
            <w:r w:rsidRPr="00802DAC">
              <w:rPr>
                <w:rStyle w:val="SpecialBold"/>
              </w:rPr>
              <w:t xml:space="preserve"> and monitor procedures for identifying hazards, assessing risk and controlling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Hazards are identified, risks are assessed and control measures are implemented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Risks control measures are implemented and adherence by work group is monitored in accordance with workplace procedures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Inadequacies in existing risk control measures are identified in accordance with hierarchy of risk control and reported to releva</w:t>
            </w:r>
            <w:r w:rsidRPr="00802DAC">
              <w:t>nt person/s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Inadequacies in resource allocation for implementation of risk control measures are identified and reported to relevant person/s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Implement procedures for dealing with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Workplace procedures for responding to hazardous events are implemented to ensure prompt control action is taken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Hazardous events are investigated to identify their cause in accordance with workplace procedures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 xml:space="preserve">Control measures to minimise risks of hazardous events based on the hierarchy of risk control are implemented or referred to relevant person/s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Implement and monitor procedures for WHS/OHS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WHS/OHS training needs analysis of work group is pe</w:t>
            </w:r>
            <w:r w:rsidRPr="00802DAC">
              <w:t xml:space="preserve">rformed to identify competency gaps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Identified WHS/OHS training gaps are fulfilled by training programs in consultation with relevant person/s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rPr>
                <w:rStyle w:val="SpecialBold"/>
              </w:rPr>
              <w:t>Implement and monitor procedures for maintaining WHS/OHS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WHS/OHS records for work area are</w:t>
            </w:r>
            <w:r w:rsidRPr="00802DAC">
              <w:t xml:space="preserve"> completed in accordance with workplace procedures and relevant legislative requirements </w:t>
            </w:r>
          </w:p>
        </w:tc>
      </w:tr>
      <w:tr w:rsidTr="00802D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Aggregate information from work area WHS/OHS records are used to identify hazards and monitor risk control procedures in accordance with workplace procedures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7" w:name="O_1076816"/>
      <w:bookmarkEnd w:id="7"/>
      <w:r w:rsidRPr="00802D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Foundation skills essential to performance are explicit in the performance criteria of this unit of competency.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8" w:name="O_1076817"/>
      <w:bookmarkEnd w:id="8"/>
      <w:r w:rsidRPr="00802D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Range is restricted to essential operating conditions and any oth</w:t>
            </w:r>
            <w:r w:rsidRPr="00802DAC">
              <w:t>er variables essential to the work environment.</w:t>
            </w:r>
          </w:p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Non-essential conditions may be found in the UEE Electrotechnology Training Package Companion Volume Implementation Guide.</w:t>
            </w:r>
          </w:p>
        </w:tc>
      </w:tr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DAC">
            <w:pPr>
              <w:pStyle w:val="BodyText"/>
              <w:rPr>
                <w:lang w:val="en-NZ"/>
              </w:rPr>
            </w:pPr>
            <w:r w:rsidRPr="00802DAC">
              <w:t>Imple</w:t>
            </w:r>
            <w:r w:rsidRPr="00802DAC">
              <w:t>menting and monitoring energy sector WHS/OHS policies and procedures must include the following attributes: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ListBullet"/>
            </w:pPr>
            <w:r w:rsidRPr="00802DAC">
              <w:t>organisation’s WHS/OHS obligations</w:t>
            </w:r>
          </w:p>
          <w:p w:rsidR="00000000" w:rsidRPr="00802DAC" w:rsidP="00802DAC">
            <w:pPr>
              <w:pStyle w:val="ListBullet"/>
            </w:pPr>
            <w:r w:rsidRPr="00802DAC">
              <w:t xml:space="preserve">participative arrangements </w:t>
            </w:r>
          </w:p>
          <w:p w:rsidR="00000000" w:rsidRPr="00802DAC" w:rsidP="00802DAC">
            <w:pPr>
              <w:pStyle w:val="ListBullet"/>
            </w:pPr>
            <w:r w:rsidRPr="00802DAC">
              <w:t>implementation and monitoring safety information to staff</w:t>
            </w:r>
          </w:p>
          <w:p w:rsidR="00000000" w:rsidRPr="00802DAC" w:rsidP="00802DAC">
            <w:pPr>
              <w:pStyle w:val="ListBullet"/>
            </w:pPr>
            <w:r w:rsidRPr="00802DAC">
              <w:t>safety procedures</w:t>
            </w:r>
          </w:p>
          <w:p w:rsidR="00000000" w:rsidRPr="00802DAC" w:rsidP="00802DAC">
            <w:pPr>
              <w:pStyle w:val="ListBullet"/>
            </w:pPr>
            <w:r w:rsidRPr="00802DAC">
              <w:t>safety r</w:t>
            </w:r>
            <w:r w:rsidRPr="00802DAC">
              <w:t xml:space="preserve">ecords maintenance </w:t>
            </w:r>
          </w:p>
          <w:p w:rsidR="00000000" w:rsidRPr="00802DAC" w:rsidP="00802DAC">
            <w:pPr>
              <w:pStyle w:val="ListBullet"/>
            </w:pPr>
            <w:r w:rsidRPr="00802DAC">
              <w:t>training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9" w:name="O_1076818"/>
      <w:bookmarkEnd w:id="9"/>
      <w:r w:rsidRPr="00802D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DAC" w:rsidP="00802DAC">
            <w:pPr>
              <w:pStyle w:val="BodyText"/>
            </w:pPr>
            <w:r w:rsidRPr="00802DAC">
              <w:t>This unit replaces and is equivalent to UEENEEE117A Implement and monitor energy sector OHS policies and procedures.</w:t>
            </w:r>
          </w:p>
        </w:tc>
      </w:tr>
    </w:tbl>
    <w:p w:rsidR="00000000" w:rsidRPr="00802DAC" w:rsidP="00802DAC">
      <w:pPr>
        <w:pStyle w:val="NoPaddingFontSize1"/>
      </w:pPr>
    </w:p>
    <w:p w:rsidR="00000000" w:rsidRPr="00802DAC" w:rsidP="00802DAC">
      <w:pPr>
        <w:pStyle w:val="AllowPageBreak"/>
      </w:pPr>
    </w:p>
    <w:p w:rsidR="00000000" w:rsidRPr="00802DAC" w:rsidP="00802DAC">
      <w:pPr>
        <w:pStyle w:val="Heading1"/>
      </w:pPr>
      <w:bookmarkStart w:id="10" w:name="O_1076825"/>
      <w:bookmarkEnd w:id="10"/>
      <w:r w:rsidRPr="00802DAC">
        <w:t>Links</w:t>
      </w:r>
    </w:p>
    <w:p w:rsidR="00000000" w:rsidRPr="00802DAC" w:rsidP="009A6F59">
      <w:pPr>
        <w:pStyle w:val="BodyText"/>
      </w:pPr>
      <w:r w:rsidRPr="00802DA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21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02DAC" w:rsidP="00802DAC"/>
    <w:sectPr w:rsidSect="00802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AC" w:rsidRPr="009A6F59" w:rsidP="009A6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59" w:rsidP="0080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F59" w:rsidP="0080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A6F59" w:rsidP="00802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DAC" w:rsidRPr="009A6F59" w:rsidP="009A6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F59" w:rsidRPr="002D2AF8" w:rsidP="0080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UEECD0024 Implement and monitor energy sector WHS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A6F59" w:rsidP="00802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40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36F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DAC"/>
  </w:style>
  <w:style w:type="character" w:customStyle="1" w:styleId="Heading1Char">
    <w:name w:val="Heading 1 Char"/>
    <w:basedOn w:val="DefaultParagraphFont"/>
    <w:link w:val="Heading1"/>
    <w:rsid w:val="00802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D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DAC"/>
    <w:rPr>
      <w:b/>
      <w:spacing w:val="0"/>
    </w:rPr>
  </w:style>
  <w:style w:type="paragraph" w:customStyle="1" w:styleId="SuperHeading">
    <w:name w:val="SuperHeading"/>
    <w:basedOn w:val="Normal"/>
    <w:rsid w:val="00802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2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DAC"/>
    <w:rPr>
      <w:i/>
    </w:rPr>
  </w:style>
  <w:style w:type="paragraph" w:styleId="Caption">
    <w:name w:val="caption"/>
    <w:basedOn w:val="BodyText"/>
    <w:next w:val="Normal"/>
    <w:qFormat/>
    <w:rsid w:val="00802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DAC"/>
  </w:style>
  <w:style w:type="paragraph" w:styleId="TableofFigures">
    <w:name w:val="table of figures"/>
    <w:basedOn w:val="Normal"/>
    <w:next w:val="Normal"/>
    <w:semiHidden/>
    <w:rsid w:val="00802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D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DAC"/>
    <w:rPr>
      <w:rFonts w:ascii="Wingdings" w:hAnsi="Wingdings"/>
    </w:rPr>
  </w:style>
  <w:style w:type="paragraph" w:customStyle="1" w:styleId="TableHeading">
    <w:name w:val="Table Heading"/>
    <w:basedOn w:val="HeadingBase"/>
    <w:rsid w:val="00802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DAC"/>
    <w:rPr>
      <w:color w:val="0033CC"/>
      <w:u w:val="none"/>
    </w:rPr>
  </w:style>
  <w:style w:type="paragraph" w:customStyle="1" w:styleId="BodyTextRight">
    <w:name w:val="Body Text Right"/>
    <w:basedOn w:val="BodyText"/>
    <w:rsid w:val="00802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D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DAC"/>
    <w:rPr>
      <w:sz w:val="32"/>
    </w:rPr>
  </w:style>
  <w:style w:type="paragraph" w:customStyle="1" w:styleId="HeadingProcedure">
    <w:name w:val="Heading Procedure"/>
    <w:basedOn w:val="HeadingBase"/>
    <w:next w:val="Normal"/>
    <w:rsid w:val="00802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DAC"/>
    <w:pPr>
      <w:spacing w:before="60" w:after="60"/>
    </w:pPr>
  </w:style>
  <w:style w:type="paragraph" w:styleId="ListContinue">
    <w:name w:val="List Continue"/>
    <w:basedOn w:val="List"/>
    <w:rsid w:val="00802DAC"/>
    <w:pPr>
      <w:ind w:firstLine="0"/>
    </w:pPr>
  </w:style>
  <w:style w:type="paragraph" w:customStyle="1" w:styleId="ListNote">
    <w:name w:val="List Note"/>
    <w:basedOn w:val="List"/>
    <w:rsid w:val="00802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DAC"/>
    <w:rPr>
      <w:rFonts w:ascii="Courier New" w:hAnsi="Courier New"/>
    </w:rPr>
  </w:style>
  <w:style w:type="paragraph" w:customStyle="1" w:styleId="NoteBullet">
    <w:name w:val="Note Bullet"/>
    <w:basedOn w:val="Note"/>
    <w:rsid w:val="00802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DAC"/>
    <w:rPr>
      <w:b/>
      <w:smallCaps/>
    </w:rPr>
  </w:style>
  <w:style w:type="paragraph" w:customStyle="1" w:styleId="TableListNumber">
    <w:name w:val="Table List Number"/>
    <w:basedOn w:val="ListNumber"/>
    <w:rsid w:val="00802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DAC"/>
    <w:pPr>
      <w:numPr>
        <w:numId w:val="8"/>
      </w:numPr>
    </w:pPr>
  </w:style>
  <w:style w:type="paragraph" w:customStyle="1" w:styleId="ListAlpha2">
    <w:name w:val="List Alpha 2"/>
    <w:basedOn w:val="List2"/>
    <w:rsid w:val="00802DAC"/>
    <w:pPr>
      <w:numPr>
        <w:numId w:val="7"/>
      </w:numPr>
    </w:pPr>
  </w:style>
  <w:style w:type="paragraph" w:styleId="List2">
    <w:name w:val="List 2"/>
    <w:basedOn w:val="BodyText"/>
    <w:rsid w:val="00802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D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DAC"/>
    <w:pPr>
      <w:numPr>
        <w:numId w:val="3"/>
      </w:numPr>
    </w:pPr>
  </w:style>
  <w:style w:type="paragraph" w:styleId="ListContinue2">
    <w:name w:val="List Continue 2"/>
    <w:basedOn w:val="List2"/>
    <w:rsid w:val="00802DAC"/>
    <w:pPr>
      <w:ind w:firstLine="0"/>
    </w:pPr>
  </w:style>
  <w:style w:type="paragraph" w:styleId="ListContinue3">
    <w:name w:val="List Continue 3"/>
    <w:basedOn w:val="List3"/>
    <w:rsid w:val="00802DAC"/>
    <w:pPr>
      <w:ind w:left="1021" w:firstLine="0"/>
    </w:pPr>
  </w:style>
  <w:style w:type="paragraph" w:styleId="ListContinue4">
    <w:name w:val="List Continue 4"/>
    <w:basedOn w:val="List4"/>
    <w:rsid w:val="00802DAC"/>
    <w:pPr>
      <w:ind w:firstLine="0"/>
    </w:pPr>
  </w:style>
  <w:style w:type="paragraph" w:styleId="ListContinue5">
    <w:name w:val="List Continue 5"/>
    <w:basedOn w:val="List5"/>
    <w:rsid w:val="00802DAC"/>
    <w:pPr>
      <w:ind w:firstLine="0"/>
    </w:pPr>
  </w:style>
  <w:style w:type="paragraph" w:styleId="ListNumber3">
    <w:name w:val="List Number 3"/>
    <w:basedOn w:val="List3"/>
    <w:rsid w:val="00802DAC"/>
    <w:pPr>
      <w:numPr>
        <w:numId w:val="4"/>
      </w:numPr>
    </w:pPr>
  </w:style>
  <w:style w:type="paragraph" w:styleId="ListNumber4">
    <w:name w:val="List Number 4"/>
    <w:basedOn w:val="List4"/>
    <w:rsid w:val="00802DAC"/>
    <w:pPr>
      <w:numPr>
        <w:numId w:val="5"/>
      </w:numPr>
    </w:pPr>
  </w:style>
  <w:style w:type="paragraph" w:styleId="ListNumber5">
    <w:name w:val="List Number 5"/>
    <w:basedOn w:val="List5"/>
    <w:rsid w:val="00802DAC"/>
    <w:pPr>
      <w:numPr>
        <w:numId w:val="6"/>
      </w:numPr>
    </w:pPr>
  </w:style>
  <w:style w:type="paragraph" w:styleId="BlockText">
    <w:name w:val="Block Text"/>
    <w:basedOn w:val="Normal"/>
    <w:rsid w:val="00802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DAC"/>
    <w:rPr>
      <w:sz w:val="16"/>
      <w:vertAlign w:val="superscript"/>
    </w:rPr>
  </w:style>
  <w:style w:type="character" w:customStyle="1" w:styleId="Symbols">
    <w:name w:val="Symbols"/>
    <w:basedOn w:val="DefaultParagraphFont"/>
    <w:rsid w:val="00802DAC"/>
    <w:rPr>
      <w:rFonts w:ascii="Symbol" w:hAnsi="Symbol"/>
    </w:rPr>
  </w:style>
  <w:style w:type="character" w:customStyle="1" w:styleId="MenuOptions">
    <w:name w:val="Menu Options"/>
    <w:basedOn w:val="DefaultParagraphFont"/>
    <w:rsid w:val="00802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DAC"/>
    <w:rPr>
      <w:b/>
    </w:rPr>
  </w:style>
  <w:style w:type="character" w:customStyle="1" w:styleId="Underlined">
    <w:name w:val="Underlined"/>
    <w:basedOn w:val="DefaultParagraphFont"/>
    <w:rsid w:val="00802DAC"/>
    <w:rPr>
      <w:u w:val="single"/>
    </w:rPr>
  </w:style>
  <w:style w:type="paragraph" w:customStyle="1" w:styleId="TableBodyTextRight">
    <w:name w:val="Table Body Text Right"/>
    <w:basedOn w:val="TableBodyText"/>
    <w:rsid w:val="00802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DAC"/>
    <w:rPr>
      <w:sz w:val="18"/>
    </w:rPr>
  </w:style>
  <w:style w:type="paragraph" w:customStyle="1" w:styleId="BodySmallRight">
    <w:name w:val="Body Small Right"/>
    <w:basedOn w:val="BodyTextRight"/>
    <w:rsid w:val="00802DAC"/>
    <w:rPr>
      <w:sz w:val="18"/>
      <w:szCs w:val="18"/>
    </w:rPr>
  </w:style>
  <w:style w:type="paragraph" w:customStyle="1" w:styleId="MarginEdition">
    <w:name w:val="Margin Edition"/>
    <w:basedOn w:val="MarginNote"/>
    <w:rsid w:val="00802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DAC"/>
    <w:rPr>
      <w:sz w:val="2"/>
      <w:szCs w:val="2"/>
    </w:rPr>
  </w:style>
  <w:style w:type="character" w:customStyle="1" w:styleId="Small">
    <w:name w:val="Small"/>
    <w:basedOn w:val="DefaultParagraphFont"/>
    <w:rsid w:val="00802DAC"/>
    <w:rPr>
      <w:sz w:val="16"/>
    </w:rPr>
  </w:style>
  <w:style w:type="paragraph" w:customStyle="1" w:styleId="WideTable">
    <w:name w:val="Wide Table"/>
    <w:basedOn w:val="Normal"/>
    <w:rsid w:val="00802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DAC"/>
  </w:style>
  <w:style w:type="paragraph" w:styleId="Quote">
    <w:name w:val="Quote"/>
    <w:basedOn w:val="Heading1"/>
    <w:link w:val="QuoteChar"/>
    <w:qFormat/>
    <w:rsid w:val="00802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DAC"/>
    <w:pPr>
      <w:pageBreakBefore/>
    </w:pPr>
  </w:style>
  <w:style w:type="paragraph" w:customStyle="1" w:styleId="Border">
    <w:name w:val="Border"/>
    <w:basedOn w:val="Normal"/>
    <w:qFormat/>
    <w:rsid w:val="00802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DAC"/>
    <w:rPr>
      <w:u w:val="single"/>
    </w:rPr>
  </w:style>
  <w:style w:type="character" w:customStyle="1" w:styleId="BoldandItalics">
    <w:name w:val="Bold and Italics"/>
    <w:qFormat/>
    <w:rsid w:val="00802DAC"/>
    <w:rPr>
      <w:b/>
      <w:i/>
      <w:u w:val="none"/>
    </w:rPr>
  </w:style>
  <w:style w:type="paragraph" w:styleId="BalloonText">
    <w:name w:val="Balloon Text"/>
    <w:basedOn w:val="Normal"/>
    <w:link w:val="BalloonTextChar"/>
    <w:rsid w:val="00802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DAC"/>
    <w:pPr>
      <w:spacing w:before="0" w:after="0"/>
    </w:pPr>
  </w:style>
  <w:style w:type="paragraph" w:customStyle="1" w:styleId="BodyTextBold">
    <w:name w:val="Body Text Bold"/>
    <w:basedOn w:val="BodyText"/>
    <w:qFormat/>
    <w:rsid w:val="00802DAC"/>
    <w:rPr>
      <w:b/>
    </w:rPr>
  </w:style>
  <w:style w:type="character" w:styleId="Hyperlink">
    <w:name w:val="Hyperlink"/>
    <w:basedOn w:val="DefaultParagraphFont"/>
    <w:uiPriority w:val="99"/>
    <w:unhideWhenUsed/>
    <w:rsid w:val="009A6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4291</Characters>
  <Application>Microsoft Office Word</Application>
  <DocSecurity>0</DocSecurity>
  <Lines>204</Lines>
  <Paragraphs>99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UEECD0024 Implement and monitor energy sector WHS policies and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