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849" w:rsidP="008F6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UEECD0022 Identify building techniques, methods and materials used in energy sector work activities</w:t>
      </w:r>
      <w:r>
        <w:fldChar w:fldCharType="end"/>
      </w:r>
    </w:p>
    <w:p w:rsidR="008F6849" w:rsidP="008F6849">
      <w:pPr>
        <w:pStyle w:val="Version"/>
        <w:sectPr w:rsidSect="00B23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267" w:rsidP="00B23267">
      <w:pPr>
        <w:pStyle w:val="SuperHeading"/>
      </w:pPr>
      <w:r w:rsidRPr="00B23267">
        <w:t>UEECD0022 Identify building techniques, methods and materials used in energy sector work activities</w:t>
      </w:r>
    </w:p>
    <w:p w:rsidR="00000000" w:rsidRPr="00B23267" w:rsidP="00B23267">
      <w:pPr>
        <w:pStyle w:val="Heading1"/>
      </w:pPr>
      <w:bookmarkStart w:id="1" w:name="O_1076715"/>
      <w:bookmarkEnd w:id="1"/>
      <w:r w:rsidRPr="00B232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Release 1. This is the first release of this unit of competency in the UEE Electrotechnology Training Package.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2" w:name="O_1076716"/>
      <w:bookmarkEnd w:id="2"/>
      <w:r w:rsidRPr="00B232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This unit involves the skills and knowledge required to identify building techniques, methods and materials used in energy sector work activities.</w:t>
            </w:r>
          </w:p>
          <w:p w:rsidR="00000000" w:rsidRPr="00B23267" w:rsidP="00B23267">
            <w:pPr>
              <w:pStyle w:val="BodyText"/>
            </w:pPr>
            <w:r w:rsidRPr="00B23267">
              <w:t xml:space="preserve">It includes preparing, identifying and confirming building techniques, methods </w:t>
            </w:r>
            <w:r w:rsidRPr="00B23267">
              <w:t>and materials used. It also includes types of fixing devices, segregation requirements, fixing structures, walls and floor structures, lifting techniques and other related building materials.</w:t>
            </w:r>
          </w:p>
          <w:p w:rsidR="00000000" w:rsidRPr="00B23267" w:rsidP="00B23267">
            <w:pPr>
              <w:pStyle w:val="BodyText"/>
            </w:pPr>
            <w:r w:rsidRPr="00B23267">
              <w:t>No licensing, legislative or certification requirements apply to</w:t>
            </w:r>
            <w:r w:rsidRPr="00B23267">
              <w:t xml:space="preserve"> this unit at the time of publication.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3" w:name="O_1076717"/>
      <w:bookmarkEnd w:id="3"/>
      <w:r w:rsidRPr="00B232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UEECD0007 Apply work health and safety regulations, codes and practices in the workplace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4" w:name="O_1076718"/>
      <w:bookmarkEnd w:id="4"/>
      <w:r w:rsidRPr="00B232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Cross Discipline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5" w:name="O_1076719"/>
      <w:bookmarkEnd w:id="5"/>
      <w:r w:rsidRPr="00B232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Electrotechnology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6" w:name="O_1076720"/>
      <w:bookmarkEnd w:id="6"/>
      <w:r w:rsidRPr="00B232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PERFORMANCE CRITERIA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Performance criteria describe the performance needed to demonstrate achievement of the element.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Prepare to identify building techniques, methods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Instructions for identifying building techniques, methods and materials used in electrotechnology work are obtained and clarified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Work health and safety (WHS)/occupational health and</w:t>
            </w:r>
            <w:r w:rsidRPr="00B23267">
              <w:t xml:space="preserve"> </w:t>
            </w:r>
            <w:r w:rsidRPr="00B23267">
              <w:t>safety (OHS) requirements and workplace procedures are identified and applied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 xml:space="preserve">Tools, equipment and personal protective equipment (PPE) required for work are obtained in accordance with workplace procedures and checked for correct operation </w:t>
            </w:r>
            <w:r w:rsidRPr="00B23267">
              <w:t>and safety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Identification of building techniques, methods and materials is coordinated with relevant person/s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Resources and materials needed for work are confirmed, scheduled and obtained in accordance with workplace procedures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Schedul</w:t>
            </w:r>
            <w:r w:rsidRPr="00B23267">
              <w:t>e for identifying building techniques methods and materials used, including practices for working safely, is confirmed in accordance with instructions and requirements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Identify building techniques, methods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Hazards are identified, risks</w:t>
            </w:r>
            <w:r w:rsidRPr="00B23267">
              <w:t xml:space="preserve"> assessed and control measures implemented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Schedule to identify building techniques, methods and materials used is followed to ensure work is completed in an agreed time to a quality standard and with a minimum of waste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Unplanned events are responded to in accordance with workplace procedures and approval of relevant person/s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Ongoing checks of work quality are undertaken in accordance with instructions and requirements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rPr>
                <w:rStyle w:val="SpecialBold"/>
              </w:rPr>
              <w:t>Confirm building techniques, methods and ma</w:t>
            </w:r>
            <w:r w:rsidRPr="00B23267">
              <w:rPr>
                <w:rStyle w:val="SpecialBold"/>
              </w:rPr>
              <w:t>terials used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Final checks are made to confirm building techniques, methods and materials used conform with work instructions and job requirements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Work completion is documented and relevant person/s</w:t>
            </w:r>
            <w:r w:rsidRPr="00B23267">
              <w:t xml:space="preserve"> notified in accordance with workplace procedures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Tools, equipment, surplus resources and materials are cleaned, checked and returned to storage in accordance with workplace procedures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Sustainable energy practices are followed and work area i</w:t>
            </w:r>
            <w:r w:rsidRPr="00B23267">
              <w:t>s cleaned and made safe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Relevant documents and records are updated in accordance with workplace procedures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7" w:name="O_1076721"/>
      <w:bookmarkEnd w:id="7"/>
      <w:r w:rsidRPr="00B232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Foundation skills essential to performance are explicit in the performance criteria of this unit of competency.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8" w:name="O_1076722"/>
      <w:bookmarkEnd w:id="8"/>
      <w:r w:rsidRPr="00B232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Range is restricted to essential operating conditions and any other variables essential to the work env</w:t>
            </w:r>
            <w:r w:rsidRPr="00B23267">
              <w:t>ironment.</w:t>
            </w:r>
          </w:p>
          <w:p w:rsidR="00000000" w:rsidRPr="00B23267" w:rsidP="00B23267">
            <w:pPr>
              <w:pStyle w:val="BodyText"/>
            </w:pPr>
            <w:r w:rsidRPr="00B23267">
              <w:t>Non-essential conditions may be found in the UEE Electrotechnology Training Package Companion Volume Implementation Guide.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9" w:name="O_1076723"/>
      <w:bookmarkEnd w:id="9"/>
      <w:r w:rsidRPr="00B232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This unit replaces and is equivalent to UEENEEE147A Identify building techniq</w:t>
            </w:r>
            <w:r w:rsidRPr="00B23267">
              <w:t>ues, methods and materials used in energy sector work activities.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10" w:name="O_1076730"/>
      <w:bookmarkEnd w:id="10"/>
      <w:r w:rsidRPr="00B23267">
        <w:t>Links</w:t>
      </w:r>
    </w:p>
    <w:p w:rsidR="00000000" w:rsidRPr="00B23267" w:rsidP="008F6849">
      <w:pPr>
        <w:pStyle w:val="BodyText"/>
      </w:pPr>
      <w:r w:rsidRPr="00B2326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3A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3267" w:rsidP="008F6849">
      <w:pPr>
        <w:pStyle w:val="BodyText"/>
        <w:sectPr w:rsidSect="00B232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3267" w:rsidP="00B23267">
      <w:pPr>
        <w:pStyle w:val="SuperHeading"/>
      </w:pPr>
      <w:r w:rsidRPr="00B23267">
        <w:t>Assessment Requirements for UEECD0022 Identify building techniques, methods and materials used in energy sector work activities</w:t>
      </w:r>
    </w:p>
    <w:p w:rsidR="00000000" w:rsidRPr="00B23267" w:rsidP="00B23267">
      <w:pPr>
        <w:pStyle w:val="Heading1"/>
      </w:pPr>
      <w:bookmarkStart w:id="11" w:name="O_1076725"/>
      <w:bookmarkEnd w:id="11"/>
      <w:r w:rsidRPr="00B232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Release 1. This is the first release of this unit of competency in the UEE Electrotechnology Training Package.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12" w:name="O_1076726"/>
      <w:bookmarkEnd w:id="12"/>
      <w:r w:rsidRPr="00B232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Evidence required to demonstrate competence in this unit must be relevant to and satisfy all of the req</w:t>
            </w:r>
            <w:r w:rsidRPr="00B23267">
              <w:t>uirements of the elements and performance criteria on at least one occasion and include: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ListBullet"/>
            </w:pPr>
            <w:r w:rsidRPr="00B23267">
              <w:t>understanding work instructions</w:t>
            </w:r>
          </w:p>
          <w:p w:rsidR="00000000" w:rsidRPr="00B23267" w:rsidP="00B23267">
            <w:pPr>
              <w:pStyle w:val="ListBullet"/>
            </w:pPr>
            <w:r w:rsidRPr="00B23267">
              <w:t>obtaining and checking tools and equipment</w:t>
            </w:r>
          </w:p>
          <w:p w:rsidR="00000000" w:rsidRPr="00B23267" w:rsidP="00B23267">
            <w:pPr>
              <w:pStyle w:val="ListBullet"/>
            </w:pPr>
            <w:r w:rsidRPr="00B23267">
              <w:t>following work schedules</w:t>
            </w:r>
          </w:p>
          <w:p w:rsidR="00000000" w:rsidRPr="00B23267" w:rsidP="00B23267">
            <w:pPr>
              <w:pStyle w:val="ListBullet"/>
            </w:pPr>
            <w:r w:rsidRPr="00B23267">
              <w:t>returning tools and surplus resources as required</w:t>
            </w:r>
          </w:p>
          <w:p w:rsidR="00000000" w:rsidRPr="00B23267" w:rsidP="00B23267">
            <w:pPr>
              <w:pStyle w:val="ListBullet"/>
            </w:pPr>
            <w:r w:rsidRPr="00B23267">
              <w:t>updating work r</w:t>
            </w:r>
            <w:r w:rsidRPr="00B23267">
              <w:t>ecords</w:t>
            </w:r>
          </w:p>
          <w:p w:rsidR="00000000" w:rsidRPr="00B23267" w:rsidP="00B23267">
            <w:pPr>
              <w:pStyle w:val="ListBullet"/>
            </w:pPr>
            <w:r w:rsidRPr="00B23267">
              <w:t>dealing with unplanned events</w:t>
            </w:r>
          </w:p>
          <w:p w:rsidR="00000000" w:rsidRPr="00B23267" w:rsidP="00B23267">
            <w:pPr>
              <w:pStyle w:val="ListBullet"/>
            </w:pPr>
            <w:r w:rsidRPr="00B23267">
              <w:t>applying relevant work health and safety (WHS)/occupational health and safety (OHS) requirements, including the use of risk control measures</w:t>
            </w:r>
          </w:p>
          <w:p w:rsidR="00000000" w:rsidRPr="00B23267" w:rsidP="00B23267">
            <w:pPr>
              <w:pStyle w:val="ListBullet"/>
            </w:pPr>
            <w:r w:rsidRPr="00B23267">
              <w:t>applying sustainable energy principles and practices</w:t>
            </w:r>
          </w:p>
          <w:p w:rsidR="00000000" w:rsidRPr="00B23267" w:rsidP="00B23267">
            <w:pPr>
              <w:pStyle w:val="ListBullet"/>
            </w:pPr>
            <w:r w:rsidRPr="00B23267">
              <w:t>confirming building techniques, methods and materials used</w:t>
            </w:r>
          </w:p>
          <w:p w:rsidR="00000000" w:rsidRPr="00B23267" w:rsidP="00B23267">
            <w:pPr>
              <w:pStyle w:val="ListBullet"/>
            </w:pPr>
            <w:r w:rsidRPr="00B23267">
              <w:t>identifying building techniques, methods and materials.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13" w:name="O_1076727"/>
      <w:bookmarkEnd w:id="13"/>
      <w:r w:rsidRPr="00B232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67">
            <w:pPr>
              <w:pStyle w:val="BodyText"/>
              <w:rPr>
                <w:lang w:val="en-NZ"/>
              </w:rPr>
            </w:pPr>
            <w:r w:rsidRPr="00B23267">
              <w:t>Evidence required to demonstrate competence in this unit must be relevant to and satisfy all of the r</w:t>
            </w:r>
            <w:r w:rsidRPr="00B23267">
              <w:t>equirements of the elements and performance criteria and include knowledge of:</w:t>
            </w:r>
          </w:p>
        </w:tc>
      </w:tr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ListBullet"/>
            </w:pPr>
            <w:r w:rsidRPr="00B23267">
              <w:t>energy sector science and materials, including:</w:t>
            </w:r>
          </w:p>
          <w:p w:rsidR="00000000" w:rsidRPr="00B23267" w:rsidP="00B23267">
            <w:pPr>
              <w:pStyle w:val="ListBullet2"/>
            </w:pPr>
            <w:r w:rsidRPr="00B23267">
              <w:t>trade calculations encompassing:</w:t>
            </w:r>
          </w:p>
          <w:p w:rsidR="00000000" w:rsidRPr="00B23267" w:rsidP="00B23267">
            <w:pPr>
              <w:pStyle w:val="ListBullet3"/>
            </w:pPr>
            <w:r w:rsidRPr="00B23267">
              <w:t>mathematical techniques</w:t>
            </w:r>
          </w:p>
          <w:p w:rsidR="00000000" w:rsidRPr="00B23267" w:rsidP="00B23267">
            <w:pPr>
              <w:pStyle w:val="ListBullet3"/>
            </w:pPr>
            <w:r w:rsidRPr="00B23267">
              <w:t>relevant calculations</w:t>
            </w:r>
          </w:p>
          <w:p w:rsidR="00000000" w:rsidRPr="00B23267" w:rsidP="00B23267">
            <w:pPr>
              <w:pStyle w:val="ListBullet3"/>
            </w:pPr>
            <w:r w:rsidRPr="00B23267">
              <w:t>linear measurement, areas, volumes and ratios</w:t>
            </w:r>
          </w:p>
          <w:p w:rsidR="00000000" w:rsidRPr="00B23267" w:rsidP="00B23267">
            <w:pPr>
              <w:pStyle w:val="ListBullet2"/>
            </w:pPr>
            <w:r w:rsidRPr="00B23267">
              <w:t>engineering mechanics encompassing:</w:t>
            </w:r>
          </w:p>
          <w:p w:rsidR="00000000" w:rsidRPr="00B23267" w:rsidP="00B23267">
            <w:pPr>
              <w:pStyle w:val="ListBullet3"/>
            </w:pPr>
            <w:r w:rsidRPr="00B23267">
              <w:t>base physical International System of Units (SI), their applications in engineering calculations in relation to physical quantities and associated formulae</w:t>
            </w:r>
          </w:p>
          <w:p w:rsidR="00000000" w:rsidRPr="00B23267" w:rsidP="00B23267">
            <w:pPr>
              <w:pStyle w:val="ListBullet3"/>
            </w:pPr>
            <w:r w:rsidRPr="00B23267">
              <w:t>mass, velocity, acceleration, force, weight, density and angle</w:t>
            </w:r>
            <w:r w:rsidRPr="00B23267">
              <w:t>s</w:t>
            </w:r>
          </w:p>
          <w:p w:rsidR="00000000" w:rsidRPr="00B23267" w:rsidP="00B23267">
            <w:pPr>
              <w:pStyle w:val="ListBullet3"/>
            </w:pPr>
            <w:r w:rsidRPr="00B23267">
              <w:t>energy/work/power</w:t>
            </w:r>
          </w:p>
          <w:p w:rsidR="00000000" w:rsidRPr="00B23267" w:rsidP="00B23267">
            <w:pPr>
              <w:pStyle w:val="ListBullet3"/>
            </w:pPr>
            <w:r w:rsidRPr="00B23267">
              <w:t>moments/torque</w:t>
            </w:r>
          </w:p>
          <w:p w:rsidR="00000000" w:rsidRPr="00B23267" w:rsidP="00B23267">
            <w:pPr>
              <w:pStyle w:val="ListBullet3"/>
            </w:pPr>
            <w:r w:rsidRPr="00B23267">
              <w:t>centre of gravity</w:t>
            </w:r>
          </w:p>
          <w:p w:rsidR="00000000" w:rsidRPr="00B23267" w:rsidP="00B23267">
            <w:pPr>
              <w:pStyle w:val="ListBullet3"/>
            </w:pPr>
            <w:r w:rsidRPr="00B23267">
              <w:t>mechanical advantage</w:t>
            </w:r>
          </w:p>
          <w:p w:rsidR="00000000" w:rsidRPr="00B23267" w:rsidP="00B23267">
            <w:pPr>
              <w:pStyle w:val="ListBullet3"/>
            </w:pPr>
            <w:r w:rsidRPr="00B23267">
              <w:t>levers</w:t>
            </w:r>
          </w:p>
          <w:p w:rsidR="00000000" w:rsidRPr="00B23267" w:rsidP="00B23267">
            <w:pPr>
              <w:pStyle w:val="ListBullet3"/>
            </w:pPr>
            <w:r w:rsidRPr="00B23267">
              <w:t>pulley blocks</w:t>
            </w:r>
          </w:p>
          <w:p w:rsidR="00000000" w:rsidRPr="00B23267" w:rsidP="00B23267">
            <w:pPr>
              <w:pStyle w:val="ListBullet3"/>
            </w:pPr>
            <w:r w:rsidRPr="00B23267">
              <w:t>efficiency</w:t>
            </w:r>
          </w:p>
          <w:p w:rsidR="00000000" w:rsidRPr="00B23267" w:rsidP="00B23267">
            <w:pPr>
              <w:pStyle w:val="ListBullet3"/>
            </w:pPr>
            <w:r w:rsidRPr="00B23267">
              <w:t>friction</w:t>
            </w:r>
          </w:p>
          <w:p w:rsidR="00000000" w:rsidRPr="00B23267" w:rsidP="00B23267">
            <w:pPr>
              <w:pStyle w:val="ListBullet3"/>
            </w:pPr>
            <w:r w:rsidRPr="00B23267">
              <w:t>vectors</w:t>
            </w:r>
          </w:p>
          <w:p w:rsidR="00000000" w:rsidRPr="00B23267" w:rsidP="00B23267">
            <w:pPr>
              <w:pStyle w:val="ListBullet3"/>
            </w:pPr>
            <w:r w:rsidRPr="00B23267">
              <w:t>resolution of forces</w:t>
            </w:r>
          </w:p>
          <w:p w:rsidR="00000000" w:rsidRPr="00B23267" w:rsidP="00B23267">
            <w:pPr>
              <w:pStyle w:val="ListBullet3"/>
            </w:pPr>
            <w:r w:rsidRPr="00B23267">
              <w:t>forces in strung conductors</w:t>
            </w:r>
          </w:p>
          <w:p w:rsidR="00000000" w:rsidRPr="00B23267" w:rsidP="00B23267">
            <w:pPr>
              <w:pStyle w:val="ListBullet3"/>
            </w:pPr>
            <w:r w:rsidRPr="00B23267">
              <w:t>forces on poles and towers</w:t>
            </w:r>
          </w:p>
          <w:p w:rsidR="00000000" w:rsidRPr="00B23267" w:rsidP="00B23267">
            <w:pPr>
              <w:pStyle w:val="ListBullet3"/>
            </w:pPr>
            <w:r w:rsidRPr="00B23267">
              <w:t>determination of sag</w:t>
            </w:r>
          </w:p>
          <w:p w:rsidR="00000000" w:rsidRPr="00B23267" w:rsidP="00B23267">
            <w:pPr>
              <w:pStyle w:val="ListBullet3"/>
            </w:pPr>
            <w:r w:rsidRPr="00B23267">
              <w:t>pressure/stress</w:t>
            </w:r>
          </w:p>
          <w:p w:rsidR="00000000" w:rsidRPr="00B23267" w:rsidP="00B23267">
            <w:pPr>
              <w:pStyle w:val="ListBullet3"/>
            </w:pPr>
            <w:r w:rsidRPr="00B23267">
              <w:t>elementary fluid mechanics</w:t>
            </w:r>
          </w:p>
          <w:p w:rsidR="00000000" w:rsidRPr="00B23267" w:rsidP="00B23267">
            <w:pPr>
              <w:pStyle w:val="ListBullet2"/>
            </w:pPr>
            <w:r w:rsidRPr="00B23267">
              <w:t>engineering materials encompassing:</w:t>
            </w:r>
          </w:p>
          <w:p w:rsidR="00000000" w:rsidRPr="00B23267" w:rsidP="00B23267">
            <w:pPr>
              <w:pStyle w:val="ListBullet3"/>
            </w:pPr>
            <w:r w:rsidRPr="00B23267">
              <w:t>classification</w:t>
            </w:r>
          </w:p>
          <w:p w:rsidR="00000000" w:rsidRPr="00B23267" w:rsidP="00B23267">
            <w:pPr>
              <w:pStyle w:val="ListBullet3"/>
            </w:pPr>
            <w:r w:rsidRPr="00B23267">
              <w:t>ferrous and non-ferrous metals</w:t>
            </w:r>
          </w:p>
          <w:p w:rsidR="00000000" w:rsidRPr="00B23267" w:rsidP="00B23267">
            <w:pPr>
              <w:pStyle w:val="ListBullet3"/>
            </w:pPr>
            <w:r w:rsidRPr="00B23267">
              <w:t>steels and alloys</w:t>
            </w:r>
          </w:p>
          <w:p w:rsidR="00000000" w:rsidRPr="00B23267" w:rsidP="00B23267">
            <w:pPr>
              <w:pStyle w:val="ListBullet3"/>
            </w:pPr>
            <w:r w:rsidRPr="00B23267">
              <w:t>properties</w:t>
            </w:r>
          </w:p>
          <w:p w:rsidR="00000000" w:rsidRPr="00B23267" w:rsidP="00B23267">
            <w:pPr>
              <w:pStyle w:val="ListBullet3"/>
            </w:pPr>
            <w:r w:rsidRPr="00B23267">
              <w:t>tensile strength</w:t>
            </w:r>
          </w:p>
          <w:p w:rsidR="00000000" w:rsidRPr="00B23267" w:rsidP="00B23267">
            <w:pPr>
              <w:pStyle w:val="ListBullet3"/>
            </w:pPr>
            <w:r w:rsidRPr="00B23267">
              <w:t>temperature and expansion in metals</w:t>
            </w:r>
          </w:p>
          <w:p w:rsidR="00000000" w:rsidRPr="00B23267" w:rsidP="00B23267">
            <w:pPr>
              <w:pStyle w:val="ListBullet3"/>
            </w:pPr>
            <w:r w:rsidRPr="00B23267">
              <w:t>stress and strain</w:t>
            </w:r>
          </w:p>
          <w:p w:rsidR="00000000" w:rsidRPr="00B23267" w:rsidP="00B23267">
            <w:pPr>
              <w:pStyle w:val="ListBullet3"/>
            </w:pPr>
            <w:r w:rsidRPr="00B23267">
              <w:t>ductility</w:t>
            </w:r>
          </w:p>
          <w:p w:rsidR="00000000" w:rsidRPr="00B23267" w:rsidP="00B23267">
            <w:pPr>
              <w:pStyle w:val="ListBullet3"/>
            </w:pPr>
            <w:r w:rsidRPr="00B23267">
              <w:t>applications</w:t>
            </w:r>
          </w:p>
          <w:p w:rsidR="00000000" w:rsidRPr="00B23267" w:rsidP="00B23267">
            <w:pPr>
              <w:pStyle w:val="ListBullet3"/>
            </w:pPr>
            <w:r w:rsidRPr="00B23267">
              <w:t>corrosion</w:t>
            </w:r>
          </w:p>
          <w:p w:rsidR="00000000" w:rsidRPr="00B23267" w:rsidP="00B23267">
            <w:pPr>
              <w:pStyle w:val="ListBullet3"/>
            </w:pPr>
            <w:r w:rsidRPr="00B23267">
              <w:t>galvanic corrosion</w:t>
            </w:r>
          </w:p>
          <w:p w:rsidR="00000000" w:rsidRPr="00B23267" w:rsidP="00B23267">
            <w:pPr>
              <w:pStyle w:val="ListBullet3"/>
            </w:pPr>
            <w:r w:rsidRPr="00B23267">
              <w:t>hardwoods and soft woods</w:t>
            </w:r>
          </w:p>
          <w:p w:rsidR="00000000" w:rsidRPr="00B23267" w:rsidP="00B23267">
            <w:pPr>
              <w:pStyle w:val="ListBullet"/>
            </w:pPr>
            <w:r w:rsidRPr="00B23267">
              <w:t>relevant manufacturer specifications</w:t>
            </w:r>
          </w:p>
          <w:p w:rsidR="00000000" w:rsidRPr="00B23267" w:rsidP="00B23267">
            <w:pPr>
              <w:pStyle w:val="ListBullet"/>
            </w:pPr>
            <w:r w:rsidRPr="00B23267">
              <w:t>relevant safe work method statements (SWMS)/job safety assessments or risk mitigation processes</w:t>
            </w:r>
          </w:p>
          <w:p w:rsidR="00000000" w:rsidRPr="00B23267" w:rsidP="00B23267">
            <w:pPr>
              <w:pStyle w:val="ListBullet"/>
            </w:pPr>
            <w:r w:rsidRPr="00B23267">
              <w:t>relevant WHS/OHS legislated requirements</w:t>
            </w:r>
          </w:p>
          <w:p w:rsidR="00000000" w:rsidRPr="00B23267" w:rsidP="00B23267">
            <w:pPr>
              <w:pStyle w:val="ListBullet"/>
            </w:pPr>
            <w:r w:rsidRPr="00B23267">
              <w:t>relevant workplace documentation</w:t>
            </w:r>
          </w:p>
          <w:p w:rsidR="00000000" w:rsidRPr="00B23267" w:rsidP="00B23267">
            <w:pPr>
              <w:pStyle w:val="ListBullet"/>
            </w:pPr>
            <w:r w:rsidRPr="00B23267">
              <w:t>relevant workplace policies and procedures</w:t>
            </w:r>
          </w:p>
          <w:p w:rsidR="00000000" w:rsidRPr="00B23267" w:rsidP="00B23267">
            <w:pPr>
              <w:pStyle w:val="ListBullet"/>
            </w:pPr>
            <w:r w:rsidRPr="00B23267">
              <w:t>sustainable energy principles and practices.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14" w:name="O_1076728"/>
      <w:bookmarkEnd w:id="14"/>
      <w:r w:rsidRPr="00B232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2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67" w:rsidP="00B23267">
            <w:pPr>
              <w:pStyle w:val="BodyText"/>
            </w:pPr>
            <w:r w:rsidRPr="00B23267">
              <w:t>As a minimum, assessors must satisfy applicable regulatory requirements, which include requirements in the Standards for Regi</w:t>
            </w:r>
            <w:r w:rsidRPr="00B23267">
              <w:t>stered Training Organisations current at the time of assessment.</w:t>
            </w:r>
          </w:p>
          <w:p w:rsidR="00000000" w:rsidRPr="00B23267" w:rsidP="00B23267">
            <w:pPr>
              <w:pStyle w:val="BodyText"/>
            </w:pPr>
            <w:r w:rsidRPr="00B2326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23267" w:rsidP="00B23267">
            <w:pPr>
              <w:pStyle w:val="BodyText"/>
            </w:pPr>
            <w:r w:rsidRPr="00B2326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23267" w:rsidP="00B23267">
            <w:pPr>
              <w:pStyle w:val="BodyText"/>
            </w:pPr>
            <w:r w:rsidRPr="00B23267">
              <w:t>Assessment processes and tec</w:t>
            </w:r>
            <w:r w:rsidRPr="00B23267">
              <w:t>hniques must be appropriate to the language, literacy and numeracy requirements of the work being performed and the needs of the candidate.</w:t>
            </w:r>
          </w:p>
          <w:p w:rsidR="00000000" w:rsidRPr="00B23267" w:rsidP="00B23267">
            <w:pPr>
              <w:pStyle w:val="BodyText"/>
            </w:pPr>
            <w:r w:rsidRPr="00B23267">
              <w:t>Resources for assessment must include access to:</w:t>
            </w:r>
          </w:p>
          <w:p w:rsidR="00000000" w:rsidRPr="00B23267" w:rsidP="00B23267">
            <w:pPr>
              <w:pStyle w:val="ListBullet"/>
            </w:pPr>
            <w:r w:rsidRPr="00B23267">
              <w:t>a range of relevant exercises, case studies and/or other simulatio</w:t>
            </w:r>
            <w:r w:rsidRPr="00B23267">
              <w:t>ns</w:t>
            </w:r>
          </w:p>
          <w:p w:rsidR="00000000" w:rsidRPr="00B23267" w:rsidP="00B23267">
            <w:pPr>
              <w:pStyle w:val="ListBullet"/>
            </w:pPr>
            <w:r w:rsidRPr="00B23267">
              <w:t>relevant and appropriate materials, tools, equipment and personal protective equipment (PPE) currently used in industry</w:t>
            </w:r>
          </w:p>
          <w:p w:rsidR="00000000" w:rsidRPr="00B23267" w:rsidP="00B23267">
            <w:pPr>
              <w:pStyle w:val="ListBullet"/>
            </w:pPr>
            <w:r w:rsidRPr="00B2326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23267" w:rsidP="00B23267">
      <w:pPr>
        <w:pStyle w:val="NoPaddingFontSize1"/>
      </w:pPr>
    </w:p>
    <w:p w:rsidR="00000000" w:rsidRPr="00B23267" w:rsidP="00B23267">
      <w:pPr>
        <w:pStyle w:val="AllowPageBreak"/>
      </w:pPr>
    </w:p>
    <w:p w:rsidR="00000000" w:rsidRPr="00B23267" w:rsidP="00B23267">
      <w:pPr>
        <w:pStyle w:val="Heading1"/>
      </w:pPr>
      <w:bookmarkStart w:id="15" w:name="O_1076731"/>
      <w:bookmarkEnd w:id="15"/>
      <w:r w:rsidRPr="00B23267">
        <w:t>Links</w:t>
      </w:r>
    </w:p>
    <w:p w:rsidR="00000000" w:rsidRPr="00B23267" w:rsidP="008F6849">
      <w:pPr>
        <w:pStyle w:val="BodyText"/>
      </w:pPr>
      <w:r w:rsidRPr="00B2326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3AB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3267" w:rsidP="00B23267"/>
    <w:sectPr w:rsidSect="00B232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 w:rsidRPr="008F6849" w:rsidP="008F6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49" w:rsidP="00B23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849" w:rsidP="00B23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F6849" w:rsidP="00B232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 w:rsidP="00B23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849">
      <w:t>Approved</w:t>
    </w:r>
    <w:r w:rsidR="008F68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8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849">
      <w:rPr>
        <w:noProof/>
      </w:rPr>
      <w:t>4</w:t>
    </w:r>
    <w:r>
      <w:rPr>
        <w:noProof/>
      </w:rPr>
      <w:fldChar w:fldCharType="end"/>
    </w:r>
  </w:p>
  <w:p w:rsidR="00B23267" w:rsidP="00B23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8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849">
      <w:t>Powering Skills Organisation</w:t>
    </w:r>
    <w:r w:rsidR="008F6849">
      <w:fldChar w:fldCharType="end"/>
    </w:r>
  </w:p>
  <w:p w:rsidR="00B23267" w:rsidP="00B23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267" w:rsidRPr="008F6849" w:rsidP="008F6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49" w:rsidRPr="002D2AF8" w:rsidP="00B23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UEECD0022 Identify building techniques, methods and materials used in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849" w:rsidP="00B232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67" w:rsidRPr="002D2AF8" w:rsidP="00B23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849">
      <w:t>UEECD0022 Identify building techniques, methods and materials used in energy sector work activities</w:t>
    </w:r>
    <w:r w:rsidR="008F68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849">
      <w:rPr>
        <w:noProof/>
      </w:rPr>
      <w:t>2 March 2025</w:t>
    </w:r>
    <w:r>
      <w:fldChar w:fldCharType="end"/>
    </w:r>
  </w:p>
  <w:p w:rsidR="00B23267" w:rsidP="00B23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40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CA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0F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267"/>
  </w:style>
  <w:style w:type="character" w:customStyle="1" w:styleId="Heading1Char">
    <w:name w:val="Heading 1 Char"/>
    <w:basedOn w:val="DefaultParagraphFont"/>
    <w:link w:val="Heading1"/>
    <w:rsid w:val="00B23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2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2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267"/>
    <w:rPr>
      <w:b/>
      <w:spacing w:val="0"/>
    </w:rPr>
  </w:style>
  <w:style w:type="paragraph" w:styleId="ListBullet2">
    <w:name w:val="List Bullet 2"/>
    <w:basedOn w:val="List2"/>
    <w:rsid w:val="00B232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326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3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2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267"/>
    <w:rPr>
      <w:i/>
    </w:rPr>
  </w:style>
  <w:style w:type="paragraph" w:styleId="Caption">
    <w:name w:val="caption"/>
    <w:basedOn w:val="BodyText"/>
    <w:next w:val="Normal"/>
    <w:qFormat/>
    <w:rsid w:val="00B23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267"/>
  </w:style>
  <w:style w:type="paragraph" w:styleId="TableofFigures">
    <w:name w:val="table of figures"/>
    <w:basedOn w:val="Normal"/>
    <w:next w:val="Normal"/>
    <w:semiHidden/>
    <w:rsid w:val="00B23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2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3267"/>
    <w:rPr>
      <w:rFonts w:ascii="Wingdings" w:hAnsi="Wingdings"/>
    </w:rPr>
  </w:style>
  <w:style w:type="paragraph" w:customStyle="1" w:styleId="TableHeading">
    <w:name w:val="Table Heading"/>
    <w:basedOn w:val="HeadingBase"/>
    <w:rsid w:val="00B23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267"/>
    <w:rPr>
      <w:color w:val="0033CC"/>
      <w:u w:val="none"/>
    </w:rPr>
  </w:style>
  <w:style w:type="paragraph" w:customStyle="1" w:styleId="BodyTextRight">
    <w:name w:val="Body Text Right"/>
    <w:basedOn w:val="BodyText"/>
    <w:rsid w:val="00B23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2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267"/>
    <w:rPr>
      <w:sz w:val="32"/>
    </w:rPr>
  </w:style>
  <w:style w:type="paragraph" w:customStyle="1" w:styleId="HeadingProcedure">
    <w:name w:val="Heading Procedure"/>
    <w:basedOn w:val="HeadingBase"/>
    <w:next w:val="Normal"/>
    <w:rsid w:val="00B23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267"/>
    <w:pPr>
      <w:spacing w:before="60" w:after="60"/>
    </w:pPr>
  </w:style>
  <w:style w:type="paragraph" w:styleId="ListContinue">
    <w:name w:val="List Continue"/>
    <w:basedOn w:val="List"/>
    <w:rsid w:val="00B23267"/>
    <w:pPr>
      <w:ind w:firstLine="0"/>
    </w:pPr>
  </w:style>
  <w:style w:type="paragraph" w:customStyle="1" w:styleId="ListNote">
    <w:name w:val="List Note"/>
    <w:basedOn w:val="List"/>
    <w:rsid w:val="00B23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267"/>
    <w:rPr>
      <w:rFonts w:ascii="Courier New" w:hAnsi="Courier New"/>
    </w:rPr>
  </w:style>
  <w:style w:type="paragraph" w:customStyle="1" w:styleId="NoteBullet">
    <w:name w:val="Note Bullet"/>
    <w:basedOn w:val="Note"/>
    <w:rsid w:val="00B23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2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3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267"/>
    <w:rPr>
      <w:b/>
      <w:smallCaps/>
    </w:rPr>
  </w:style>
  <w:style w:type="paragraph" w:customStyle="1" w:styleId="TableListNumber">
    <w:name w:val="Table List Number"/>
    <w:basedOn w:val="ListNumber"/>
    <w:rsid w:val="00B23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267"/>
    <w:pPr>
      <w:numPr>
        <w:numId w:val="10"/>
      </w:numPr>
    </w:pPr>
  </w:style>
  <w:style w:type="paragraph" w:customStyle="1" w:styleId="ListAlpha2">
    <w:name w:val="List Alpha 2"/>
    <w:basedOn w:val="List2"/>
    <w:rsid w:val="00B23267"/>
    <w:pPr>
      <w:numPr>
        <w:numId w:val="9"/>
      </w:numPr>
    </w:pPr>
  </w:style>
  <w:style w:type="paragraph" w:styleId="List2">
    <w:name w:val="List 2"/>
    <w:basedOn w:val="BodyText"/>
    <w:rsid w:val="00B23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2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32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3267"/>
    <w:pPr>
      <w:numPr>
        <w:numId w:val="5"/>
      </w:numPr>
    </w:pPr>
  </w:style>
  <w:style w:type="paragraph" w:styleId="ListContinue2">
    <w:name w:val="List Continue 2"/>
    <w:basedOn w:val="List2"/>
    <w:rsid w:val="00B23267"/>
    <w:pPr>
      <w:ind w:firstLine="0"/>
    </w:pPr>
  </w:style>
  <w:style w:type="paragraph" w:styleId="ListContinue3">
    <w:name w:val="List Continue 3"/>
    <w:basedOn w:val="List3"/>
    <w:rsid w:val="00B23267"/>
    <w:pPr>
      <w:ind w:left="1021" w:firstLine="0"/>
    </w:pPr>
  </w:style>
  <w:style w:type="paragraph" w:styleId="ListContinue4">
    <w:name w:val="List Continue 4"/>
    <w:basedOn w:val="List4"/>
    <w:rsid w:val="00B23267"/>
    <w:pPr>
      <w:ind w:firstLine="0"/>
    </w:pPr>
  </w:style>
  <w:style w:type="paragraph" w:styleId="ListContinue5">
    <w:name w:val="List Continue 5"/>
    <w:basedOn w:val="List5"/>
    <w:rsid w:val="00B23267"/>
    <w:pPr>
      <w:ind w:firstLine="0"/>
    </w:pPr>
  </w:style>
  <w:style w:type="paragraph" w:styleId="ListNumber3">
    <w:name w:val="List Number 3"/>
    <w:basedOn w:val="List3"/>
    <w:rsid w:val="00B23267"/>
    <w:pPr>
      <w:numPr>
        <w:numId w:val="6"/>
      </w:numPr>
    </w:pPr>
  </w:style>
  <w:style w:type="paragraph" w:styleId="ListNumber4">
    <w:name w:val="List Number 4"/>
    <w:basedOn w:val="List4"/>
    <w:rsid w:val="00B23267"/>
    <w:pPr>
      <w:numPr>
        <w:numId w:val="7"/>
      </w:numPr>
    </w:pPr>
  </w:style>
  <w:style w:type="paragraph" w:styleId="ListNumber5">
    <w:name w:val="List Number 5"/>
    <w:basedOn w:val="List5"/>
    <w:rsid w:val="00B23267"/>
    <w:pPr>
      <w:numPr>
        <w:numId w:val="8"/>
      </w:numPr>
    </w:pPr>
  </w:style>
  <w:style w:type="paragraph" w:styleId="BlockText">
    <w:name w:val="Block Text"/>
    <w:basedOn w:val="Normal"/>
    <w:rsid w:val="00B23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267"/>
    <w:rPr>
      <w:sz w:val="16"/>
      <w:vertAlign w:val="superscript"/>
    </w:rPr>
  </w:style>
  <w:style w:type="character" w:customStyle="1" w:styleId="Symbols">
    <w:name w:val="Symbols"/>
    <w:basedOn w:val="DefaultParagraphFont"/>
    <w:rsid w:val="00B23267"/>
    <w:rPr>
      <w:rFonts w:ascii="Symbol" w:hAnsi="Symbol"/>
    </w:rPr>
  </w:style>
  <w:style w:type="character" w:customStyle="1" w:styleId="MenuOptions">
    <w:name w:val="Menu Options"/>
    <w:basedOn w:val="DefaultParagraphFont"/>
    <w:rsid w:val="00B23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267"/>
    <w:rPr>
      <w:b/>
    </w:rPr>
  </w:style>
  <w:style w:type="character" w:customStyle="1" w:styleId="Underlined">
    <w:name w:val="Underlined"/>
    <w:basedOn w:val="DefaultParagraphFont"/>
    <w:rsid w:val="00B23267"/>
    <w:rPr>
      <w:u w:val="single"/>
    </w:rPr>
  </w:style>
  <w:style w:type="paragraph" w:customStyle="1" w:styleId="TableBodyTextRight">
    <w:name w:val="Table Body Text Right"/>
    <w:basedOn w:val="TableBodyText"/>
    <w:rsid w:val="00B23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267"/>
    <w:rPr>
      <w:sz w:val="18"/>
    </w:rPr>
  </w:style>
  <w:style w:type="paragraph" w:customStyle="1" w:styleId="BodySmallRight">
    <w:name w:val="Body Small Right"/>
    <w:basedOn w:val="BodyTextRight"/>
    <w:rsid w:val="00B23267"/>
    <w:rPr>
      <w:sz w:val="18"/>
      <w:szCs w:val="18"/>
    </w:rPr>
  </w:style>
  <w:style w:type="paragraph" w:customStyle="1" w:styleId="MarginEdition">
    <w:name w:val="Margin Edition"/>
    <w:basedOn w:val="MarginNote"/>
    <w:rsid w:val="00B23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267"/>
    <w:rPr>
      <w:sz w:val="2"/>
      <w:szCs w:val="2"/>
    </w:rPr>
  </w:style>
  <w:style w:type="character" w:customStyle="1" w:styleId="Small">
    <w:name w:val="Small"/>
    <w:basedOn w:val="DefaultParagraphFont"/>
    <w:rsid w:val="00B23267"/>
    <w:rPr>
      <w:sz w:val="16"/>
    </w:rPr>
  </w:style>
  <w:style w:type="paragraph" w:customStyle="1" w:styleId="WideTable">
    <w:name w:val="Wide Table"/>
    <w:basedOn w:val="Normal"/>
    <w:rsid w:val="00B23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267"/>
  </w:style>
  <w:style w:type="paragraph" w:styleId="Quote">
    <w:name w:val="Quote"/>
    <w:basedOn w:val="Heading1"/>
    <w:link w:val="QuoteChar"/>
    <w:qFormat/>
    <w:rsid w:val="00B23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267"/>
    <w:pPr>
      <w:pageBreakBefore/>
    </w:pPr>
  </w:style>
  <w:style w:type="paragraph" w:customStyle="1" w:styleId="Border">
    <w:name w:val="Border"/>
    <w:basedOn w:val="Normal"/>
    <w:qFormat/>
    <w:rsid w:val="00B23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267"/>
    <w:rPr>
      <w:u w:val="single"/>
    </w:rPr>
  </w:style>
  <w:style w:type="character" w:customStyle="1" w:styleId="BoldandItalics">
    <w:name w:val="Bold and Italics"/>
    <w:qFormat/>
    <w:rsid w:val="00B23267"/>
    <w:rPr>
      <w:b/>
      <w:i/>
      <w:u w:val="none"/>
    </w:rPr>
  </w:style>
  <w:style w:type="paragraph" w:styleId="BalloonText">
    <w:name w:val="Balloon Text"/>
    <w:basedOn w:val="Normal"/>
    <w:link w:val="BalloonTextChar"/>
    <w:rsid w:val="00B23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267"/>
    <w:pPr>
      <w:spacing w:before="0" w:after="0"/>
    </w:pPr>
  </w:style>
  <w:style w:type="paragraph" w:customStyle="1" w:styleId="BodyTextBold">
    <w:name w:val="Body Text Bold"/>
    <w:basedOn w:val="BodyText"/>
    <w:qFormat/>
    <w:rsid w:val="00B23267"/>
    <w:rPr>
      <w:b/>
    </w:rPr>
  </w:style>
  <w:style w:type="character" w:styleId="Hyperlink">
    <w:name w:val="Hyperlink"/>
    <w:basedOn w:val="DefaultParagraphFont"/>
    <w:uiPriority w:val="99"/>
    <w:unhideWhenUsed/>
    <w:rsid w:val="008F6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7065</Characters>
  <Application>Microsoft Office Word</Application>
  <DocSecurity>0</DocSecurity>
  <Lines>261</Lines>
  <Paragraphs>159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UEECD0022 Identify building techniques, methods and materials used in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