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16A" w:rsidP="00F6616A">
      <w:pPr>
        <w:pStyle w:val="Title"/>
      </w:pPr>
      <w:r>
        <w:fldChar w:fldCharType="begin"/>
      </w:r>
      <w:r>
        <w:instrText xml:space="preserve"> TITLE   \* MERGEFORMAT </w:instrText>
      </w:r>
      <w:r>
        <w:fldChar w:fldCharType="separate"/>
      </w:r>
      <w:r>
        <w:t>UEECD0018 Establish, maintain and evaluate energy sector WHS/OHS systems</w:t>
      </w:r>
      <w:r>
        <w:fldChar w:fldCharType="end"/>
      </w:r>
    </w:p>
    <w:p w:rsidR="00F6616A" w:rsidP="00F6616A">
      <w:pPr>
        <w:pStyle w:val="Version"/>
        <w:sectPr w:rsidSect="005E7E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E5F" w:rsidP="005E7E5F">
      <w:pPr>
        <w:pStyle w:val="SuperHeading"/>
      </w:pPr>
      <w:r w:rsidRPr="005E7E5F">
        <w:t>UEECD0018 Establish, maintain and evaluate energy sector WHS/OHS systems</w:t>
      </w:r>
    </w:p>
    <w:p w:rsidR="00000000" w:rsidRPr="005E7E5F" w:rsidP="005E7E5F">
      <w:pPr>
        <w:pStyle w:val="Heading1"/>
      </w:pPr>
      <w:bookmarkStart w:id="1" w:name="O_1076449"/>
      <w:bookmarkEnd w:id="1"/>
      <w:r w:rsidRPr="005E7E5F">
        <w:t>Modification History</w:t>
      </w:r>
    </w:p>
    <w:tbl>
      <w:tblPr>
        <w:tblW w:w="9497" w:type="dxa"/>
        <w:tblLayout w:type="fixed"/>
        <w:tblCellMar>
          <w:left w:w="62" w:type="dxa"/>
          <w:right w:w="62" w:type="dxa"/>
        </w:tblCellMar>
        <w:tblLook w:val="0000"/>
      </w:tblPr>
      <w:tblGrid>
        <w:gridCol w:w="9497"/>
      </w:tblGrid>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t>Release 1. This is the first release of this unit of competency in the UEE Electrotechnology Training Package.</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2" w:name="O_1076450"/>
      <w:bookmarkEnd w:id="2"/>
      <w:r w:rsidRPr="005E7E5F">
        <w:t>Application</w:t>
      </w:r>
    </w:p>
    <w:tbl>
      <w:tblPr>
        <w:tblW w:w="9497" w:type="dxa"/>
        <w:tblLayout w:type="fixed"/>
        <w:tblCellMar>
          <w:left w:w="62" w:type="dxa"/>
          <w:right w:w="62" w:type="dxa"/>
        </w:tblCellMar>
        <w:tblLook w:val="0000"/>
      </w:tblPr>
      <w:tblGrid>
        <w:gridCol w:w="9497"/>
      </w:tblGrid>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t>This unit involves the skills and knowledge required to establish, maintain and evaluate energy sector work health and safety (WHS)/occupational health and safety (OHS) systems.</w:t>
            </w:r>
          </w:p>
          <w:p w:rsidR="00000000" w:rsidRPr="005E7E5F" w:rsidP="005E7E5F">
            <w:pPr>
              <w:pStyle w:val="BodyText"/>
            </w:pPr>
            <w:r w:rsidRPr="005E7E5F">
              <w:t xml:space="preserve">It includes understanding an organisation’s WHS/OHS obligations; determining </w:t>
            </w:r>
            <w:r w:rsidRPr="005E7E5F">
              <w:t>and maintaining participative arrangements, procedures for hazard identification, risk assessment and control measures; procedures for dealing with hazardous incidents, safety training and safety records; and evaluating the safety system.</w:t>
            </w:r>
          </w:p>
          <w:p w:rsidR="00000000" w:rsidRPr="005E7E5F" w:rsidP="005E7E5F">
            <w:pPr>
              <w:pStyle w:val="BodyText"/>
            </w:pPr>
            <w:r w:rsidRPr="005E7E5F">
              <w:t>No licensing, leg</w:t>
            </w:r>
            <w:r w:rsidRPr="005E7E5F">
              <w:t>islative or certification requirements apply to this unit at the time of publication.</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3" w:name="O_1076451"/>
      <w:bookmarkEnd w:id="3"/>
      <w:r w:rsidRPr="005E7E5F">
        <w:t>Pre-requisite Unit</w:t>
      </w:r>
    </w:p>
    <w:tbl>
      <w:tblPr>
        <w:tblW w:w="9497" w:type="dxa"/>
        <w:tblLayout w:type="fixed"/>
        <w:tblCellMar>
          <w:left w:w="62" w:type="dxa"/>
          <w:right w:w="62" w:type="dxa"/>
        </w:tblCellMar>
        <w:tblLook w:val="0000"/>
      </w:tblPr>
      <w:tblGrid>
        <w:gridCol w:w="9497"/>
      </w:tblGrid>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t>Not applicable</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4" w:name="O_1076452"/>
      <w:bookmarkEnd w:id="4"/>
      <w:r w:rsidRPr="005E7E5F">
        <w:t>Competency Field</w:t>
      </w:r>
    </w:p>
    <w:tbl>
      <w:tblPr>
        <w:tblW w:w="9497" w:type="dxa"/>
        <w:tblLayout w:type="fixed"/>
        <w:tblCellMar>
          <w:left w:w="62" w:type="dxa"/>
          <w:right w:w="62" w:type="dxa"/>
        </w:tblCellMar>
        <w:tblLook w:val="0000"/>
      </w:tblPr>
      <w:tblGrid>
        <w:gridCol w:w="9497"/>
      </w:tblGrid>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t>Cross Discipline</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5" w:name="O_1076453"/>
      <w:bookmarkEnd w:id="5"/>
      <w:r w:rsidRPr="005E7E5F">
        <w:t>Unit Sector</w:t>
      </w:r>
    </w:p>
    <w:tbl>
      <w:tblPr>
        <w:tblW w:w="9497" w:type="dxa"/>
        <w:tblLayout w:type="fixed"/>
        <w:tblCellMar>
          <w:left w:w="62" w:type="dxa"/>
          <w:right w:w="62" w:type="dxa"/>
        </w:tblCellMar>
        <w:tblLook w:val="0000"/>
      </w:tblPr>
      <w:tblGrid>
        <w:gridCol w:w="9497"/>
      </w:tblGrid>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t>Electrotechnology</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6" w:name="O_1076454"/>
      <w:bookmarkEnd w:id="6"/>
      <w:r w:rsidRPr="005E7E5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E7E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PERFORMANCE CRITERIA</w:t>
            </w:r>
          </w:p>
        </w:tc>
      </w:tr>
      <w:tr w:rsidTr="005E7E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Performance criteria describe the performance needed to demonstrate achievement of the element.</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rPr>
                <w:rStyle w:val="SpecialBold"/>
              </w:rPr>
              <w:t>Determine and maintain framework for WHS/OHS system</w:t>
            </w: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WHS/OHS policies are developed and implemented within management systems in accordance with workplace procedures and relevant industry standards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 xml:space="preserve">WHS/OHS responsibilities and duties included in </w:t>
            </w:r>
            <w:r w:rsidRPr="005E7E5F">
              <w:t>job descriptions and duty statements for implementation and integration of the WHS/OHS system are defined and allocated for relevant positions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Relevant resources for operation of WHS/OHS system are identified, obtained and/or provided in accordance with workplace procedures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Information on WHS/OHS system and workplace procedures of managerial responsibility is provided and explained in a fo</w:t>
            </w:r>
            <w:r w:rsidRPr="005E7E5F">
              <w:t>rm accessible to employees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rPr>
                <w:rStyle w:val="SpecialBold"/>
              </w:rPr>
              <w:t>Determine and maintain participative arrangements for management of WHS/OHS</w:t>
            </w: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Relevant consultative workplace processes are determined and maintained in consultation with employees and representatives in accordance with WHS/</w:t>
            </w:r>
            <w:r w:rsidRPr="005E7E5F">
              <w:t>OHS and workplace procedures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Issues raised through participation and consultation are addressed and resolved in accordance with workplace procedures and timeframes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Outcomes of participation and consultation are provided to employees in accord</w:t>
            </w:r>
            <w:r w:rsidRPr="005E7E5F">
              <w:t>ance with workplace procedures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rPr>
                <w:rStyle w:val="SpecialBold"/>
              </w:rPr>
              <w:t>Determine and maintain procedures for identifying hazards assessing risk and controlling risk</w:t>
            </w: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Existing and potential hazards are identified and confirmed in area of managerial responsibility in accordance with WHS/OHS records system and workplace procedures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Workplace procedures for ongoing identification of hazards are developed and integrat</w:t>
            </w:r>
            <w:r w:rsidRPr="005E7E5F">
              <w:t>ed within management systems of work</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Activities are monitored to ensure workplace procedures are implemented in area of managerial responsibility</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Hazard identif</w:t>
            </w:r>
            <w:r w:rsidRPr="005E7E5F">
              <w:t>ication is addressed at planning, design and evaluation stages of any change in the workplace to prevent new hazards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Risks presented by identified hazards are assessed in accordance with WHS/OHS and relevant industry standards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 xml:space="preserve">Workplace procedures for ongoing assessment of risk are developed and integrated within systems of work in </w:t>
            </w:r>
            <w:r w:rsidRPr="005E7E5F">
              <w:t>accordance with workplace procedures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Activities are monitored to ensure workplace procedures are implemented in area of managerial responsibil</w:t>
            </w:r>
            <w:r w:rsidRPr="005E7E5F">
              <w:t>ity</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Risk assessment is addressed at planning, design and evaluation stages of any change in the area of managerial responsibility to ensure risk from hazards has not increased</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Control measures to assess risks are developed and implemented acc</w:t>
            </w:r>
            <w:r w:rsidRPr="005E7E5F">
              <w:t>ording to hierarchy of control in accordance with WHS/OHS records system</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Interim control measures are implemented for identified risk immediately until a practical control measure is developed</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Workplace procedures for ongoing risk control are developed and integrated in systems of work in accordance with hierarchy of control</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3.12</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Activities are monitored to ensure the risk control workplace procedures are implemented in area of managerial res</w:t>
            </w:r>
            <w:r w:rsidRPr="005E7E5F">
              <w:t>ponsibility</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3.13</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Risk control is addressed at the planning, design and evaluation stages of any change within the area of managerial responsibility to ensure risk control measures are implemented</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3.14</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Inadequacies in risk control measures are identified and resources enabling implementation of new measures are obtained and/or provided in accordance with hierarchy of control and workplace procedures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rPr>
                <w:rStyle w:val="SpecialBold"/>
              </w:rPr>
              <w:t>Determine and maintain procedures, training and syst</w:t>
            </w:r>
            <w:r w:rsidRPr="005E7E5F">
              <w:rPr>
                <w:rStyle w:val="SpecialBold"/>
              </w:rPr>
              <w:t>ems for dealing with hazardous events</w:t>
            </w: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Potential hazardous events are correctly identified in accordance with WHS/OHS and workplace procedures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Workplace procedures to control the risks associated with hazardous events are developed in consultatio</w:t>
            </w:r>
            <w:r w:rsidRPr="005E7E5F">
              <w:t>n with relevant emergency services and relevant industry standards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Relevant information and training are provided to employees to enable implementation of the workplace procedures in all relevant circumstances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WHS/OHS training program is developed and implemented to identify and fulfil employees’ training requirements in accordance with workplace procedures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WHS/OHS records system is determined and monitored for identification of patterns of injury and dis</w:t>
            </w:r>
            <w:r w:rsidRPr="005E7E5F">
              <w:t>ease within the area of managerial responsibility</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rPr>
                <w:rStyle w:val="SpecialBold"/>
              </w:rPr>
              <w:t>Evaluate the WHS/OHS system and relevant policies, workplace procedures and programs</w:t>
            </w: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WHS/OHS system and relevant policies, workplace procedures and programs are assessed in accordance with</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WHS</w:t>
            </w:r>
            <w:r w:rsidRPr="005E7E5F">
              <w:t>/OHS system improvements are developed and implemented in accordance with workplace procedures</w:t>
            </w:r>
          </w:p>
        </w:tc>
      </w:tr>
      <w:tr w:rsidTr="005E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t>WHS/OHS and relevant industry standards is assessed to ensure compliance with WHS/OHS is maintained</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7" w:name="O_1076455"/>
      <w:bookmarkEnd w:id="7"/>
      <w:r w:rsidRPr="005E7E5F">
        <w:t>Foundation Skills</w:t>
      </w:r>
    </w:p>
    <w:tbl>
      <w:tblPr>
        <w:tblW w:w="9497" w:type="dxa"/>
        <w:tblLayout w:type="fixed"/>
        <w:tblCellMar>
          <w:left w:w="62" w:type="dxa"/>
          <w:right w:w="62" w:type="dxa"/>
        </w:tblCellMar>
        <w:tblLook w:val="0000"/>
      </w:tblPr>
      <w:tblGrid>
        <w:gridCol w:w="9497"/>
      </w:tblGrid>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t>Foundation skills essential to performance are explicit in the performance criteria of this unit of competency.</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8" w:name="O_1076456"/>
      <w:bookmarkEnd w:id="8"/>
      <w:r w:rsidRPr="005E7E5F">
        <w:t>Range of Conditions</w:t>
      </w:r>
    </w:p>
    <w:tbl>
      <w:tblPr>
        <w:tblW w:w="9497" w:type="dxa"/>
        <w:tblLayout w:type="fixed"/>
        <w:tblCellMar>
          <w:left w:w="62" w:type="dxa"/>
          <w:right w:w="62" w:type="dxa"/>
        </w:tblCellMar>
        <w:tblLook w:val="0000"/>
      </w:tblPr>
      <w:tblGrid>
        <w:gridCol w:w="9497"/>
      </w:tblGrid>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t>Range is restricted to essential operating conditions and any other variables essential to the work env</w:t>
            </w:r>
            <w:r w:rsidRPr="005E7E5F">
              <w:t>ironment.</w:t>
            </w:r>
          </w:p>
          <w:p w:rsidR="00000000" w:rsidRPr="005E7E5F" w:rsidP="005E7E5F">
            <w:pPr>
              <w:pStyle w:val="BodyText"/>
            </w:pPr>
            <w:r w:rsidRPr="005E7E5F">
              <w:t>Non-essential conditions may be found in the UEE Electrotechnology Training Package Companion Volume Implementation Guide.</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9" w:name="O_1076457"/>
      <w:bookmarkEnd w:id="9"/>
      <w:r w:rsidRPr="005E7E5F">
        <w:t>Unit Mapping Information</w:t>
      </w:r>
    </w:p>
    <w:tbl>
      <w:tblPr>
        <w:tblW w:w="9497" w:type="dxa"/>
        <w:tblLayout w:type="fixed"/>
        <w:tblCellMar>
          <w:left w:w="62" w:type="dxa"/>
          <w:right w:w="62" w:type="dxa"/>
        </w:tblCellMar>
        <w:tblLook w:val="0000"/>
      </w:tblPr>
      <w:tblGrid>
        <w:gridCol w:w="9497"/>
      </w:tblGrid>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t>This unit replaces and is equivalent to UEENEEE118A Establish, maintain and e</w:t>
            </w:r>
            <w:r w:rsidRPr="005E7E5F">
              <w:t>valuate energy sector OHS systems.</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10" w:name="O_1076464"/>
      <w:bookmarkEnd w:id="10"/>
      <w:r w:rsidRPr="005E7E5F">
        <w:t>Links</w:t>
      </w:r>
    </w:p>
    <w:p w:rsidR="00000000" w:rsidRPr="005E7E5F" w:rsidP="00F6616A">
      <w:pPr>
        <w:pStyle w:val="BodyText"/>
      </w:pPr>
      <w:r w:rsidRPr="005E7E5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1014A">
        <w:rPr>
          <w:rStyle w:val="Hyperlink"/>
        </w:rPr>
        <w:t>https://vetnet.gov.au/Pages/TrainingDocs.aspx?q=b8a8f136-5421-4ce1-92e0-2b50341431b6</w:t>
      </w:r>
      <w:r>
        <w:fldChar w:fldCharType="end"/>
      </w:r>
    </w:p>
    <w:p w:rsidR="00000000" w:rsidRPr="005E7E5F" w:rsidP="00F6616A">
      <w:pPr>
        <w:pStyle w:val="BodyText"/>
        <w:sectPr w:rsidSect="005E7E5F">
          <w:headerReference w:type="default" r:id="rId10"/>
          <w:footerReference w:type="default" r:id="rId11"/>
          <w:pgSz w:w="11908" w:h="16833"/>
          <w:pgMar w:top="1702" w:right="1418" w:bottom="1702" w:left="1418" w:header="992" w:footer="992" w:gutter="0"/>
          <w:cols w:space="720"/>
          <w:noEndnote/>
          <w:docGrid w:linePitch="299"/>
        </w:sectPr>
      </w:pPr>
    </w:p>
    <w:p w:rsidR="00000000" w:rsidRPr="005E7E5F" w:rsidP="005E7E5F">
      <w:pPr>
        <w:pStyle w:val="SuperHeading"/>
      </w:pPr>
      <w:r w:rsidRPr="005E7E5F">
        <w:t>Assessment Requirements for UEECD0018 Establish, maintain and evaluate energy sector WHS/OHS systems</w:t>
      </w:r>
    </w:p>
    <w:p w:rsidR="00000000" w:rsidRPr="005E7E5F" w:rsidP="005E7E5F">
      <w:pPr>
        <w:pStyle w:val="Heading1"/>
      </w:pPr>
      <w:bookmarkStart w:id="11" w:name="O_1076459"/>
      <w:bookmarkEnd w:id="11"/>
      <w:r w:rsidRPr="005E7E5F">
        <w:t>Modification History</w:t>
      </w:r>
    </w:p>
    <w:tbl>
      <w:tblPr>
        <w:tblW w:w="9497" w:type="dxa"/>
        <w:tblLayout w:type="fixed"/>
        <w:tblCellMar>
          <w:left w:w="62" w:type="dxa"/>
          <w:right w:w="62" w:type="dxa"/>
        </w:tblCellMar>
        <w:tblLook w:val="0000"/>
      </w:tblPr>
      <w:tblGrid>
        <w:gridCol w:w="9497"/>
      </w:tblGrid>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t>Release 1. This is the first release of this unit of competency in the UEE Electrotechnology Training Package.</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12" w:name="O_1076460"/>
      <w:bookmarkEnd w:id="12"/>
      <w:r w:rsidRPr="005E7E5F">
        <w:t>Performance Evidence</w:t>
      </w:r>
    </w:p>
    <w:tbl>
      <w:tblPr>
        <w:tblW w:w="9497" w:type="dxa"/>
        <w:tblLayout w:type="fixed"/>
        <w:tblCellMar>
          <w:left w:w="62" w:type="dxa"/>
          <w:right w:w="62" w:type="dxa"/>
        </w:tblCellMar>
        <w:tblLook w:val="0000"/>
      </w:tblPr>
      <w:tblGrid>
        <w:gridCol w:w="9497"/>
      </w:tblGrid>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Evidence required to demonstrate competence in this unit must be relevant to and satisfy all of the requirements of the elements and performance criteria on at least one occasion and include:</w:t>
            </w:r>
          </w:p>
        </w:tc>
      </w:tr>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E5F" w:rsidP="005E7E5F">
            <w:pPr>
              <w:pStyle w:val="ListBullet"/>
            </w:pPr>
            <w:r w:rsidRPr="005E7E5F">
              <w:t>establishing and maintai</w:t>
            </w:r>
            <w:r w:rsidRPr="005E7E5F">
              <w:t>ning the framework for the work health and safety (WHS)/occupational health and safety (OHS) system</w:t>
            </w:r>
          </w:p>
          <w:p w:rsidR="00000000" w:rsidRPr="005E7E5F" w:rsidP="005E7E5F">
            <w:pPr>
              <w:pStyle w:val="ListBullet"/>
            </w:pPr>
            <w:r w:rsidRPr="005E7E5F">
              <w:t>establishing and maintaining participative arrangements for management of WHS/OHS</w:t>
            </w:r>
          </w:p>
          <w:p w:rsidR="00000000" w:rsidRPr="005E7E5F" w:rsidP="005E7E5F">
            <w:pPr>
              <w:pStyle w:val="ListBullet"/>
            </w:pPr>
            <w:r w:rsidRPr="005E7E5F">
              <w:t>establishing and maintaining procedures for identifying hazards, assessing risk and controlling risk</w:t>
            </w:r>
          </w:p>
          <w:p w:rsidR="00000000" w:rsidRPr="005E7E5F" w:rsidP="005E7E5F">
            <w:pPr>
              <w:pStyle w:val="ListBullet"/>
            </w:pPr>
            <w:r w:rsidRPr="005E7E5F">
              <w:t>establishing and maintaining procedures for dealing with hazardous events</w:t>
            </w:r>
          </w:p>
          <w:p w:rsidR="00000000" w:rsidRPr="005E7E5F" w:rsidP="005E7E5F">
            <w:pPr>
              <w:pStyle w:val="ListBullet"/>
            </w:pPr>
            <w:r w:rsidRPr="005E7E5F">
              <w:t>establishing and maintaining WHS/OHS training programs</w:t>
            </w:r>
          </w:p>
          <w:p w:rsidR="00000000" w:rsidRPr="005E7E5F" w:rsidP="005E7E5F">
            <w:pPr>
              <w:pStyle w:val="ListBullet"/>
            </w:pPr>
            <w:r w:rsidRPr="005E7E5F">
              <w:t xml:space="preserve">establish and maintaining </w:t>
            </w:r>
            <w:r w:rsidRPr="005E7E5F">
              <w:t>a system for WHS/OHS records</w:t>
            </w:r>
          </w:p>
          <w:p w:rsidR="00000000" w:rsidRPr="005E7E5F" w:rsidP="005E7E5F">
            <w:pPr>
              <w:pStyle w:val="ListBullet"/>
            </w:pPr>
            <w:r w:rsidRPr="005E7E5F">
              <w:t>evaluating the WHS/OHS system and related policies, procedures and programs</w:t>
            </w:r>
          </w:p>
          <w:p w:rsidR="00000000" w:rsidRPr="005E7E5F" w:rsidP="005E7E5F">
            <w:pPr>
              <w:pStyle w:val="ListBullet"/>
            </w:pPr>
            <w:r w:rsidRPr="005E7E5F">
              <w:t>dealing with unplanned events</w:t>
            </w:r>
          </w:p>
          <w:p w:rsidR="00000000" w:rsidRPr="005E7E5F" w:rsidP="005E7E5F">
            <w:pPr>
              <w:pStyle w:val="ListBullet"/>
            </w:pPr>
            <w:r w:rsidRPr="005E7E5F">
              <w:t>addressing and resolving issues raised through participation and consultation</w:t>
            </w:r>
          </w:p>
          <w:p w:rsidR="00000000" w:rsidRPr="005E7E5F" w:rsidP="005E7E5F">
            <w:pPr>
              <w:pStyle w:val="ListBullet"/>
            </w:pPr>
            <w:r w:rsidRPr="005E7E5F">
              <w:t>addressing risk assessment and control at p</w:t>
            </w:r>
            <w:r w:rsidRPr="005E7E5F">
              <w:t>lanning, design and evaluation stages of any change</w:t>
            </w:r>
          </w:p>
          <w:p w:rsidR="00000000" w:rsidRPr="005E7E5F" w:rsidP="005E7E5F">
            <w:pPr>
              <w:pStyle w:val="ListBullet"/>
            </w:pPr>
            <w:r w:rsidRPr="005E7E5F">
              <w:t>developing and implementing control measures to assess risks in hierarchy of control</w:t>
            </w:r>
          </w:p>
          <w:p w:rsidR="00000000" w:rsidRPr="005E7E5F" w:rsidP="005E7E5F">
            <w:pPr>
              <w:pStyle w:val="ListBullet"/>
            </w:pPr>
            <w:r w:rsidRPr="005E7E5F">
              <w:t>developing and integrating workplace procedures for ongoing assessment of risk</w:t>
            </w:r>
          </w:p>
          <w:p w:rsidR="00000000" w:rsidRPr="005E7E5F" w:rsidP="005E7E5F">
            <w:pPr>
              <w:pStyle w:val="ListBullet"/>
            </w:pPr>
            <w:r w:rsidRPr="005E7E5F">
              <w:t>identifying inadequacies in risk control</w:t>
            </w:r>
            <w:r w:rsidRPr="005E7E5F">
              <w:t xml:space="preserve"> measures</w:t>
            </w:r>
          </w:p>
          <w:p w:rsidR="00000000" w:rsidRPr="005E7E5F" w:rsidP="005E7E5F">
            <w:pPr>
              <w:pStyle w:val="ListBullet"/>
            </w:pPr>
            <w:r w:rsidRPr="005E7E5F">
              <w:t>implementing interim and ongoing control measures for identified risk immediately</w:t>
            </w:r>
          </w:p>
          <w:p w:rsidR="00000000" w:rsidRPr="005E7E5F" w:rsidP="005E7E5F">
            <w:pPr>
              <w:pStyle w:val="ListBullet"/>
            </w:pPr>
            <w:r w:rsidRPr="005E7E5F">
              <w:t>monitoring activities to ensure workplace procedure is implemented</w:t>
            </w:r>
          </w:p>
          <w:p w:rsidR="00000000" w:rsidRPr="005E7E5F" w:rsidP="005E7E5F">
            <w:pPr>
              <w:pStyle w:val="ListBullet"/>
            </w:pPr>
            <w:r w:rsidRPr="005E7E5F">
              <w:t>providing outcomes of participation and consultation to employees.</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13" w:name="O_1076461"/>
      <w:bookmarkEnd w:id="13"/>
      <w:r w:rsidRPr="005E7E5F">
        <w:t>Knowledge Evidence</w:t>
      </w:r>
    </w:p>
    <w:tbl>
      <w:tblPr>
        <w:tblW w:w="9497" w:type="dxa"/>
        <w:tblLayout w:type="fixed"/>
        <w:tblCellMar>
          <w:left w:w="62" w:type="dxa"/>
          <w:right w:w="62" w:type="dxa"/>
        </w:tblCellMar>
        <w:tblLook w:val="0000"/>
      </w:tblPr>
      <w:tblGrid>
        <w:gridCol w:w="9497"/>
      </w:tblGrid>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7E5F">
            <w:pPr>
              <w:pStyle w:val="BodyText"/>
              <w:rPr>
                <w:lang w:val="en-NZ"/>
              </w:rPr>
            </w:pPr>
            <w:r w:rsidRPr="005E7E5F">
              <w:t>Evidence required to demonstrate competence in this unit must be relevant to and satisfy all of the requirements of the elements and performance criteria and include knowledge of:</w:t>
            </w:r>
          </w:p>
        </w:tc>
      </w:tr>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E5F" w:rsidP="005E7E5F">
            <w:pPr>
              <w:pStyle w:val="ListBullet"/>
            </w:pPr>
            <w:r w:rsidRPr="005E7E5F">
              <w:t>energy sector WHS/OHS enterprise responsibilities, incl</w:t>
            </w:r>
            <w:r w:rsidRPr="005E7E5F">
              <w:t>uding:</w:t>
            </w:r>
          </w:p>
          <w:p w:rsidR="00000000" w:rsidRPr="005E7E5F" w:rsidP="005E7E5F">
            <w:pPr>
              <w:pStyle w:val="ListBullet2"/>
            </w:pPr>
            <w:r w:rsidRPr="005E7E5F">
              <w:t>provisions of relevant WHS/OHS legislation</w:t>
            </w:r>
          </w:p>
          <w:p w:rsidR="00000000" w:rsidRPr="005E7E5F" w:rsidP="005E7E5F">
            <w:pPr>
              <w:pStyle w:val="ListBullet2"/>
            </w:pPr>
            <w:r w:rsidRPr="005E7E5F">
              <w:t>principles and practice of effective WHS/OHS management</w:t>
            </w:r>
          </w:p>
          <w:p w:rsidR="00000000" w:rsidRPr="005E7E5F" w:rsidP="005E7E5F">
            <w:pPr>
              <w:pStyle w:val="ListBullet2"/>
            </w:pPr>
            <w:r w:rsidRPr="005E7E5F">
              <w:t>management arrangements relating to regulatory compliance</w:t>
            </w:r>
          </w:p>
          <w:p w:rsidR="00000000" w:rsidRPr="005E7E5F" w:rsidP="005E7E5F">
            <w:pPr>
              <w:pStyle w:val="ListBullet2"/>
            </w:pPr>
            <w:r w:rsidRPr="005E7E5F">
              <w:t>enterprise hazards and risks, control measures and relevant expertise required</w:t>
            </w:r>
          </w:p>
          <w:p w:rsidR="00000000" w:rsidRPr="005E7E5F" w:rsidP="005E7E5F">
            <w:pPr>
              <w:pStyle w:val="ListBullet2"/>
            </w:pPr>
            <w:r w:rsidRPr="005E7E5F">
              <w:t>characteristics and composition of workforce and their impact on WHS/OHS</w:t>
            </w:r>
          </w:p>
          <w:p w:rsidR="00000000" w:rsidRPr="005E7E5F" w:rsidP="005E7E5F">
            <w:pPr>
              <w:pStyle w:val="ListBullet2"/>
            </w:pPr>
            <w:r w:rsidRPr="005E7E5F">
              <w:t>relevance of enterprise management systems to WHS/OHS</w:t>
            </w:r>
          </w:p>
          <w:p w:rsidR="00000000" w:rsidRPr="005E7E5F" w:rsidP="005E7E5F">
            <w:pPr>
              <w:pStyle w:val="ListBullet2"/>
            </w:pPr>
            <w:r w:rsidRPr="005E7E5F">
              <w:t>analysis of working environment and design of appropriate WHS/OHS systems</w:t>
            </w:r>
          </w:p>
          <w:p w:rsidR="00000000" w:rsidRPr="005E7E5F" w:rsidP="005E7E5F">
            <w:pPr>
              <w:pStyle w:val="ListBullet2"/>
            </w:pPr>
            <w:r w:rsidRPr="005E7E5F">
              <w:t>analysis of relevant data and evaluation of WHS/OHS sys</w:t>
            </w:r>
            <w:r w:rsidRPr="005E7E5F">
              <w:t>tem effectiveness</w:t>
            </w:r>
          </w:p>
          <w:p w:rsidR="00000000" w:rsidRPr="005E7E5F" w:rsidP="005E7E5F">
            <w:pPr>
              <w:pStyle w:val="ListBullet2"/>
            </w:pPr>
            <w:r w:rsidRPr="005E7E5F">
              <w:t>assess resources to establish and maintain WHS/OHS management systems</w:t>
            </w:r>
          </w:p>
          <w:p w:rsidR="00000000" w:rsidRPr="005E7E5F" w:rsidP="005E7E5F">
            <w:pPr>
              <w:pStyle w:val="ListBullet"/>
            </w:pPr>
            <w:r w:rsidRPr="005E7E5F">
              <w:t>relevant manufacturer specifications and operating instructions</w:t>
            </w:r>
          </w:p>
          <w:p w:rsidR="00000000" w:rsidRPr="005E7E5F" w:rsidP="005E7E5F">
            <w:pPr>
              <w:pStyle w:val="ListBullet"/>
            </w:pPr>
            <w:r w:rsidRPr="005E7E5F">
              <w:t>relevant safe work method statements (SWMS)/job safety assessments or risk mitigation processes</w:t>
            </w:r>
          </w:p>
          <w:p w:rsidR="00000000" w:rsidRPr="005E7E5F" w:rsidP="005E7E5F">
            <w:pPr>
              <w:pStyle w:val="ListBullet"/>
            </w:pPr>
            <w:r w:rsidRPr="005E7E5F">
              <w:t>relevan</w:t>
            </w:r>
            <w:r w:rsidRPr="005E7E5F">
              <w:t>t workplace documentation</w:t>
            </w:r>
          </w:p>
          <w:p w:rsidR="00000000" w:rsidRPr="005E7E5F" w:rsidP="005E7E5F">
            <w:pPr>
              <w:pStyle w:val="ListBullet"/>
            </w:pPr>
            <w:r w:rsidRPr="005E7E5F">
              <w:t>relevant workplace policies and procedures.</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14" w:name="O_1076462"/>
      <w:bookmarkEnd w:id="14"/>
      <w:r w:rsidRPr="005E7E5F">
        <w:t>Assessment Conditions</w:t>
      </w:r>
    </w:p>
    <w:tbl>
      <w:tblPr>
        <w:tblW w:w="9497" w:type="dxa"/>
        <w:tblLayout w:type="fixed"/>
        <w:tblCellMar>
          <w:left w:w="62" w:type="dxa"/>
          <w:right w:w="62" w:type="dxa"/>
        </w:tblCellMar>
        <w:tblLook w:val="0000"/>
      </w:tblPr>
      <w:tblGrid>
        <w:gridCol w:w="9497"/>
      </w:tblGrid>
      <w:tr w:rsidTr="005E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E5F" w:rsidP="005E7E5F">
            <w:pPr>
              <w:pStyle w:val="BodyText"/>
            </w:pPr>
            <w:r w:rsidRPr="005E7E5F">
              <w:t>Assessors must hold credentials specified within the Standards for Registered Training Organisations current at the time of assessment.</w:t>
            </w:r>
          </w:p>
          <w:p w:rsidR="00000000" w:rsidRPr="005E7E5F" w:rsidP="005E7E5F">
            <w:pPr>
              <w:pStyle w:val="BodyText"/>
            </w:pPr>
            <w:r w:rsidRPr="005E7E5F">
              <w:t>Assessment must satisfy the Principles of Assessment and Rules of Evidence and all regulatory requirements included within the Standards for Registered Training Organisations current at the time of assessment.</w:t>
            </w:r>
          </w:p>
          <w:p w:rsidR="00000000" w:rsidRPr="005E7E5F" w:rsidP="005E7E5F">
            <w:pPr>
              <w:pStyle w:val="BodyText"/>
            </w:pPr>
            <w:r w:rsidRPr="005E7E5F">
              <w:t>Assessment must occur in suitable workplace op</w:t>
            </w:r>
            <w:r w:rsidRPr="005E7E5F">
              <w:t>erational situations where it is appropriate to do so; where this is not appropriate, assessment must occur in simulated suitable workplace operational situations that replicate workplace conditions.</w:t>
            </w:r>
          </w:p>
          <w:p w:rsidR="00000000" w:rsidRPr="005E7E5F" w:rsidP="005E7E5F">
            <w:pPr>
              <w:pStyle w:val="BodyText"/>
            </w:pPr>
            <w:r w:rsidRPr="005E7E5F">
              <w:t xml:space="preserve">Assessment processes and techniques must be appropriate </w:t>
            </w:r>
            <w:r w:rsidRPr="005E7E5F">
              <w:t>to the language, literacy and numeracy requirements of the work being performed and the needs of the candidate.</w:t>
            </w:r>
          </w:p>
          <w:p w:rsidR="00000000" w:rsidRPr="005E7E5F" w:rsidP="005E7E5F">
            <w:pPr>
              <w:pStyle w:val="BodyText"/>
            </w:pPr>
            <w:r w:rsidRPr="005E7E5F">
              <w:t>Resources for assessment must include access to:</w:t>
            </w:r>
          </w:p>
          <w:p w:rsidR="00000000" w:rsidRPr="005E7E5F" w:rsidP="005E7E5F">
            <w:pPr>
              <w:pStyle w:val="ListBullet"/>
            </w:pPr>
            <w:r w:rsidRPr="005E7E5F">
              <w:t>a range of relevant exercises, case studies and/or simulations</w:t>
            </w:r>
          </w:p>
          <w:p w:rsidR="00000000" w:rsidRPr="005E7E5F" w:rsidP="005E7E5F">
            <w:pPr>
              <w:pStyle w:val="ListBullet"/>
            </w:pPr>
            <w:r w:rsidRPr="005E7E5F">
              <w:t>relevant and appropriate materi</w:t>
            </w:r>
            <w:r w:rsidRPr="005E7E5F">
              <w:t>als, tools, facilities and equipment currently used in industry</w:t>
            </w:r>
          </w:p>
          <w:p w:rsidR="00000000" w:rsidRPr="005E7E5F" w:rsidP="005E7E5F">
            <w:pPr>
              <w:pStyle w:val="ListBullet"/>
            </w:pPr>
            <w:r w:rsidRPr="005E7E5F">
              <w:t>resources that reflect current industry practices in relation to establishing, maintaining and evaluating WHS/OHS systems</w:t>
            </w:r>
          </w:p>
          <w:p w:rsidR="00000000" w:rsidRPr="005E7E5F" w:rsidP="005E7E5F">
            <w:pPr>
              <w:pStyle w:val="ListBullet"/>
            </w:pPr>
            <w:r w:rsidRPr="005E7E5F">
              <w:t>applicable documentation, including workplace procedures, equipment sp</w:t>
            </w:r>
            <w:r w:rsidRPr="005E7E5F">
              <w:t>ecifications, regulations, codes of practice and operation manuals.</w:t>
            </w:r>
          </w:p>
        </w:tc>
      </w:tr>
    </w:tbl>
    <w:p w:rsidR="00000000" w:rsidRPr="005E7E5F" w:rsidP="005E7E5F">
      <w:pPr>
        <w:pStyle w:val="NoPaddingFontSize1"/>
      </w:pPr>
    </w:p>
    <w:p w:rsidR="00000000" w:rsidRPr="005E7E5F" w:rsidP="005E7E5F">
      <w:pPr>
        <w:pStyle w:val="AllowPageBreak"/>
      </w:pPr>
    </w:p>
    <w:p w:rsidR="00000000" w:rsidRPr="005E7E5F" w:rsidP="005E7E5F">
      <w:pPr>
        <w:pStyle w:val="Heading1"/>
      </w:pPr>
      <w:bookmarkStart w:id="15" w:name="O_1076465"/>
      <w:bookmarkEnd w:id="15"/>
      <w:r w:rsidRPr="005E7E5F">
        <w:t>Links</w:t>
      </w:r>
    </w:p>
    <w:p w:rsidR="00000000" w:rsidRPr="005E7E5F" w:rsidP="00F6616A">
      <w:pPr>
        <w:pStyle w:val="BodyText"/>
      </w:pPr>
      <w:r w:rsidRPr="005E7E5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1014A">
        <w:rPr>
          <w:rStyle w:val="Hyperlink"/>
        </w:rPr>
        <w:t>https://vetnet.gov.au/Pages/TrainingDocs.aspx?q=b8a8f136-5421-4ce1-92e0-2b50341431b6</w:t>
      </w:r>
      <w:r>
        <w:fldChar w:fldCharType="end"/>
      </w:r>
    </w:p>
    <w:p w:rsidR="00000000" w:rsidRPr="005E7E5F" w:rsidP="005E7E5F"/>
    <w:sectPr w:rsidSect="005E7E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5F" w:rsidRPr="00F6616A" w:rsidP="00F661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6A" w:rsidP="005E7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616A" w:rsidP="005E7E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6616A" w:rsidP="005E7E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5F" w:rsidP="005E7E5F">
    <w:pPr>
      <w:pStyle w:val="Footer"/>
      <w:framePr w:wrap="around"/>
    </w:pPr>
    <w:r>
      <w:fldChar w:fldCharType="begin"/>
    </w:r>
    <w:r>
      <w:instrText xml:space="preserve"> DOCPROPERTY  Subject  \* MERGEFORMAT </w:instrText>
    </w:r>
    <w:r>
      <w:fldChar w:fldCharType="separate"/>
    </w:r>
    <w:r w:rsidR="00F6616A">
      <w:t>Approved</w:t>
    </w:r>
    <w:r w:rsidR="00F6616A">
      <w:fldChar w:fldCharType="end"/>
    </w:r>
    <w:r>
      <w:tab/>
      <w:t xml:space="preserve">Page </w:t>
    </w:r>
    <w:r>
      <w:fldChar w:fldCharType="begin"/>
    </w:r>
    <w:r>
      <w:instrText xml:space="preserve"> PAGE  \* Arabic  \* MERGEFORMAT </w:instrText>
    </w:r>
    <w:r>
      <w:fldChar w:fldCharType="separate"/>
    </w:r>
    <w:r w:rsidR="00F661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616A">
      <w:rPr>
        <w:noProof/>
      </w:rPr>
      <w:t>5</w:t>
    </w:r>
    <w:r>
      <w:rPr>
        <w:noProof/>
      </w:rPr>
      <w:fldChar w:fldCharType="end"/>
    </w:r>
  </w:p>
  <w:p w:rsidR="005E7E5F" w:rsidP="005E7E5F">
    <w:pPr>
      <w:pStyle w:val="Footer"/>
      <w:framePr w:wrap="around"/>
    </w:pPr>
    <w:r>
      <w:t xml:space="preserve">© Commonwealth of Australia, </w:t>
    </w:r>
    <w:r>
      <w:fldChar w:fldCharType="begin"/>
    </w:r>
    <w:r>
      <w:instrText xml:space="preserve"> DATE  \@ "yyyy"  \* MERGEFORMAT </w:instrText>
    </w:r>
    <w:r>
      <w:fldChar w:fldCharType="separate"/>
    </w:r>
    <w:r w:rsidR="00F6616A">
      <w:rPr>
        <w:noProof/>
      </w:rPr>
      <w:t>2025</w:t>
    </w:r>
    <w:r>
      <w:fldChar w:fldCharType="end"/>
    </w:r>
    <w:r>
      <w:tab/>
    </w:r>
    <w:r>
      <w:fldChar w:fldCharType="begin"/>
    </w:r>
    <w:r>
      <w:instrText xml:space="preserve"> DOCPROPERTY  Author  \* MERGEFORMAT </w:instrText>
    </w:r>
    <w:r>
      <w:fldChar w:fldCharType="separate"/>
    </w:r>
    <w:r w:rsidR="00F6616A">
      <w:t>Powering Skills Organisation</w:t>
    </w:r>
    <w:r w:rsidR="00F6616A">
      <w:fldChar w:fldCharType="end"/>
    </w:r>
  </w:p>
  <w:p w:rsidR="005E7E5F" w:rsidP="005E7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E5F" w:rsidRPr="00F6616A" w:rsidP="00F661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6A" w:rsidRPr="002D2AF8" w:rsidP="005E7E5F">
    <w:pPr>
      <w:pStyle w:val="Header"/>
      <w:framePr w:wrap="around"/>
    </w:pPr>
    <w:r>
      <w:fldChar w:fldCharType="begin"/>
    </w:r>
    <w:r>
      <w:instrText xml:space="preserve"> TITLE   \* MERGEFORMAT </w:instrText>
    </w:r>
    <w:r>
      <w:fldChar w:fldCharType="separate"/>
    </w:r>
    <w:r>
      <w:t>UEECD0018 Establish, maintain and evaluate energy sector WHS/OHS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616A" w:rsidP="005E7E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5F" w:rsidRPr="002D2AF8" w:rsidP="005E7E5F">
    <w:pPr>
      <w:pStyle w:val="Header"/>
      <w:framePr w:wrap="around"/>
    </w:pPr>
    <w:r>
      <w:fldChar w:fldCharType="begin"/>
    </w:r>
    <w:r>
      <w:instrText xml:space="preserve"> TITLE   \* MERGEFORMAT </w:instrText>
    </w:r>
    <w:r>
      <w:fldChar w:fldCharType="separate"/>
    </w:r>
    <w:r w:rsidR="00F6616A">
      <w:t>UEECD0018 Establish, maintain and evaluate energy sector WHS/OHS systems</w:t>
    </w:r>
    <w:r w:rsidR="00F6616A">
      <w:fldChar w:fldCharType="end"/>
    </w:r>
    <w:r>
      <w:tab/>
      <w:t xml:space="preserve">Date this document was generated: </w:t>
    </w:r>
    <w:r>
      <w:fldChar w:fldCharType="begin"/>
    </w:r>
    <w:r>
      <w:instrText xml:space="preserve"> CREATEDATE  \@ "d MMMM yyyy"  \* MERGEFORMAT </w:instrText>
    </w:r>
    <w:r>
      <w:fldChar w:fldCharType="separate"/>
    </w:r>
    <w:r w:rsidR="00F6616A">
      <w:rPr>
        <w:noProof/>
      </w:rPr>
      <w:t>2 March 2025</w:t>
    </w:r>
    <w:r>
      <w:fldChar w:fldCharType="end"/>
    </w:r>
  </w:p>
  <w:p w:rsidR="005E7E5F" w:rsidP="005E7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28E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146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E687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E5F"/>
    <w:pPr>
      <w:spacing w:before="360" w:after="60"/>
      <w:outlineLvl w:val="0"/>
    </w:pPr>
    <w:rPr>
      <w:sz w:val="32"/>
    </w:rPr>
  </w:style>
  <w:style w:type="paragraph" w:styleId="Heading2">
    <w:name w:val="heading 2"/>
    <w:basedOn w:val="HeadingBase"/>
    <w:next w:val="BodyText"/>
    <w:link w:val="Heading2Char"/>
    <w:qFormat/>
    <w:rsid w:val="005E7E5F"/>
    <w:pPr>
      <w:keepLines/>
      <w:spacing w:before="240" w:after="120"/>
      <w:outlineLvl w:val="1"/>
    </w:pPr>
    <w:rPr>
      <w:sz w:val="28"/>
      <w:szCs w:val="40"/>
    </w:rPr>
  </w:style>
  <w:style w:type="paragraph" w:styleId="Heading3">
    <w:name w:val="heading 3"/>
    <w:basedOn w:val="HeadingBase"/>
    <w:next w:val="BodyText"/>
    <w:link w:val="Heading3Char"/>
    <w:qFormat/>
    <w:rsid w:val="005E7E5F"/>
    <w:pPr>
      <w:spacing w:before="180" w:after="120"/>
      <w:outlineLvl w:val="2"/>
    </w:pPr>
    <w:rPr>
      <w:spacing w:val="-10"/>
      <w:kern w:val="32"/>
    </w:rPr>
  </w:style>
  <w:style w:type="paragraph" w:styleId="Heading4">
    <w:name w:val="heading 4"/>
    <w:basedOn w:val="HeadingBase"/>
    <w:next w:val="BodyText"/>
    <w:link w:val="Heading4Char"/>
    <w:qFormat/>
    <w:rsid w:val="005E7E5F"/>
    <w:pPr>
      <w:spacing w:before="160" w:after="120"/>
      <w:outlineLvl w:val="3"/>
    </w:pPr>
    <w:rPr>
      <w:sz w:val="22"/>
    </w:rPr>
  </w:style>
  <w:style w:type="paragraph" w:styleId="Heading5">
    <w:name w:val="heading 5"/>
    <w:basedOn w:val="HeadingBase"/>
    <w:next w:val="Normal"/>
    <w:link w:val="Heading5Char"/>
    <w:qFormat/>
    <w:rsid w:val="005E7E5F"/>
    <w:pPr>
      <w:spacing w:before="80"/>
      <w:outlineLvl w:val="4"/>
    </w:pPr>
    <w:rPr>
      <w:color w:val="918585"/>
      <w:sz w:val="20"/>
    </w:rPr>
  </w:style>
  <w:style w:type="paragraph" w:styleId="Heading6">
    <w:name w:val="heading 6"/>
    <w:basedOn w:val="HeadingBase"/>
    <w:next w:val="Normal"/>
    <w:link w:val="Heading6Char"/>
    <w:qFormat/>
    <w:rsid w:val="005E7E5F"/>
    <w:pPr>
      <w:spacing w:before="60"/>
      <w:outlineLvl w:val="5"/>
    </w:pPr>
    <w:rPr>
      <w:color w:val="918585"/>
      <w:sz w:val="20"/>
    </w:rPr>
  </w:style>
  <w:style w:type="paragraph" w:styleId="Heading7">
    <w:name w:val="heading 7"/>
    <w:basedOn w:val="Normal"/>
    <w:next w:val="Normal"/>
    <w:link w:val="Heading7Char"/>
    <w:qFormat/>
    <w:rsid w:val="005E7E5F"/>
    <w:pPr>
      <w:ind w:left="720"/>
      <w:outlineLvl w:val="6"/>
    </w:pPr>
    <w:rPr>
      <w:i/>
    </w:rPr>
  </w:style>
  <w:style w:type="paragraph" w:styleId="Heading8">
    <w:name w:val="heading 8"/>
    <w:basedOn w:val="Normal"/>
    <w:next w:val="Normal"/>
    <w:link w:val="Heading8Char"/>
    <w:qFormat/>
    <w:rsid w:val="005E7E5F"/>
    <w:pPr>
      <w:ind w:left="720"/>
      <w:outlineLvl w:val="7"/>
    </w:pPr>
    <w:rPr>
      <w:i/>
    </w:rPr>
  </w:style>
  <w:style w:type="paragraph" w:styleId="Heading9">
    <w:name w:val="heading 9"/>
    <w:basedOn w:val="Normal"/>
    <w:next w:val="Normal"/>
    <w:link w:val="Heading9Char"/>
    <w:qFormat/>
    <w:rsid w:val="005E7E5F"/>
    <w:pPr>
      <w:ind w:left="720"/>
      <w:outlineLvl w:val="8"/>
    </w:pPr>
    <w:rPr>
      <w:i/>
    </w:rPr>
  </w:style>
  <w:style w:type="character" w:default="1" w:styleId="DefaultParagraphFont">
    <w:name w:val="Default Paragraph Font"/>
    <w:uiPriority w:val="1"/>
    <w:unhideWhenUsed/>
    <w:rsid w:val="005E7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E5F"/>
  </w:style>
  <w:style w:type="character" w:customStyle="1" w:styleId="Heading1Char">
    <w:name w:val="Heading 1 Char"/>
    <w:basedOn w:val="DefaultParagraphFont"/>
    <w:link w:val="Heading1"/>
    <w:rsid w:val="005E7E5F"/>
    <w:rPr>
      <w:rFonts w:ascii="Times New Roman" w:eastAsia="Times New Roman" w:hAnsi="Times New Roman" w:cs="Times New Roman"/>
      <w:b/>
      <w:sz w:val="32"/>
      <w:szCs w:val="20"/>
      <w:lang w:eastAsia="en-US"/>
    </w:rPr>
  </w:style>
  <w:style w:type="paragraph" w:styleId="BodyText">
    <w:name w:val="Body Text"/>
    <w:basedOn w:val="Normal"/>
    <w:link w:val="BodyTextChar"/>
    <w:rsid w:val="005E7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E5F"/>
    <w:rPr>
      <w:rFonts w:ascii="Times New Roman" w:eastAsia="Times New Roman" w:hAnsi="Times New Roman" w:cs="Times New Roman"/>
      <w:sz w:val="24"/>
      <w:lang w:eastAsia="en-US"/>
    </w:rPr>
  </w:style>
  <w:style w:type="paragraph" w:styleId="ListBullet">
    <w:name w:val="List Bullet"/>
    <w:basedOn w:val="List"/>
    <w:rsid w:val="005E7E5F"/>
    <w:pPr>
      <w:numPr>
        <w:numId w:val="12"/>
      </w:numPr>
      <w:tabs>
        <w:tab w:val="clear" w:pos="340"/>
      </w:tabs>
      <w:spacing w:before="40" w:after="40"/>
    </w:pPr>
  </w:style>
  <w:style w:type="character" w:customStyle="1" w:styleId="SpecialBold">
    <w:name w:val="Special Bold"/>
    <w:basedOn w:val="DefaultParagraphFont"/>
    <w:rsid w:val="005E7E5F"/>
    <w:rPr>
      <w:b/>
      <w:spacing w:val="0"/>
    </w:rPr>
  </w:style>
  <w:style w:type="paragraph" w:styleId="ListBullet2">
    <w:name w:val="List Bullet 2"/>
    <w:basedOn w:val="List2"/>
    <w:rsid w:val="005E7E5F"/>
    <w:pPr>
      <w:numPr>
        <w:numId w:val="13"/>
      </w:numPr>
      <w:tabs>
        <w:tab w:val="clear" w:pos="680"/>
      </w:tabs>
    </w:pPr>
  </w:style>
  <w:style w:type="paragraph" w:customStyle="1" w:styleId="SuperHeading">
    <w:name w:val="SuperHeading"/>
    <w:basedOn w:val="Normal"/>
    <w:rsid w:val="005E7E5F"/>
    <w:pPr>
      <w:spacing w:before="240" w:after="120"/>
      <w:outlineLvl w:val="0"/>
    </w:pPr>
    <w:rPr>
      <w:rFonts w:ascii="Times New Roman" w:hAnsi="Times New Roman"/>
      <w:b/>
      <w:sz w:val="32"/>
    </w:rPr>
  </w:style>
  <w:style w:type="paragraph" w:customStyle="1" w:styleId="AllowPageBreak">
    <w:name w:val="AllowPageBreak"/>
    <w:rsid w:val="005E7E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7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E5F"/>
    <w:rPr>
      <w:rFonts w:ascii="Courier New" w:eastAsia="Times New Roman" w:hAnsi="Courier New" w:cs="Times New Roman"/>
      <w:i/>
      <w:szCs w:val="20"/>
      <w:lang w:eastAsia="en-US"/>
    </w:rPr>
  </w:style>
  <w:style w:type="paragraph" w:customStyle="1" w:styleId="HeadingBase">
    <w:name w:val="Heading Base"/>
    <w:rsid w:val="005E7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E5F"/>
    <w:pPr>
      <w:tabs>
        <w:tab w:val="right" w:leader="dot" w:pos="9072"/>
      </w:tabs>
      <w:ind w:left="567"/>
    </w:pPr>
    <w:rPr>
      <w:szCs w:val="22"/>
    </w:rPr>
  </w:style>
  <w:style w:type="paragraph" w:customStyle="1" w:styleId="TOCBase">
    <w:name w:val="TOC Base"/>
    <w:rsid w:val="005E7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E5F"/>
    <w:pPr>
      <w:tabs>
        <w:tab w:val="right" w:leader="dot" w:pos="9072"/>
      </w:tabs>
      <w:spacing w:before="40" w:after="40"/>
      <w:ind w:left="284"/>
    </w:pPr>
    <w:rPr>
      <w:rFonts w:ascii="Times New Roman" w:hAnsi="Times New Roman"/>
    </w:rPr>
  </w:style>
  <w:style w:type="paragraph" w:styleId="TOC1">
    <w:name w:val="toc 1"/>
    <w:basedOn w:val="TOCBase"/>
    <w:next w:val="Normal"/>
    <w:rsid w:val="005E7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E5F"/>
    <w:rPr>
      <w:rFonts w:ascii="Times New Roman" w:eastAsia="Times New Roman" w:hAnsi="Times New Roman" w:cs="Times New Roman"/>
      <w:sz w:val="16"/>
      <w:lang w:eastAsia="en-US"/>
    </w:rPr>
  </w:style>
  <w:style w:type="paragraph" w:styleId="Title">
    <w:name w:val="Title"/>
    <w:basedOn w:val="HeadingBase"/>
    <w:link w:val="TitleChar"/>
    <w:qFormat/>
    <w:rsid w:val="005E7E5F"/>
    <w:pPr>
      <w:spacing w:before="5040"/>
      <w:jc w:val="center"/>
    </w:pPr>
    <w:rPr>
      <w:sz w:val="48"/>
      <w:szCs w:val="72"/>
      <w:lang w:val="en-US"/>
    </w:rPr>
  </w:style>
  <w:style w:type="character" w:customStyle="1" w:styleId="TitleChar">
    <w:name w:val="Title Char"/>
    <w:basedOn w:val="DefaultParagraphFont"/>
    <w:link w:val="Title"/>
    <w:rsid w:val="005E7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E5F"/>
    <w:pPr>
      <w:tabs>
        <w:tab w:val="left" w:pos="3600"/>
        <w:tab w:val="left" w:pos="3958"/>
      </w:tabs>
    </w:pPr>
  </w:style>
  <w:style w:type="paragraph" w:styleId="List">
    <w:name w:val="List"/>
    <w:basedOn w:val="BodyText"/>
    <w:next w:val="BodyText"/>
    <w:rsid w:val="005E7E5F"/>
    <w:pPr>
      <w:tabs>
        <w:tab w:val="left" w:pos="340"/>
      </w:tabs>
      <w:spacing w:before="60" w:after="60"/>
      <w:ind w:left="340" w:hanging="340"/>
    </w:pPr>
  </w:style>
  <w:style w:type="paragraph" w:customStyle="1" w:styleId="Note">
    <w:name w:val="Note"/>
    <w:basedOn w:val="BodyText"/>
    <w:rsid w:val="005E7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E5F"/>
    <w:pPr>
      <w:framePr w:wrap="auto" w:hAnchor="text" w:y="6049"/>
    </w:pPr>
    <w:rPr>
      <w:color w:val="000000"/>
      <w:sz w:val="40"/>
    </w:rPr>
  </w:style>
  <w:style w:type="paragraph" w:customStyle="1" w:styleId="TOCTitle">
    <w:name w:val="TOCTitle"/>
    <w:basedOn w:val="Heading1"/>
    <w:rsid w:val="005E7E5F"/>
    <w:pPr>
      <w:spacing w:after="240"/>
      <w:jc w:val="center"/>
      <w:outlineLvl w:val="9"/>
    </w:pPr>
    <w:rPr>
      <w:caps/>
    </w:rPr>
  </w:style>
  <w:style w:type="paragraph" w:customStyle="1" w:styleId="Version">
    <w:name w:val="Version"/>
    <w:rsid w:val="005E7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E5F"/>
    <w:pPr>
      <w:keepNext w:val="0"/>
      <w:tabs>
        <w:tab w:val="right" w:pos="4176"/>
      </w:tabs>
      <w:ind w:left="198" w:hanging="198"/>
    </w:pPr>
    <w:rPr>
      <w:rFonts w:ascii="Garamond" w:hAnsi="Garamond"/>
    </w:rPr>
  </w:style>
  <w:style w:type="paragraph" w:styleId="IndexHeading">
    <w:name w:val="index heading"/>
    <w:basedOn w:val="Normal"/>
    <w:next w:val="Index1"/>
    <w:semiHidden/>
    <w:rsid w:val="005E7E5F"/>
    <w:pPr>
      <w:spacing w:before="120" w:after="120"/>
    </w:pPr>
    <w:rPr>
      <w:rFonts w:ascii="Arial" w:hAnsi="Arial"/>
      <w:b/>
      <w:color w:val="918585"/>
      <w:sz w:val="24"/>
    </w:rPr>
  </w:style>
  <w:style w:type="paragraph" w:styleId="Header">
    <w:name w:val="header"/>
    <w:basedOn w:val="Normal"/>
    <w:link w:val="HeaderChar"/>
    <w:rsid w:val="005E7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E5F"/>
    <w:rPr>
      <w:rFonts w:ascii="Times New Roman" w:eastAsia="Times New Roman" w:hAnsi="Times New Roman" w:cs="Times New Roman"/>
      <w:sz w:val="16"/>
      <w:szCs w:val="20"/>
      <w:lang w:val="en-GB" w:eastAsia="en-US"/>
    </w:rPr>
  </w:style>
  <w:style w:type="paragraph" w:customStyle="1" w:styleId="Chapter">
    <w:name w:val="Chapter"/>
    <w:basedOn w:val="Normal"/>
    <w:rsid w:val="005E7E5F"/>
    <w:pPr>
      <w:spacing w:before="240"/>
    </w:pPr>
    <w:rPr>
      <w:rFonts w:ascii="Times New Roman" w:hAnsi="Times New Roman"/>
      <w:smallCaps/>
      <w:spacing w:val="80"/>
      <w:sz w:val="28"/>
    </w:rPr>
  </w:style>
  <w:style w:type="paragraph" w:customStyle="1" w:styleId="InChapter">
    <w:name w:val="InChapter"/>
    <w:basedOn w:val="Heading3"/>
    <w:rsid w:val="005E7E5F"/>
    <w:pPr>
      <w:spacing w:after="240"/>
      <w:outlineLvl w:val="9"/>
    </w:pPr>
    <w:rPr>
      <w:noProof/>
    </w:rPr>
  </w:style>
  <w:style w:type="paragraph" w:styleId="Index2">
    <w:name w:val="index 2"/>
    <w:basedOn w:val="Normal"/>
    <w:next w:val="Normal"/>
    <w:semiHidden/>
    <w:rsid w:val="005E7E5F"/>
    <w:pPr>
      <w:tabs>
        <w:tab w:val="right" w:pos="4176"/>
      </w:tabs>
      <w:ind w:left="568" w:hanging="284"/>
    </w:pPr>
    <w:rPr>
      <w:rFonts w:ascii="Garamond" w:hAnsi="Garamond"/>
    </w:rPr>
  </w:style>
  <w:style w:type="paragraph" w:customStyle="1" w:styleId="Byline">
    <w:name w:val="Byline"/>
    <w:rsid w:val="005E7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E5F"/>
    <w:pPr>
      <w:tabs>
        <w:tab w:val="clear" w:pos="3600"/>
        <w:tab w:val="clear" w:pos="3958"/>
      </w:tabs>
      <w:jc w:val="right"/>
    </w:pPr>
  </w:style>
  <w:style w:type="character" w:styleId="Emphasis">
    <w:name w:val="Emphasis"/>
    <w:basedOn w:val="DefaultParagraphFont"/>
    <w:qFormat/>
    <w:rsid w:val="005E7E5F"/>
    <w:rPr>
      <w:i/>
    </w:rPr>
  </w:style>
  <w:style w:type="paragraph" w:styleId="Caption">
    <w:name w:val="caption"/>
    <w:basedOn w:val="BodyText"/>
    <w:next w:val="Normal"/>
    <w:qFormat/>
    <w:rsid w:val="005E7E5F"/>
    <w:pPr>
      <w:framePr w:w="2268" w:hSpace="181" w:vSpace="181" w:wrap="around" w:vAnchor="text" w:hAnchor="page" w:x="1135" w:y="285" w:anchorLock="1"/>
    </w:pPr>
    <w:rPr>
      <w:i/>
    </w:rPr>
  </w:style>
  <w:style w:type="paragraph" w:customStyle="1" w:styleId="MiniTOCTitle">
    <w:name w:val="MiniTOCTitle"/>
    <w:basedOn w:val="Heading4"/>
    <w:rsid w:val="005E7E5F"/>
    <w:pPr>
      <w:spacing w:before="240"/>
      <w:outlineLvl w:val="9"/>
    </w:pPr>
    <w:rPr>
      <w:noProof/>
      <w:sz w:val="24"/>
    </w:rPr>
  </w:style>
  <w:style w:type="paragraph" w:customStyle="1" w:styleId="MiniTOCItem">
    <w:name w:val="MiniTOCItem"/>
    <w:basedOn w:val="ListBullet"/>
    <w:rsid w:val="005E7E5F"/>
    <w:pPr>
      <w:numPr>
        <w:numId w:val="0"/>
      </w:numPr>
      <w:tabs>
        <w:tab w:val="right" w:leader="dot" w:pos="6521"/>
      </w:tabs>
      <w:spacing w:before="0" w:after="0"/>
    </w:pPr>
  </w:style>
  <w:style w:type="paragraph" w:customStyle="1" w:styleId="TOFTitle">
    <w:name w:val="TOFTitle"/>
    <w:basedOn w:val="TOCTitle"/>
    <w:rsid w:val="005E7E5F"/>
  </w:style>
  <w:style w:type="paragraph" w:styleId="TableofFigures">
    <w:name w:val="table of figures"/>
    <w:basedOn w:val="Normal"/>
    <w:next w:val="Normal"/>
    <w:semiHidden/>
    <w:rsid w:val="005E7E5F"/>
    <w:pPr>
      <w:tabs>
        <w:tab w:val="right" w:leader="dot" w:pos="9072"/>
      </w:tabs>
      <w:ind w:left="970" w:hanging="403"/>
    </w:pPr>
    <w:rPr>
      <w:rFonts w:ascii="Times New Roman" w:hAnsi="Times New Roman"/>
      <w:b/>
    </w:rPr>
  </w:style>
  <w:style w:type="paragraph" w:styleId="ListNumber">
    <w:name w:val="List Number"/>
    <w:basedOn w:val="List"/>
    <w:rsid w:val="005E7E5F"/>
    <w:pPr>
      <w:numPr>
        <w:numId w:val="15"/>
      </w:numPr>
      <w:tabs>
        <w:tab w:val="clear" w:pos="340"/>
      </w:tabs>
    </w:pPr>
  </w:style>
  <w:style w:type="character" w:customStyle="1" w:styleId="WingdingSymbols">
    <w:name w:val="Wingding Symbols"/>
    <w:rsid w:val="005E7E5F"/>
    <w:rPr>
      <w:rFonts w:ascii="Wingdings" w:hAnsi="Wingdings"/>
    </w:rPr>
  </w:style>
  <w:style w:type="paragraph" w:customStyle="1" w:styleId="TableHeading">
    <w:name w:val="Table Heading"/>
    <w:basedOn w:val="HeadingBase"/>
    <w:rsid w:val="005E7E5F"/>
    <w:pPr>
      <w:keepLines/>
      <w:pBdr>
        <w:bottom w:val="single" w:sz="6" w:space="1" w:color="918585"/>
      </w:pBdr>
      <w:spacing w:before="240"/>
    </w:pPr>
  </w:style>
  <w:style w:type="character" w:customStyle="1" w:styleId="HotSpot">
    <w:name w:val="HotSpot"/>
    <w:rsid w:val="005E7E5F"/>
    <w:rPr>
      <w:color w:val="0033CC"/>
      <w:u w:val="none"/>
    </w:rPr>
  </w:style>
  <w:style w:type="paragraph" w:customStyle="1" w:styleId="BodyTextRight">
    <w:name w:val="Body Text Right"/>
    <w:basedOn w:val="BodyText"/>
    <w:rsid w:val="005E7E5F"/>
    <w:pPr>
      <w:spacing w:before="0" w:after="0"/>
      <w:jc w:val="right"/>
    </w:pPr>
  </w:style>
  <w:style w:type="paragraph" w:styleId="Index3">
    <w:name w:val="index 3"/>
    <w:basedOn w:val="ListNumber2"/>
    <w:next w:val="Normal"/>
    <w:semiHidden/>
    <w:rsid w:val="005E7E5F"/>
    <w:pPr>
      <w:numPr>
        <w:numId w:val="0"/>
      </w:numPr>
      <w:tabs>
        <w:tab w:val="right" w:leader="dot" w:pos="4176"/>
      </w:tabs>
    </w:pPr>
  </w:style>
  <w:style w:type="paragraph" w:styleId="ListNumber2">
    <w:name w:val="List Number 2"/>
    <w:basedOn w:val="List2"/>
    <w:rsid w:val="005E7E5F"/>
    <w:pPr>
      <w:numPr>
        <w:numId w:val="10"/>
      </w:numPr>
      <w:tabs>
        <w:tab w:val="clear" w:pos="1060"/>
      </w:tabs>
    </w:pPr>
  </w:style>
  <w:style w:type="paragraph" w:customStyle="1" w:styleId="MarginNote">
    <w:name w:val="Margin Note"/>
    <w:basedOn w:val="BodyText"/>
    <w:rsid w:val="005E7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E5F"/>
    <w:rPr>
      <w:sz w:val="32"/>
    </w:rPr>
  </w:style>
  <w:style w:type="paragraph" w:customStyle="1" w:styleId="HeadingProcedure">
    <w:name w:val="Heading Procedure"/>
    <w:basedOn w:val="HeadingBase"/>
    <w:next w:val="Normal"/>
    <w:rsid w:val="005E7E5F"/>
    <w:pPr>
      <w:tabs>
        <w:tab w:val="left" w:pos="0"/>
      </w:tabs>
      <w:spacing w:before="120" w:after="60"/>
    </w:pPr>
    <w:rPr>
      <w:i/>
      <w:color w:val="918585"/>
      <w:sz w:val="22"/>
    </w:rPr>
  </w:style>
  <w:style w:type="paragraph" w:customStyle="1" w:styleId="TableBodyText">
    <w:name w:val="Table Body Text"/>
    <w:basedOn w:val="BodyText"/>
    <w:rsid w:val="005E7E5F"/>
    <w:pPr>
      <w:spacing w:before="60" w:after="60"/>
    </w:pPr>
  </w:style>
  <w:style w:type="paragraph" w:styleId="ListContinue">
    <w:name w:val="List Continue"/>
    <w:basedOn w:val="List"/>
    <w:rsid w:val="005E7E5F"/>
    <w:pPr>
      <w:ind w:firstLine="0"/>
    </w:pPr>
  </w:style>
  <w:style w:type="paragraph" w:customStyle="1" w:styleId="ListNote">
    <w:name w:val="List Note"/>
    <w:basedOn w:val="List"/>
    <w:rsid w:val="005E7E5F"/>
    <w:pPr>
      <w:pBdr>
        <w:top w:val="single" w:sz="6" w:space="2" w:color="918585"/>
        <w:bottom w:val="single" w:sz="6" w:space="2" w:color="918585"/>
      </w:pBdr>
      <w:tabs>
        <w:tab w:val="left" w:pos="1021"/>
      </w:tabs>
      <w:ind w:firstLine="0"/>
    </w:pPr>
  </w:style>
  <w:style w:type="paragraph" w:customStyle="1" w:styleId="Warning">
    <w:name w:val="Warning"/>
    <w:basedOn w:val="BodyText"/>
    <w:rsid w:val="005E7E5F"/>
    <w:pPr>
      <w:shd w:val="clear" w:color="auto" w:fill="D9D9D9"/>
      <w:tabs>
        <w:tab w:val="left" w:pos="992"/>
      </w:tabs>
      <w:ind w:left="119" w:right="119"/>
    </w:pPr>
    <w:rPr>
      <w:sz w:val="20"/>
    </w:rPr>
  </w:style>
  <w:style w:type="paragraph" w:customStyle="1" w:styleId="MarginIcons">
    <w:name w:val="Margin Icons"/>
    <w:basedOn w:val="BodyText"/>
    <w:rsid w:val="005E7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E5F"/>
    <w:rPr>
      <w:rFonts w:ascii="Courier New" w:hAnsi="Courier New"/>
    </w:rPr>
  </w:style>
  <w:style w:type="paragraph" w:customStyle="1" w:styleId="NoteBullet">
    <w:name w:val="Note Bullet"/>
    <w:basedOn w:val="Note"/>
    <w:rsid w:val="005E7E5F"/>
    <w:pPr>
      <w:tabs>
        <w:tab w:val="clear" w:pos="680"/>
      </w:tabs>
      <w:spacing w:before="60" w:after="60"/>
    </w:pPr>
  </w:style>
  <w:style w:type="paragraph" w:customStyle="1" w:styleId="SubHeading2">
    <w:name w:val="SubHeading2"/>
    <w:basedOn w:val="HeadingBase"/>
    <w:rsid w:val="005E7E5F"/>
    <w:pPr>
      <w:spacing w:before="240" w:after="60"/>
    </w:pPr>
    <w:rPr>
      <w:sz w:val="20"/>
    </w:rPr>
  </w:style>
  <w:style w:type="paragraph" w:customStyle="1" w:styleId="SubHeading1">
    <w:name w:val="SubHeading1"/>
    <w:basedOn w:val="HeadingBase"/>
    <w:rsid w:val="005E7E5F"/>
    <w:pPr>
      <w:spacing w:before="240" w:after="60"/>
    </w:pPr>
    <w:rPr>
      <w:color w:val="918585"/>
      <w:sz w:val="22"/>
    </w:rPr>
  </w:style>
  <w:style w:type="paragraph" w:customStyle="1" w:styleId="SideHeading">
    <w:name w:val="Side Heading"/>
    <w:basedOn w:val="HeadingBase"/>
    <w:rsid w:val="005E7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E5F"/>
    <w:pPr>
      <w:tabs>
        <w:tab w:val="num" w:pos="360"/>
      </w:tabs>
    </w:pPr>
  </w:style>
  <w:style w:type="paragraph" w:styleId="PlainText">
    <w:name w:val="Plain Text"/>
    <w:basedOn w:val="Normal"/>
    <w:link w:val="PlainTextChar"/>
    <w:rsid w:val="005E7E5F"/>
    <w:rPr>
      <w:sz w:val="20"/>
    </w:rPr>
  </w:style>
  <w:style w:type="character" w:customStyle="1" w:styleId="PlainTextChar">
    <w:name w:val="Plain Text Char"/>
    <w:basedOn w:val="DefaultParagraphFont"/>
    <w:link w:val="PlainText"/>
    <w:rsid w:val="005E7E5F"/>
    <w:rPr>
      <w:rFonts w:ascii="Courier New" w:eastAsia="Times New Roman" w:hAnsi="Courier New" w:cs="Times New Roman"/>
      <w:sz w:val="20"/>
      <w:szCs w:val="20"/>
      <w:lang w:eastAsia="en-US"/>
    </w:rPr>
  </w:style>
  <w:style w:type="character" w:customStyle="1" w:styleId="MenuOption">
    <w:name w:val="Menu Option"/>
    <w:basedOn w:val="DefaultParagraphFont"/>
    <w:rsid w:val="005E7E5F"/>
    <w:rPr>
      <w:b/>
      <w:smallCaps/>
    </w:rPr>
  </w:style>
  <w:style w:type="paragraph" w:customStyle="1" w:styleId="TableListNumber">
    <w:name w:val="Table List Number"/>
    <w:basedOn w:val="ListNumber"/>
    <w:rsid w:val="005E7E5F"/>
    <w:pPr>
      <w:numPr>
        <w:numId w:val="0"/>
      </w:numPr>
    </w:pPr>
  </w:style>
  <w:style w:type="paragraph" w:styleId="TOC4">
    <w:name w:val="toc 4"/>
    <w:basedOn w:val="TOCBase"/>
    <w:next w:val="Normal"/>
    <w:semiHidden/>
    <w:rsid w:val="005E7E5F"/>
    <w:pPr>
      <w:tabs>
        <w:tab w:val="right" w:leader="dot" w:pos="9071"/>
      </w:tabs>
      <w:ind w:left="1701"/>
    </w:pPr>
  </w:style>
  <w:style w:type="paragraph" w:customStyle="1" w:styleId="ListAlpha">
    <w:name w:val="List Alpha"/>
    <w:basedOn w:val="List"/>
    <w:rsid w:val="005E7E5F"/>
    <w:pPr>
      <w:numPr>
        <w:numId w:val="9"/>
      </w:numPr>
    </w:pPr>
  </w:style>
  <w:style w:type="paragraph" w:customStyle="1" w:styleId="ListAlpha2">
    <w:name w:val="List Alpha 2"/>
    <w:basedOn w:val="List2"/>
    <w:rsid w:val="005E7E5F"/>
    <w:pPr>
      <w:numPr>
        <w:numId w:val="8"/>
      </w:numPr>
    </w:pPr>
  </w:style>
  <w:style w:type="paragraph" w:styleId="List2">
    <w:name w:val="List 2"/>
    <w:basedOn w:val="BodyText"/>
    <w:rsid w:val="005E7E5F"/>
    <w:pPr>
      <w:tabs>
        <w:tab w:val="left" w:pos="680"/>
      </w:tabs>
      <w:spacing w:before="60" w:after="60"/>
      <w:ind w:left="680" w:hanging="340"/>
    </w:pPr>
  </w:style>
  <w:style w:type="paragraph" w:styleId="List3">
    <w:name w:val="List 3"/>
    <w:basedOn w:val="BodyText"/>
    <w:rsid w:val="005E7E5F"/>
    <w:pPr>
      <w:tabs>
        <w:tab w:val="left" w:pos="1021"/>
      </w:tabs>
      <w:spacing w:before="60" w:after="60"/>
      <w:ind w:left="1020" w:hanging="340"/>
    </w:pPr>
  </w:style>
  <w:style w:type="paragraph" w:styleId="List4">
    <w:name w:val="List 4"/>
    <w:basedOn w:val="BodyText"/>
    <w:rsid w:val="005E7E5F"/>
    <w:pPr>
      <w:tabs>
        <w:tab w:val="left" w:pos="1361"/>
      </w:tabs>
      <w:spacing w:before="60" w:after="60"/>
      <w:ind w:left="1361" w:hanging="340"/>
    </w:pPr>
  </w:style>
  <w:style w:type="paragraph" w:styleId="List5">
    <w:name w:val="List 5"/>
    <w:basedOn w:val="BodyText"/>
    <w:rsid w:val="005E7E5F"/>
    <w:pPr>
      <w:tabs>
        <w:tab w:val="left" w:pos="1701"/>
      </w:tabs>
      <w:spacing w:before="60" w:after="60"/>
      <w:ind w:left="1701" w:hanging="340"/>
    </w:pPr>
  </w:style>
  <w:style w:type="paragraph" w:styleId="ListBullet3">
    <w:name w:val="List Bullet 3"/>
    <w:basedOn w:val="List3"/>
    <w:rsid w:val="005E7E5F"/>
    <w:pPr>
      <w:numPr>
        <w:numId w:val="14"/>
      </w:numPr>
      <w:tabs>
        <w:tab w:val="clear" w:pos="1021"/>
      </w:tabs>
      <w:ind w:left="1037" w:hanging="357"/>
    </w:pPr>
  </w:style>
  <w:style w:type="paragraph" w:styleId="ListBullet4">
    <w:name w:val="List Bullet 4"/>
    <w:basedOn w:val="List4"/>
    <w:rsid w:val="005E7E5F"/>
    <w:pPr>
      <w:numPr>
        <w:numId w:val="3"/>
      </w:numPr>
      <w:tabs>
        <w:tab w:val="clear" w:pos="1361"/>
      </w:tabs>
    </w:pPr>
  </w:style>
  <w:style w:type="paragraph" w:styleId="ListBullet5">
    <w:name w:val="List Bullet 5"/>
    <w:basedOn w:val="List5"/>
    <w:rsid w:val="005E7E5F"/>
    <w:pPr>
      <w:numPr>
        <w:numId w:val="4"/>
      </w:numPr>
    </w:pPr>
  </w:style>
  <w:style w:type="paragraph" w:styleId="ListContinue2">
    <w:name w:val="List Continue 2"/>
    <w:basedOn w:val="List2"/>
    <w:rsid w:val="005E7E5F"/>
    <w:pPr>
      <w:ind w:firstLine="0"/>
    </w:pPr>
  </w:style>
  <w:style w:type="paragraph" w:styleId="ListContinue3">
    <w:name w:val="List Continue 3"/>
    <w:basedOn w:val="List3"/>
    <w:rsid w:val="005E7E5F"/>
    <w:pPr>
      <w:ind w:left="1021" w:firstLine="0"/>
    </w:pPr>
  </w:style>
  <w:style w:type="paragraph" w:styleId="ListContinue4">
    <w:name w:val="List Continue 4"/>
    <w:basedOn w:val="List4"/>
    <w:rsid w:val="005E7E5F"/>
    <w:pPr>
      <w:ind w:firstLine="0"/>
    </w:pPr>
  </w:style>
  <w:style w:type="paragraph" w:styleId="ListContinue5">
    <w:name w:val="List Continue 5"/>
    <w:basedOn w:val="List5"/>
    <w:rsid w:val="005E7E5F"/>
    <w:pPr>
      <w:ind w:firstLine="0"/>
    </w:pPr>
  </w:style>
  <w:style w:type="paragraph" w:styleId="ListNumber3">
    <w:name w:val="List Number 3"/>
    <w:basedOn w:val="List3"/>
    <w:rsid w:val="005E7E5F"/>
    <w:pPr>
      <w:numPr>
        <w:numId w:val="5"/>
      </w:numPr>
    </w:pPr>
  </w:style>
  <w:style w:type="paragraph" w:styleId="ListNumber4">
    <w:name w:val="List Number 4"/>
    <w:basedOn w:val="List4"/>
    <w:rsid w:val="005E7E5F"/>
    <w:pPr>
      <w:numPr>
        <w:numId w:val="6"/>
      </w:numPr>
    </w:pPr>
  </w:style>
  <w:style w:type="paragraph" w:styleId="ListNumber5">
    <w:name w:val="List Number 5"/>
    <w:basedOn w:val="List5"/>
    <w:rsid w:val="005E7E5F"/>
    <w:pPr>
      <w:numPr>
        <w:numId w:val="7"/>
      </w:numPr>
    </w:pPr>
  </w:style>
  <w:style w:type="paragraph" w:styleId="BlockText">
    <w:name w:val="Block Text"/>
    <w:basedOn w:val="Normal"/>
    <w:rsid w:val="005E7E5F"/>
    <w:pPr>
      <w:spacing w:after="120"/>
      <w:ind w:left="1440" w:right="1440"/>
    </w:pPr>
  </w:style>
  <w:style w:type="character" w:customStyle="1" w:styleId="Subscript">
    <w:name w:val="Subscript"/>
    <w:basedOn w:val="DefaultParagraphFont"/>
    <w:rsid w:val="005E7E5F"/>
    <w:rPr>
      <w:sz w:val="16"/>
      <w:vertAlign w:val="subscript"/>
    </w:rPr>
  </w:style>
  <w:style w:type="character" w:customStyle="1" w:styleId="Superscript">
    <w:name w:val="Superscript"/>
    <w:basedOn w:val="DefaultParagraphFont"/>
    <w:rsid w:val="005E7E5F"/>
    <w:rPr>
      <w:sz w:val="16"/>
      <w:vertAlign w:val="superscript"/>
    </w:rPr>
  </w:style>
  <w:style w:type="character" w:customStyle="1" w:styleId="Symbols">
    <w:name w:val="Symbols"/>
    <w:basedOn w:val="DefaultParagraphFont"/>
    <w:rsid w:val="005E7E5F"/>
    <w:rPr>
      <w:rFonts w:ascii="Symbol" w:hAnsi="Symbol"/>
    </w:rPr>
  </w:style>
  <w:style w:type="character" w:customStyle="1" w:styleId="MenuOptions">
    <w:name w:val="Menu Options"/>
    <w:basedOn w:val="DefaultParagraphFont"/>
    <w:rsid w:val="005E7E5F"/>
    <w:rPr>
      <w:rFonts w:ascii="Arial Narrow" w:hAnsi="Arial Narrow"/>
      <w:smallCaps/>
    </w:rPr>
  </w:style>
  <w:style w:type="character" w:customStyle="1" w:styleId="Buttons">
    <w:name w:val="Buttons"/>
    <w:basedOn w:val="DefaultParagraphFont"/>
    <w:rsid w:val="005E7E5F"/>
    <w:rPr>
      <w:b/>
    </w:rPr>
  </w:style>
  <w:style w:type="character" w:customStyle="1" w:styleId="Underlined">
    <w:name w:val="Underlined"/>
    <w:basedOn w:val="DefaultParagraphFont"/>
    <w:rsid w:val="005E7E5F"/>
    <w:rPr>
      <w:u w:val="single"/>
    </w:rPr>
  </w:style>
  <w:style w:type="paragraph" w:customStyle="1" w:styleId="TableBodyTextRight">
    <w:name w:val="Table Body Text Right"/>
    <w:basedOn w:val="TableBodyText"/>
    <w:rsid w:val="005E7E5F"/>
    <w:pPr>
      <w:widowControl w:val="0"/>
      <w:autoSpaceDE w:val="0"/>
      <w:autoSpaceDN w:val="0"/>
      <w:adjustRightInd w:val="0"/>
      <w:jc w:val="right"/>
    </w:pPr>
    <w:rPr>
      <w:rFonts w:cs="Arial"/>
      <w:szCs w:val="18"/>
    </w:rPr>
  </w:style>
  <w:style w:type="paragraph" w:customStyle="1" w:styleId="CopyrightText">
    <w:name w:val="Copyright Text"/>
    <w:basedOn w:val="BodyText"/>
    <w:rsid w:val="005E7E5F"/>
    <w:rPr>
      <w:sz w:val="18"/>
    </w:rPr>
  </w:style>
  <w:style w:type="paragraph" w:customStyle="1" w:styleId="BodySmallRight">
    <w:name w:val="Body Small Right"/>
    <w:basedOn w:val="BodyTextRight"/>
    <w:rsid w:val="005E7E5F"/>
    <w:rPr>
      <w:sz w:val="18"/>
      <w:szCs w:val="18"/>
    </w:rPr>
  </w:style>
  <w:style w:type="paragraph" w:customStyle="1" w:styleId="MarginEdition">
    <w:name w:val="Margin Edition"/>
    <w:basedOn w:val="MarginNote"/>
    <w:rsid w:val="005E7E5F"/>
    <w:pPr>
      <w:spacing w:before="0" w:after="0"/>
    </w:pPr>
    <w:rPr>
      <w:rFonts w:ascii="Times New Roman" w:hAnsi="Times New Roman"/>
      <w:color w:val="999999"/>
    </w:rPr>
  </w:style>
  <w:style w:type="paragraph" w:customStyle="1" w:styleId="Spacer">
    <w:name w:val="Spacer"/>
    <w:basedOn w:val="Normal"/>
    <w:rsid w:val="005E7E5F"/>
    <w:rPr>
      <w:sz w:val="2"/>
      <w:szCs w:val="2"/>
    </w:rPr>
  </w:style>
  <w:style w:type="character" w:customStyle="1" w:styleId="Small">
    <w:name w:val="Small"/>
    <w:basedOn w:val="DefaultParagraphFont"/>
    <w:rsid w:val="005E7E5F"/>
    <w:rPr>
      <w:sz w:val="16"/>
    </w:rPr>
  </w:style>
  <w:style w:type="paragraph" w:customStyle="1" w:styleId="WideTable">
    <w:name w:val="Wide Table"/>
    <w:basedOn w:val="Normal"/>
    <w:rsid w:val="005E7E5F"/>
    <w:pPr>
      <w:ind w:left="-1418"/>
    </w:pPr>
    <w:rPr>
      <w:sz w:val="2"/>
      <w:szCs w:val="2"/>
    </w:rPr>
  </w:style>
  <w:style w:type="character" w:styleId="PageNumber">
    <w:name w:val="page number"/>
    <w:basedOn w:val="DefaultParagraphFont"/>
    <w:rsid w:val="005E7E5F"/>
  </w:style>
  <w:style w:type="paragraph" w:styleId="Quote">
    <w:name w:val="Quote"/>
    <w:basedOn w:val="Heading1"/>
    <w:link w:val="QuoteChar"/>
    <w:qFormat/>
    <w:rsid w:val="005E7E5F"/>
    <w:rPr>
      <w:b w:val="0"/>
      <w:sz w:val="72"/>
      <w:szCs w:val="72"/>
      <w:lang w:val="en-NZ"/>
    </w:rPr>
  </w:style>
  <w:style w:type="character" w:customStyle="1" w:styleId="QuoteChar">
    <w:name w:val="Quote Char"/>
    <w:basedOn w:val="DefaultParagraphFont"/>
    <w:link w:val="Quote"/>
    <w:rsid w:val="005E7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E5F"/>
    <w:pPr>
      <w:pageBreakBefore/>
    </w:pPr>
  </w:style>
  <w:style w:type="paragraph" w:customStyle="1" w:styleId="Border">
    <w:name w:val="Border"/>
    <w:basedOn w:val="Normal"/>
    <w:qFormat/>
    <w:rsid w:val="005E7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E5F"/>
    <w:rPr>
      <w:b/>
      <w:bCs/>
      <w:i/>
      <w:iCs/>
      <w:color w:val="auto"/>
    </w:rPr>
  </w:style>
  <w:style w:type="paragraph" w:styleId="IntenseQuote">
    <w:name w:val="Intense Quote"/>
    <w:basedOn w:val="Normal"/>
    <w:next w:val="Normal"/>
    <w:link w:val="IntenseQuoteChar"/>
    <w:uiPriority w:val="30"/>
    <w:qFormat/>
    <w:rsid w:val="005E7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E5F"/>
    <w:rPr>
      <w:smallCaps/>
      <w:color w:val="auto"/>
      <w:u w:val="single"/>
    </w:rPr>
  </w:style>
  <w:style w:type="character" w:styleId="IntenseReference">
    <w:name w:val="Intense Reference"/>
    <w:basedOn w:val="DefaultParagraphFont"/>
    <w:uiPriority w:val="32"/>
    <w:qFormat/>
    <w:rsid w:val="005E7E5F"/>
    <w:rPr>
      <w:b/>
      <w:bCs/>
      <w:smallCaps/>
      <w:color w:val="auto"/>
      <w:spacing w:val="5"/>
      <w:u w:val="single"/>
    </w:rPr>
  </w:style>
  <w:style w:type="paragraph" w:customStyle="1" w:styleId="2ColumnHeading">
    <w:name w:val="2Column Heading"/>
    <w:basedOn w:val="BodyText"/>
    <w:qFormat/>
    <w:rsid w:val="005E7E5F"/>
    <w:pPr>
      <w:spacing w:after="60"/>
      <w:ind w:left="-2268"/>
    </w:pPr>
    <w:rPr>
      <w:b/>
    </w:rPr>
  </w:style>
  <w:style w:type="paragraph" w:customStyle="1" w:styleId="Heading1TOC">
    <w:name w:val="Heading1 TOC"/>
    <w:basedOn w:val="Normal"/>
    <w:qFormat/>
    <w:rsid w:val="005E7E5F"/>
    <w:pPr>
      <w:spacing w:before="240" w:after="120"/>
    </w:pPr>
    <w:rPr>
      <w:rFonts w:ascii="Times New Roman" w:hAnsi="Times New Roman"/>
      <w:b/>
      <w:sz w:val="32"/>
    </w:rPr>
  </w:style>
  <w:style w:type="paragraph" w:customStyle="1" w:styleId="Heading2TOC">
    <w:name w:val="Heading2 TOC"/>
    <w:basedOn w:val="Normal"/>
    <w:qFormat/>
    <w:rsid w:val="005E7E5F"/>
    <w:pPr>
      <w:spacing w:before="240" w:after="60"/>
    </w:pPr>
    <w:rPr>
      <w:rFonts w:ascii="Times New Roman" w:hAnsi="Times New Roman"/>
      <w:b/>
      <w:sz w:val="28"/>
    </w:rPr>
  </w:style>
  <w:style w:type="character" w:customStyle="1" w:styleId="Underline">
    <w:name w:val="Underline"/>
    <w:basedOn w:val="DefaultParagraphFont"/>
    <w:qFormat/>
    <w:rsid w:val="005E7E5F"/>
    <w:rPr>
      <w:u w:val="single"/>
    </w:rPr>
  </w:style>
  <w:style w:type="character" w:customStyle="1" w:styleId="BoldandItalics">
    <w:name w:val="Bold and Italics"/>
    <w:qFormat/>
    <w:rsid w:val="005E7E5F"/>
    <w:rPr>
      <w:b/>
      <w:i/>
      <w:u w:val="none"/>
    </w:rPr>
  </w:style>
  <w:style w:type="paragraph" w:styleId="BalloonText">
    <w:name w:val="Balloon Text"/>
    <w:basedOn w:val="Normal"/>
    <w:link w:val="BalloonTextChar"/>
    <w:rsid w:val="005E7E5F"/>
    <w:rPr>
      <w:rFonts w:ascii="Tahoma" w:hAnsi="Tahoma" w:cs="Tahoma"/>
      <w:sz w:val="16"/>
      <w:szCs w:val="16"/>
    </w:rPr>
  </w:style>
  <w:style w:type="character" w:customStyle="1" w:styleId="BalloonTextChar">
    <w:name w:val="Balloon Text Char"/>
    <w:basedOn w:val="DefaultParagraphFont"/>
    <w:link w:val="BalloonText"/>
    <w:rsid w:val="005E7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E5F"/>
    <w:rPr>
      <w:b/>
      <w:color w:val="660033"/>
      <w:spacing w:val="0"/>
    </w:rPr>
  </w:style>
  <w:style w:type="paragraph" w:customStyle="1" w:styleId="Nameditemlist">
    <w:name w:val="Named item list"/>
    <w:basedOn w:val="BodyText"/>
    <w:qFormat/>
    <w:rsid w:val="005E7E5F"/>
    <w:pPr>
      <w:tabs>
        <w:tab w:val="left" w:pos="2835"/>
      </w:tabs>
      <w:ind w:left="2835" w:hanging="2835"/>
    </w:pPr>
  </w:style>
  <w:style w:type="paragraph" w:customStyle="1" w:styleId="BodyTextnopadding">
    <w:name w:val="Body Text no padding"/>
    <w:basedOn w:val="BodyText"/>
    <w:qFormat/>
    <w:rsid w:val="005E7E5F"/>
    <w:pPr>
      <w:spacing w:before="0" w:after="0"/>
    </w:pPr>
  </w:style>
  <w:style w:type="paragraph" w:customStyle="1" w:styleId="BodyTextBold">
    <w:name w:val="Body Text Bold"/>
    <w:basedOn w:val="BodyText"/>
    <w:qFormat/>
    <w:rsid w:val="005E7E5F"/>
    <w:rPr>
      <w:b/>
    </w:rPr>
  </w:style>
  <w:style w:type="character" w:styleId="Hyperlink">
    <w:name w:val="Hyperlink"/>
    <w:basedOn w:val="DefaultParagraphFont"/>
    <w:uiPriority w:val="99"/>
    <w:unhideWhenUsed/>
    <w:rsid w:val="00F661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1440</Words>
  <Characters>9492</Characters>
  <Application>Microsoft Office Word</Application>
  <DocSecurity>0</DocSecurity>
  <Lines>351</Lines>
  <Paragraphs>173</Paragraphs>
  <ScaleCrop>false</ScaleCrop>
  <Company>Author-it Software Corporation Ltd.</Company>
  <LinksUpToDate>false</LinksUpToDate>
  <CharactersWithSpaces>10759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UEECD0018 Establish, maintain and evaluate energy sector WHS/OHS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2025-03-01T13:40:00Z</dcterms:created>
  <dcterms:modified xsi:type="dcterms:W3CDTF">2025-03-01T13:40:00Z</dcterms:modified>
</cp:coreProperties>
</file>