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0EC" w:rsidP="009520EC">
      <w:pPr>
        <w:pStyle w:val="Title"/>
      </w:pPr>
      <w:r>
        <w:fldChar w:fldCharType="begin"/>
      </w:r>
      <w:r>
        <w:instrText xml:space="preserve"> TITLE   \* MERGEFORMAT </w:instrText>
      </w:r>
      <w:r>
        <w:fldChar w:fldCharType="separate"/>
      </w:r>
      <w:r>
        <w:t>Assessment Requirements for UEECD0016 Document and apply measures to control WHS risks associated with electrotechnology work</w:t>
      </w:r>
      <w:r>
        <w:fldChar w:fldCharType="end"/>
      </w:r>
    </w:p>
    <w:p w:rsidR="009520EC" w:rsidP="009520EC">
      <w:pPr>
        <w:pStyle w:val="Version"/>
        <w:sectPr w:rsidSect="00D252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52AD" w:rsidP="00D252AD">
      <w:pPr>
        <w:pStyle w:val="SuperHeading"/>
      </w:pPr>
      <w:r w:rsidRPr="00D252AD">
        <w:t>Assessment Requirements for UEECD0016 Document and apply measures to control WHS risks associated with electrotechnology work</w:t>
      </w:r>
    </w:p>
    <w:p w:rsidR="00000000" w:rsidRPr="00D252AD" w:rsidP="00D252AD">
      <w:pPr>
        <w:pStyle w:val="Heading1"/>
      </w:pPr>
      <w:bookmarkStart w:id="1" w:name="O_1185276"/>
      <w:bookmarkEnd w:id="1"/>
      <w:r w:rsidRPr="00D252AD">
        <w:t>Modification History</w:t>
      </w:r>
    </w:p>
    <w:tbl>
      <w:tblPr>
        <w:tblW w:w="9497" w:type="dxa"/>
        <w:tblLayout w:type="fixed"/>
        <w:tblCellMar>
          <w:left w:w="62" w:type="dxa"/>
          <w:right w:w="62" w:type="dxa"/>
        </w:tblCellMar>
        <w:tblLook w:val="0000"/>
      </w:tblPr>
      <w:tblGrid>
        <w:gridCol w:w="9497"/>
      </w:tblGrid>
      <w:tr w:rsidTr="00D25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2AD" w:rsidP="00D252AD">
            <w:pPr>
              <w:pStyle w:val="BodyText"/>
            </w:pPr>
            <w:r w:rsidRPr="00D252AD">
              <w:t>Release 2.  This minor update is the second release of this unit of competency in the UEE Electrotechnology Training Package.</w:t>
            </w:r>
          </w:p>
          <w:p w:rsidR="00000000" w:rsidP="00D252AD">
            <w:pPr>
              <w:pStyle w:val="BodyText"/>
              <w:rPr>
                <w:lang w:val="en-NZ"/>
              </w:rPr>
            </w:pPr>
            <w:r w:rsidRPr="00D252AD">
              <w:t>Duplicate content removed from Knowledge Evidence.</w:t>
            </w:r>
          </w:p>
        </w:tc>
      </w:tr>
      <w:tr w:rsidTr="00D25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2AD" w:rsidP="00D252AD">
            <w:pPr>
              <w:pStyle w:val="BodyText"/>
            </w:pPr>
            <w:r w:rsidRPr="00D252AD">
              <w:t>Release 1. This is the first release of this unit of competency in the UEE Ele</w:t>
            </w:r>
            <w:r w:rsidRPr="00D252AD">
              <w:t>ctrotechnology Training Package.</w:t>
            </w:r>
          </w:p>
        </w:tc>
      </w:tr>
    </w:tbl>
    <w:p w:rsidR="00000000" w:rsidRPr="00D252AD" w:rsidP="00D252AD">
      <w:pPr>
        <w:pStyle w:val="NoPaddingFontSize1"/>
      </w:pPr>
    </w:p>
    <w:p w:rsidR="00000000" w:rsidRPr="00D252AD" w:rsidP="00D252AD">
      <w:pPr>
        <w:pStyle w:val="AllowPageBreak"/>
      </w:pPr>
    </w:p>
    <w:p w:rsidR="00000000" w:rsidRPr="00D252AD" w:rsidP="00D252AD">
      <w:pPr>
        <w:pStyle w:val="Heading1"/>
      </w:pPr>
      <w:bookmarkStart w:id="2" w:name="O_1185275"/>
      <w:bookmarkEnd w:id="2"/>
      <w:r w:rsidRPr="00D252AD">
        <w:t>Performance Evidence</w:t>
      </w:r>
    </w:p>
    <w:tbl>
      <w:tblPr>
        <w:tblW w:w="9497" w:type="dxa"/>
        <w:tblLayout w:type="fixed"/>
        <w:tblCellMar>
          <w:left w:w="62" w:type="dxa"/>
          <w:right w:w="62" w:type="dxa"/>
        </w:tblCellMar>
        <w:tblLook w:val="0000"/>
      </w:tblPr>
      <w:tblGrid>
        <w:gridCol w:w="9497"/>
      </w:tblGrid>
      <w:tr w:rsidTr="00D25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52AD">
            <w:pPr>
              <w:pStyle w:val="BodyText"/>
              <w:rPr>
                <w:lang w:val="en-NZ"/>
              </w:rPr>
            </w:pPr>
            <w:r w:rsidRPr="00D252AD">
              <w:t xml:space="preserve">Evidence required to demonstrate competence in this unit must be relevant to and satisfy all of the requirements of the elements, performance criteria and range of conditions on at </w:t>
            </w:r>
            <w:r w:rsidRPr="00D252AD">
              <w:t xml:space="preserve">least two separate occasions and include: </w:t>
            </w:r>
          </w:p>
        </w:tc>
      </w:tr>
      <w:tr w:rsidTr="00D25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2AD" w:rsidP="00D252AD">
            <w:pPr>
              <w:pStyle w:val="ListBullet"/>
            </w:pPr>
            <w:r w:rsidRPr="00D252AD">
              <w:t>applying measures to control work health and safety (WHS)/occupational health and safety (OHS) risks, including:</w:t>
            </w:r>
          </w:p>
          <w:p w:rsidR="00000000" w:rsidRPr="00D252AD" w:rsidP="00D252AD">
            <w:pPr>
              <w:pStyle w:val="ListBullet2"/>
            </w:pPr>
            <w:r w:rsidRPr="00D252AD">
              <w:t>identifying hazards by job analysis and/or work-site inspection</w:t>
            </w:r>
          </w:p>
          <w:p w:rsidR="00000000" w:rsidRPr="00D252AD" w:rsidP="00D252AD">
            <w:pPr>
              <w:pStyle w:val="ListBullet2"/>
            </w:pPr>
            <w:r w:rsidRPr="00D252AD">
              <w:t>documenting hazards</w:t>
            </w:r>
          </w:p>
          <w:p w:rsidR="00000000" w:rsidRPr="00D252AD" w:rsidP="00D252AD">
            <w:pPr>
              <w:pStyle w:val="ListBullet2"/>
            </w:pPr>
            <w:r w:rsidRPr="00D252AD">
              <w:t>determining risks associated with identified hazards</w:t>
            </w:r>
          </w:p>
          <w:p w:rsidR="00000000" w:rsidRPr="00D252AD" w:rsidP="00D252AD">
            <w:pPr>
              <w:pStyle w:val="ListBullet2"/>
            </w:pPr>
            <w:r w:rsidRPr="00D252AD">
              <w:t>determining the degree of risk in consultation with relevant person/s and in accordance with workplace requirements and documenting the level of risk</w:t>
            </w:r>
          </w:p>
          <w:p w:rsidR="00000000" w:rsidRPr="00D252AD" w:rsidP="00D252AD">
            <w:pPr>
              <w:pStyle w:val="ListBullet2"/>
            </w:pPr>
            <w:r w:rsidRPr="00D252AD">
              <w:t>working with a group to identify effective hazard con</w:t>
            </w:r>
            <w:r w:rsidRPr="00D252AD">
              <w:t>trol measures</w:t>
            </w:r>
          </w:p>
          <w:p w:rsidR="00000000" w:rsidRPr="00D252AD" w:rsidP="00D252AD">
            <w:pPr>
              <w:pStyle w:val="ListBullet2"/>
            </w:pPr>
            <w:r w:rsidRPr="00D252AD">
              <w:t>working with a group to modify and/or develop safe work methods</w:t>
            </w:r>
          </w:p>
          <w:p w:rsidR="00000000" w:rsidRPr="00D252AD" w:rsidP="00D252AD">
            <w:pPr>
              <w:pStyle w:val="ListBullet2"/>
            </w:pPr>
            <w:r w:rsidRPr="00D252AD">
              <w:t>utilising the hierarchy of control to develop reasonably practicable control measures to eliminate or control risk</w:t>
            </w:r>
          </w:p>
          <w:p w:rsidR="00000000" w:rsidRPr="00D252AD" w:rsidP="00D252AD">
            <w:pPr>
              <w:pStyle w:val="ListBullet2"/>
            </w:pPr>
            <w:r w:rsidRPr="00D252AD">
              <w:t>reassessing the level of risk and documenting the reassessed le</w:t>
            </w:r>
            <w:r w:rsidRPr="00D252AD">
              <w:t>vel of risk</w:t>
            </w:r>
          </w:p>
          <w:p w:rsidR="00000000" w:rsidRPr="00D252AD" w:rsidP="00D252AD">
            <w:pPr>
              <w:pStyle w:val="ListBullet2"/>
            </w:pPr>
            <w:r w:rsidRPr="00D252AD">
              <w:t>documenting control measures</w:t>
            </w:r>
          </w:p>
          <w:p w:rsidR="00000000" w:rsidRPr="00D252AD" w:rsidP="00D252AD">
            <w:pPr>
              <w:pStyle w:val="ListBullet2"/>
            </w:pPr>
            <w:r w:rsidRPr="00D252AD">
              <w:t>updating worksite risk register</w:t>
            </w:r>
          </w:p>
          <w:p w:rsidR="00000000" w:rsidRPr="00D252AD" w:rsidP="00D252AD">
            <w:pPr>
              <w:pStyle w:val="ListBullet2"/>
            </w:pPr>
            <w:r w:rsidRPr="00D252AD">
              <w:t>monitoring, reviewing relevant control measure documentation to ensure control measures remain valid</w:t>
            </w:r>
          </w:p>
          <w:p w:rsidR="00000000" w:rsidRPr="00D252AD" w:rsidP="00D252AD">
            <w:pPr>
              <w:pStyle w:val="ListBullet2"/>
            </w:pPr>
            <w:r w:rsidRPr="00D252AD">
              <w:t>reviewing job-specific and/or worksite processes to ensure control measures remain</w:t>
            </w:r>
            <w:r w:rsidRPr="00D252AD">
              <w:t xml:space="preserve"> valid</w:t>
            </w:r>
          </w:p>
          <w:p w:rsidR="00000000" w:rsidRPr="00D252AD" w:rsidP="00D252AD">
            <w:pPr>
              <w:pStyle w:val="ListBullet2"/>
            </w:pPr>
            <w:r w:rsidRPr="00D252AD">
              <w:t>identifying job-specific and/or worksite changes and modifying hazard, risk and control measure documentation</w:t>
            </w:r>
          </w:p>
          <w:p w:rsidR="00000000" w:rsidRPr="00D252AD" w:rsidP="00D252AD">
            <w:pPr>
              <w:pStyle w:val="ListBullet2"/>
            </w:pPr>
            <w:r w:rsidRPr="00D252AD">
              <w:t>following workplace requirements for filing control measure documentation</w:t>
            </w:r>
          </w:p>
          <w:p w:rsidR="00000000" w:rsidRPr="00D252AD" w:rsidP="00D252AD">
            <w:pPr>
              <w:pStyle w:val="ListBullet2"/>
            </w:pPr>
            <w:r w:rsidRPr="00D252AD">
              <w:t>identifying practical control measures for dealing with the hazar</w:t>
            </w:r>
            <w:r w:rsidRPr="00D252AD">
              <w:t>ds on a construction worksite</w:t>
            </w:r>
          </w:p>
          <w:p w:rsidR="00000000" w:rsidRPr="00D252AD" w:rsidP="00D252AD">
            <w:pPr>
              <w:pStyle w:val="ListBullet2"/>
            </w:pPr>
            <w:r w:rsidRPr="00D252AD">
              <w:t xml:space="preserve">identifying practical control measures for dealing with the hazards of low voltage (LV) </w:t>
            </w:r>
            <w:r w:rsidRPr="00D252AD">
              <w:t>equipment</w:t>
            </w:r>
          </w:p>
          <w:p w:rsidR="00000000" w:rsidRPr="00D252AD" w:rsidP="00D252AD">
            <w:pPr>
              <w:pStyle w:val="ListBullet2"/>
            </w:pPr>
            <w:r w:rsidRPr="00D252AD">
              <w:t>identifying practical control measures for dealing with the hazards of high voltage (HV).</w:t>
            </w:r>
          </w:p>
        </w:tc>
      </w:tr>
    </w:tbl>
    <w:p w:rsidR="00000000" w:rsidRPr="00D252AD" w:rsidP="00D252AD">
      <w:pPr>
        <w:pStyle w:val="NoPaddingFontSize1"/>
      </w:pPr>
    </w:p>
    <w:p w:rsidR="00000000" w:rsidRPr="00D252AD" w:rsidP="00D252AD">
      <w:pPr>
        <w:pStyle w:val="AllowPageBreak"/>
      </w:pPr>
    </w:p>
    <w:p w:rsidR="00000000" w:rsidRPr="00D252AD" w:rsidP="00D252AD">
      <w:pPr>
        <w:pStyle w:val="Heading1"/>
      </w:pPr>
      <w:bookmarkStart w:id="3" w:name="O_1185274"/>
      <w:bookmarkEnd w:id="3"/>
      <w:r w:rsidRPr="00D252AD">
        <w:t>Knowledge Evidence</w:t>
      </w:r>
    </w:p>
    <w:tbl>
      <w:tblPr>
        <w:tblW w:w="9497" w:type="dxa"/>
        <w:tblLayout w:type="fixed"/>
        <w:tblCellMar>
          <w:left w:w="62" w:type="dxa"/>
          <w:right w:w="62" w:type="dxa"/>
        </w:tblCellMar>
        <w:tblLook w:val="0000"/>
      </w:tblPr>
      <w:tblGrid>
        <w:gridCol w:w="9497"/>
      </w:tblGrid>
      <w:tr w:rsidTr="00D25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2AD" w:rsidP="00D252AD">
            <w:pPr>
              <w:pStyle w:val="BodyText"/>
            </w:pPr>
            <w:r w:rsidRPr="00D252AD">
              <w:t xml:space="preserve">Evidence required to demonstrate competence in this unit must be relevant to and satisfy all of the requirements of the elements, performance criteria and range of conditions and include knowledge of: </w:t>
            </w:r>
          </w:p>
          <w:p w:rsidR="00000000" w:rsidRPr="00D252AD" w:rsidP="00D252AD">
            <w:pPr>
              <w:pStyle w:val="ListBullet"/>
            </w:pPr>
            <w:r w:rsidRPr="00D252AD">
              <w:t xml:space="preserve">risk management and assessment of </w:t>
            </w:r>
            <w:r w:rsidRPr="00D252AD">
              <w:t>risks, including:</w:t>
            </w:r>
          </w:p>
          <w:p w:rsidR="00000000" w:rsidRPr="00D252AD" w:rsidP="00D252AD">
            <w:pPr>
              <w:pStyle w:val="ListBullet2"/>
            </w:pPr>
            <w:r w:rsidRPr="00D252AD">
              <w:t>principle and purpose of risk management</w:t>
            </w:r>
          </w:p>
          <w:p w:rsidR="00000000" w:rsidRPr="00D252AD" w:rsidP="00D252AD">
            <w:pPr>
              <w:pStyle w:val="ListBullet2"/>
            </w:pPr>
            <w:r w:rsidRPr="00D252AD">
              <w:t>processes for conducting a risk assessment</w:t>
            </w:r>
          </w:p>
          <w:p w:rsidR="00000000" w:rsidRPr="00D252AD" w:rsidP="00D252AD">
            <w:pPr>
              <w:pStyle w:val="ListBullet2"/>
            </w:pPr>
            <w:r w:rsidRPr="00D252AD">
              <w:t>hazard identification by job analysis and work-site inspection</w:t>
            </w:r>
          </w:p>
          <w:p w:rsidR="00000000" w:rsidRPr="00D252AD" w:rsidP="00D252AD">
            <w:pPr>
              <w:pStyle w:val="ListBullet2"/>
            </w:pPr>
            <w:r w:rsidRPr="00D252AD">
              <w:t>recording hazards and assessing risk</w:t>
            </w:r>
          </w:p>
          <w:p w:rsidR="00000000" w:rsidRPr="00D252AD" w:rsidP="00D252AD">
            <w:pPr>
              <w:pStyle w:val="ListBullet"/>
            </w:pPr>
            <w:r w:rsidRPr="00D252AD">
              <w:t>recognising and assigning a level of risk, including:</w:t>
            </w:r>
          </w:p>
          <w:p w:rsidR="00000000" w:rsidRPr="00D252AD" w:rsidP="00D252AD">
            <w:pPr>
              <w:pStyle w:val="ListBullet2"/>
            </w:pPr>
            <w:r w:rsidRPr="00D252AD">
              <w:t>high (potential to kill or permanent disability)</w:t>
            </w:r>
          </w:p>
          <w:p w:rsidR="00000000" w:rsidRPr="00D252AD" w:rsidP="00D252AD">
            <w:pPr>
              <w:pStyle w:val="ListBullet2"/>
            </w:pPr>
            <w:r w:rsidRPr="00D252AD">
              <w:t>medium (potential to cause an injury or illness of a permanent nature)</w:t>
            </w:r>
          </w:p>
          <w:p w:rsidR="00000000" w:rsidRPr="00D252AD" w:rsidP="00D252AD">
            <w:pPr>
              <w:pStyle w:val="ListBullet2"/>
            </w:pPr>
            <w:r w:rsidRPr="00D252AD">
              <w:t>low (potential to cause a minor injury requiring first aid but no permanent disab</w:t>
            </w:r>
            <w:r w:rsidRPr="00D252AD">
              <w:t>ility)</w:t>
            </w:r>
          </w:p>
          <w:p w:rsidR="00000000" w:rsidRPr="00D252AD" w:rsidP="00D252AD">
            <w:pPr>
              <w:pStyle w:val="ListBullet2"/>
            </w:pPr>
            <w:r w:rsidRPr="00D252AD">
              <w:t>the likelihood of an incident happening</w:t>
            </w:r>
          </w:p>
          <w:p w:rsidR="00000000" w:rsidRPr="00D252AD" w:rsidP="00D252AD">
            <w:pPr>
              <w:pStyle w:val="ListBullet2"/>
            </w:pPr>
            <w:r w:rsidRPr="00D252AD">
              <w:t>risk level matrix</w:t>
            </w:r>
          </w:p>
          <w:p w:rsidR="00000000" w:rsidRPr="00D252AD" w:rsidP="00D252AD">
            <w:pPr>
              <w:pStyle w:val="ListBullet"/>
            </w:pPr>
            <w:r w:rsidRPr="00D252AD">
              <w:t>identifying control measures to eliminate or control risk, including:</w:t>
            </w:r>
          </w:p>
          <w:p w:rsidR="00000000" w:rsidRPr="00D252AD" w:rsidP="00D252AD">
            <w:pPr>
              <w:pStyle w:val="ListBullet2"/>
            </w:pPr>
            <w:r w:rsidRPr="00D252AD">
              <w:t>hierarchy of control measures</w:t>
            </w:r>
          </w:p>
          <w:p w:rsidR="00000000" w:rsidRPr="00D252AD" w:rsidP="00D252AD">
            <w:pPr>
              <w:pStyle w:val="ListBullet2"/>
            </w:pPr>
            <w:r w:rsidRPr="00D252AD">
              <w:t>what constitutes a reasonably practicable control measure</w:t>
            </w:r>
          </w:p>
          <w:p w:rsidR="00000000" w:rsidRPr="00D252AD" w:rsidP="00D252AD">
            <w:pPr>
              <w:pStyle w:val="ListBullet2"/>
            </w:pPr>
            <w:r w:rsidRPr="00D252AD">
              <w:t>monitoring and reviewing proces</w:t>
            </w:r>
            <w:r w:rsidRPr="00D252AD">
              <w:t>ses to ensure control measures remain valid</w:t>
            </w:r>
          </w:p>
          <w:p w:rsidR="00000000" w:rsidRPr="00D252AD" w:rsidP="00D252AD">
            <w:pPr>
              <w:pStyle w:val="ListBullet"/>
            </w:pPr>
            <w:r w:rsidRPr="00D252AD">
              <w:t xml:space="preserve">control measure documentation, including: </w:t>
            </w:r>
          </w:p>
          <w:p w:rsidR="00000000" w:rsidRPr="00D252AD" w:rsidP="00D252AD">
            <w:pPr>
              <w:pStyle w:val="ListBullet2"/>
            </w:pPr>
            <w:r w:rsidRPr="00D252AD">
              <w:t>job safety analysis (JSAs)</w:t>
            </w:r>
          </w:p>
          <w:p w:rsidR="00000000" w:rsidRPr="00D252AD" w:rsidP="00D252AD">
            <w:pPr>
              <w:pStyle w:val="ListBullet2"/>
            </w:pPr>
            <w:r w:rsidRPr="00D252AD">
              <w:t>safe work method statements (SWMS)</w:t>
            </w:r>
          </w:p>
          <w:p w:rsidR="00000000" w:rsidRPr="00D252AD" w:rsidP="00D252AD">
            <w:pPr>
              <w:pStyle w:val="ListBullet2"/>
            </w:pPr>
            <w:r w:rsidRPr="00D252AD">
              <w:t>risk registers</w:t>
            </w:r>
          </w:p>
          <w:p w:rsidR="00000000" w:rsidRPr="00D252AD" w:rsidP="00D252AD">
            <w:pPr>
              <w:pStyle w:val="ListBullet2"/>
            </w:pPr>
            <w:r w:rsidRPr="00D252AD">
              <w:t>relevant industry standards</w:t>
            </w:r>
          </w:p>
          <w:p w:rsidR="00000000" w:rsidRPr="00D252AD" w:rsidP="00D252AD">
            <w:pPr>
              <w:pStyle w:val="ListBullet"/>
            </w:pPr>
            <w:r w:rsidRPr="00D252AD">
              <w:t>construction site hazards, risks and control measures, including:</w:t>
            </w:r>
          </w:p>
          <w:p w:rsidR="00000000" w:rsidRPr="00D252AD" w:rsidP="00D252AD">
            <w:pPr>
              <w:pStyle w:val="ListBullet2"/>
            </w:pPr>
            <w:r w:rsidRPr="00D252AD">
              <w:t>manual and mechanical handling</w:t>
            </w:r>
          </w:p>
          <w:p w:rsidR="00000000" w:rsidRPr="00D252AD" w:rsidP="00D252AD">
            <w:pPr>
              <w:pStyle w:val="ListBullet2"/>
            </w:pPr>
            <w:r w:rsidRPr="00D252AD">
              <w:t xml:space="preserve">noise, dusts, gases and chemicals </w:t>
            </w:r>
          </w:p>
          <w:p w:rsidR="00000000" w:rsidRPr="00D252AD" w:rsidP="00D252AD">
            <w:pPr>
              <w:pStyle w:val="ListBullet2"/>
            </w:pPr>
            <w:r w:rsidRPr="00D252AD">
              <w:t>working at heights</w:t>
            </w:r>
          </w:p>
          <w:p w:rsidR="00000000" w:rsidRPr="00D252AD" w:rsidP="00D252AD">
            <w:pPr>
              <w:pStyle w:val="ListBullet2"/>
            </w:pPr>
            <w:r w:rsidRPr="00D252AD">
              <w:t>working in confined spaces</w:t>
            </w:r>
          </w:p>
          <w:p w:rsidR="00000000" w:rsidRPr="00D252AD" w:rsidP="00D252AD">
            <w:pPr>
              <w:pStyle w:val="ListBullet2"/>
            </w:pPr>
            <w:r w:rsidRPr="00D252AD">
              <w:t>harmful airborne contaminants: fibres of thermal insulation, fibrous cement m</w:t>
            </w:r>
            <w:r w:rsidRPr="00D252AD">
              <w:t>aterials, asbestos, silica and other fibres in insulation materials</w:t>
            </w:r>
          </w:p>
          <w:p w:rsidR="00000000" w:rsidRPr="00D252AD" w:rsidP="00D252AD">
            <w:pPr>
              <w:pStyle w:val="ListBullet2"/>
            </w:pPr>
            <w:r w:rsidRPr="00D252AD">
              <w:t>harmful devices: laser equipped devices, gas torches and welding equipment</w:t>
            </w:r>
          </w:p>
          <w:p w:rsidR="00000000" w:rsidRPr="00D252AD" w:rsidP="00D252AD">
            <w:pPr>
              <w:pStyle w:val="ListBullet2"/>
            </w:pPr>
            <w:r w:rsidRPr="00D252AD">
              <w:t>harmful materials: gases including refrigerants, industrial cleaning agents, fibres of optical cable, thermal ins</w:t>
            </w:r>
            <w:r w:rsidRPr="00D252AD">
              <w:t>ulation, glues and other setting agents</w:t>
            </w:r>
          </w:p>
          <w:p w:rsidR="00000000" w:rsidRPr="00D252AD" w:rsidP="00D252AD">
            <w:pPr>
              <w:pStyle w:val="ListBullet"/>
            </w:pPr>
            <w:r w:rsidRPr="00D252AD">
              <w:t>hazards, risks and control measures associated with HV, including:</w:t>
            </w:r>
          </w:p>
          <w:p w:rsidR="00000000" w:rsidRPr="00D252AD" w:rsidP="00D252AD">
            <w:pPr>
              <w:pStyle w:val="ListBullet2"/>
            </w:pPr>
            <w:r w:rsidRPr="00D252AD">
              <w:t>control measures used for dealing with the hazards of HV</w:t>
            </w:r>
          </w:p>
          <w:p w:rsidR="00000000" w:rsidRPr="00D252AD" w:rsidP="00D252AD">
            <w:pPr>
              <w:pStyle w:val="ListBullet2"/>
            </w:pPr>
            <w:r w:rsidRPr="00D252AD">
              <w:t xml:space="preserve">parts of an electrical system and equipment where HV is likely </w:t>
            </w:r>
          </w:p>
          <w:p w:rsidR="00000000" w:rsidRPr="00D252AD" w:rsidP="00D252AD">
            <w:pPr>
              <w:pStyle w:val="ListBullet2"/>
            </w:pPr>
            <w:r w:rsidRPr="00D252AD">
              <w:t>the terms ‘touch voltage’</w:t>
            </w:r>
            <w:r w:rsidRPr="00D252AD">
              <w:t>, ‘step voltage’, ‘induced voltage’, ‘stored energy’ and ‘creepage’ as they relate to the hazards of HV</w:t>
            </w:r>
          </w:p>
          <w:p w:rsidR="00000000" w:rsidRPr="00D252AD" w:rsidP="00D252AD">
            <w:pPr>
              <w:pStyle w:val="ListBullet2"/>
            </w:pPr>
            <w:r w:rsidRPr="00D252AD">
              <w:t>Australian and New Zealand Standards (AS/NZS) requirements for safety services and issues related to HV installations</w:t>
            </w:r>
          </w:p>
          <w:p w:rsidR="00000000" w:rsidRPr="00D252AD" w:rsidP="00D252AD">
            <w:pPr>
              <w:pStyle w:val="ListBullet2"/>
            </w:pPr>
            <w:r w:rsidRPr="00D252AD">
              <w:t>consultation and the requirement f</w:t>
            </w:r>
            <w:r w:rsidRPr="00D252AD">
              <w:t>or the use of authorised personnel for undertaking isolations, maintenance and reporting of faults (including permit requirements)</w:t>
            </w:r>
          </w:p>
          <w:p w:rsidR="00000000" w:rsidRPr="00D252AD" w:rsidP="00D252AD">
            <w:pPr>
              <w:pStyle w:val="ListBullet"/>
            </w:pPr>
            <w:r w:rsidRPr="00D252AD">
              <w:t>hazards, risks and control measures associated with LV equipment, including:</w:t>
            </w:r>
          </w:p>
          <w:p w:rsidR="00000000" w:rsidRPr="00D252AD" w:rsidP="00D252AD">
            <w:pPr>
              <w:pStyle w:val="ListBullet2"/>
            </w:pPr>
            <w:r w:rsidRPr="00D252AD">
              <w:t>risks in modifying electrical installations, f</w:t>
            </w:r>
            <w:r w:rsidRPr="00D252AD">
              <w:t>ault finding, maintenance and repair</w:t>
            </w:r>
          </w:p>
          <w:p w:rsidR="00000000" w:rsidRPr="00D252AD" w:rsidP="00D252AD">
            <w:pPr>
              <w:pStyle w:val="ListBullet2"/>
            </w:pPr>
            <w:r w:rsidRPr="00D252AD">
              <w:t>control measures before, while and after working on electrical installations, circuits and equipment</w:t>
            </w:r>
          </w:p>
          <w:p w:rsidR="00000000" w:rsidRPr="00D252AD" w:rsidP="00D252AD">
            <w:pPr>
              <w:pStyle w:val="ListBullet2"/>
            </w:pPr>
            <w:r w:rsidRPr="00D252AD">
              <w:t>isolation and tagging-off procedures</w:t>
            </w:r>
          </w:p>
          <w:p w:rsidR="00000000" w:rsidRPr="00D252AD" w:rsidP="00D252AD">
            <w:pPr>
              <w:pStyle w:val="ListBullet2"/>
            </w:pPr>
            <w:r w:rsidRPr="00D252AD">
              <w:t>risks, restrictions and control measures for working live</w:t>
            </w:r>
          </w:p>
          <w:p w:rsidR="00000000" w:rsidRPr="00D252AD" w:rsidP="00D252AD">
            <w:pPr>
              <w:pStyle w:val="ListBullet2"/>
            </w:pPr>
            <w:r w:rsidRPr="00D252AD">
              <w:t xml:space="preserve">alternate supplies </w:t>
            </w:r>
          </w:p>
          <w:p w:rsidR="00000000" w:rsidRPr="00D252AD" w:rsidP="00D252AD">
            <w:pPr>
              <w:pStyle w:val="ListBullet"/>
            </w:pPr>
            <w:r w:rsidRPr="00D252AD">
              <w:t>ha</w:t>
            </w:r>
            <w:r w:rsidRPr="00D252AD">
              <w:t>zards associated with extra-low voltage (ELV), LV and high currents, including:</w:t>
            </w:r>
          </w:p>
          <w:p w:rsidR="00000000" w:rsidRPr="00D252AD" w:rsidP="00D252AD">
            <w:pPr>
              <w:pStyle w:val="ListBullet2"/>
            </w:pPr>
            <w:r w:rsidRPr="00D252AD">
              <w:t>arrangement of power distribution and circuits in electrical installations</w:t>
            </w:r>
          </w:p>
          <w:p w:rsidR="00000000" w:rsidRPr="00D252AD" w:rsidP="00D252AD">
            <w:pPr>
              <w:pStyle w:val="ListBullet2"/>
            </w:pPr>
            <w:r w:rsidRPr="00D252AD">
              <w:t>parts of an electrical system and equipment that operate at LV and ELV, and, where high currents are</w:t>
            </w:r>
            <w:r w:rsidRPr="00D252AD">
              <w:t xml:space="preserve"> likely</w:t>
            </w:r>
          </w:p>
          <w:p w:rsidR="00000000" w:rsidRPr="00D252AD" w:rsidP="00D252AD">
            <w:pPr>
              <w:pStyle w:val="ListBullet"/>
            </w:pPr>
            <w:r w:rsidRPr="00D252AD">
              <w:t>hazards, risks and control measures associated with disconnecting and reconnecting electrical equipment, including:</w:t>
            </w:r>
          </w:p>
          <w:p w:rsidR="00000000" w:rsidRPr="00D252AD" w:rsidP="00D252AD">
            <w:pPr>
              <w:pStyle w:val="ListBullet2"/>
            </w:pPr>
            <w:r w:rsidRPr="00D252AD">
              <w:t>isolation and tagging-off procedures</w:t>
            </w:r>
          </w:p>
          <w:p w:rsidR="00000000" w:rsidRPr="00D252AD" w:rsidP="00D252AD">
            <w:pPr>
              <w:pStyle w:val="ListBullet2"/>
            </w:pPr>
            <w:r w:rsidRPr="00D252AD">
              <w:t>alternate supplies (back-up supply and changeover switches).</w:t>
            </w:r>
          </w:p>
        </w:tc>
      </w:tr>
    </w:tbl>
    <w:p w:rsidR="00000000" w:rsidRPr="00D252AD" w:rsidP="00D252AD">
      <w:pPr>
        <w:pStyle w:val="NoPaddingFontSize1"/>
      </w:pPr>
    </w:p>
    <w:p w:rsidR="00000000" w:rsidRPr="00D252AD" w:rsidP="00D252AD">
      <w:pPr>
        <w:pStyle w:val="AllowPageBreak"/>
      </w:pPr>
    </w:p>
    <w:p w:rsidR="00000000" w:rsidRPr="00D252AD" w:rsidP="00D252AD">
      <w:pPr>
        <w:pStyle w:val="Heading1"/>
      </w:pPr>
      <w:bookmarkStart w:id="4" w:name="O_1185273"/>
      <w:bookmarkEnd w:id="4"/>
      <w:r w:rsidRPr="00D252AD">
        <w:t>Assessment Conditions</w:t>
      </w:r>
    </w:p>
    <w:tbl>
      <w:tblPr>
        <w:tblW w:w="9497" w:type="dxa"/>
        <w:tblLayout w:type="fixed"/>
        <w:tblCellMar>
          <w:left w:w="62" w:type="dxa"/>
          <w:right w:w="62" w:type="dxa"/>
        </w:tblCellMar>
        <w:tblLook w:val="0000"/>
      </w:tblPr>
      <w:tblGrid>
        <w:gridCol w:w="9497"/>
      </w:tblGrid>
      <w:tr w:rsidTr="00D25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2AD" w:rsidP="00D252AD">
            <w:pPr>
              <w:pStyle w:val="BodyText"/>
            </w:pPr>
            <w:r w:rsidRPr="00D252AD">
              <w:t>Assessors must hold credentials specified within the Standards for Registered Training Organisations current at the time of assessment.</w:t>
            </w:r>
          </w:p>
          <w:p w:rsidR="00000000" w:rsidRPr="00D252AD" w:rsidP="00D252AD">
            <w:pPr>
              <w:pStyle w:val="BodyText"/>
            </w:pPr>
            <w:r w:rsidRPr="00D252AD">
              <w:t>Assessment must satisfy the Principles of Assessment and Rules of Evidence and all regulatory requ</w:t>
            </w:r>
            <w:r w:rsidRPr="00D252AD">
              <w:t>irements included within the Standards for Registered Training Organisations current at the time of assessment.</w:t>
            </w:r>
          </w:p>
          <w:p w:rsidR="00000000" w:rsidRPr="00D252AD" w:rsidP="00D252AD">
            <w:pPr>
              <w:pStyle w:val="BodyText"/>
            </w:pPr>
            <w:r w:rsidRPr="00D252AD">
              <w:t>Assessment must occur in workplace operational situations where it is appropriate to do so; where this is not appropriate, assessment must occur</w:t>
            </w:r>
            <w:r w:rsidRPr="00D252AD">
              <w:t xml:space="preserve"> in simulated workplace operational situations that replicate workplace conditions.</w:t>
            </w:r>
          </w:p>
          <w:p w:rsidR="00000000" w:rsidRPr="00D252AD" w:rsidP="00D252AD">
            <w:pPr>
              <w:pStyle w:val="BodyText"/>
            </w:pPr>
            <w:r w:rsidRPr="00D252AD">
              <w:t>Assessment processes and techniques must be appropriate to the language, literacy and numeracy requirements of the work being performed and the needs of the candidate.</w:t>
            </w:r>
          </w:p>
          <w:p w:rsidR="00000000" w:rsidRPr="00D252AD" w:rsidP="00D252AD">
            <w:pPr>
              <w:pStyle w:val="BodyText"/>
            </w:pPr>
            <w:r w:rsidRPr="00D252AD">
              <w:t>Reso</w:t>
            </w:r>
            <w:r w:rsidRPr="00D252AD">
              <w:t>urces for assessment must include access to:</w:t>
            </w:r>
          </w:p>
          <w:p w:rsidR="00000000" w:rsidRPr="00D252AD" w:rsidP="00D252AD">
            <w:pPr>
              <w:pStyle w:val="ListBullet"/>
            </w:pPr>
            <w:r w:rsidRPr="00D252AD">
              <w:t>a range of relevant exercises, case studies and/or other simulations</w:t>
            </w:r>
          </w:p>
          <w:p w:rsidR="00000000" w:rsidRPr="00D252AD" w:rsidP="00D252AD">
            <w:pPr>
              <w:pStyle w:val="ListBullet"/>
            </w:pPr>
            <w:r w:rsidRPr="00D252AD">
              <w:t xml:space="preserve">relevant and appropriate materials, tools, equipment and personal protective equipment (PPE) currently used in industry </w:t>
            </w:r>
          </w:p>
          <w:p w:rsidR="00000000" w:rsidRPr="00D252AD" w:rsidP="00D252AD">
            <w:pPr>
              <w:pStyle w:val="ListBullet"/>
            </w:pPr>
            <w:r w:rsidRPr="00D252AD">
              <w:t>applicable documentation, including workplace procedures, equipment specifications, regulations, codes of practice and operation manuals.</w:t>
            </w:r>
          </w:p>
        </w:tc>
      </w:tr>
    </w:tbl>
    <w:p w:rsidR="00000000" w:rsidRPr="00D252AD" w:rsidP="00D252AD">
      <w:pPr>
        <w:pStyle w:val="NoPaddingFontSize1"/>
      </w:pPr>
    </w:p>
    <w:p w:rsidR="00000000" w:rsidRPr="00D252AD" w:rsidP="00D252AD">
      <w:pPr>
        <w:pStyle w:val="AllowPageBreak"/>
      </w:pPr>
    </w:p>
    <w:p w:rsidR="00000000" w:rsidRPr="00D252AD" w:rsidP="00D252AD">
      <w:pPr>
        <w:pStyle w:val="Heading1"/>
      </w:pPr>
      <w:bookmarkStart w:id="5" w:name="O_1185288"/>
      <w:bookmarkEnd w:id="5"/>
      <w:r w:rsidRPr="00D252AD">
        <w:t>Links</w:t>
      </w:r>
    </w:p>
    <w:p w:rsidR="00000000" w:rsidRPr="00D252AD" w:rsidP="009520EC">
      <w:pPr>
        <w:pStyle w:val="BodyText"/>
      </w:pPr>
      <w:r w:rsidRPr="00D252A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A759F">
        <w:rPr>
          <w:rStyle w:val="Hyperlink"/>
        </w:rPr>
        <w:t>https://vetnet.gov.au/Pages/TrainingDocs.aspx?q=b8a8f136-5421-4ce1-92e0-2b50341431b6</w:t>
      </w:r>
      <w:r>
        <w:fldChar w:fldCharType="end"/>
      </w:r>
    </w:p>
    <w:p w:rsidR="00000000" w:rsidRPr="00D252AD" w:rsidP="00D252AD"/>
    <w:sectPr w:rsidSect="00D252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AD" w:rsidRPr="009520EC" w:rsidP="00952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EC" w:rsidP="00D25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20EC" w:rsidP="00D252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520EC" w:rsidP="00D25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2AD" w:rsidRPr="009520EC" w:rsidP="00952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EC" w:rsidRPr="002D2AF8" w:rsidP="00D252AD">
    <w:pPr>
      <w:pStyle w:val="Header"/>
      <w:framePr w:wrap="around"/>
    </w:pPr>
    <w:r>
      <w:fldChar w:fldCharType="begin"/>
    </w:r>
    <w:r>
      <w:instrText xml:space="preserve"> TITLE   \* MERGEFORMAT </w:instrText>
    </w:r>
    <w:r>
      <w:fldChar w:fldCharType="separate"/>
    </w:r>
    <w:r>
      <w:t>Assessment Requirements for UEECD0016 Document and apply measures to control WHS risks associated with electrotechnology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520EC" w:rsidP="00D25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4EB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C4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AA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2AD"/>
    <w:pPr>
      <w:spacing w:before="360" w:after="60"/>
      <w:outlineLvl w:val="0"/>
    </w:pPr>
    <w:rPr>
      <w:sz w:val="32"/>
    </w:rPr>
  </w:style>
  <w:style w:type="paragraph" w:styleId="Heading2">
    <w:name w:val="heading 2"/>
    <w:basedOn w:val="HeadingBase"/>
    <w:next w:val="BodyText"/>
    <w:link w:val="Heading2Char"/>
    <w:qFormat/>
    <w:rsid w:val="00D252AD"/>
    <w:pPr>
      <w:keepLines/>
      <w:spacing w:before="240" w:after="120"/>
      <w:outlineLvl w:val="1"/>
    </w:pPr>
    <w:rPr>
      <w:sz w:val="28"/>
      <w:szCs w:val="40"/>
    </w:rPr>
  </w:style>
  <w:style w:type="paragraph" w:styleId="Heading3">
    <w:name w:val="heading 3"/>
    <w:basedOn w:val="HeadingBase"/>
    <w:next w:val="BodyText"/>
    <w:link w:val="Heading3Char"/>
    <w:qFormat/>
    <w:rsid w:val="00D252AD"/>
    <w:pPr>
      <w:spacing w:before="180" w:after="120"/>
      <w:outlineLvl w:val="2"/>
    </w:pPr>
    <w:rPr>
      <w:spacing w:val="-10"/>
      <w:kern w:val="32"/>
    </w:rPr>
  </w:style>
  <w:style w:type="paragraph" w:styleId="Heading4">
    <w:name w:val="heading 4"/>
    <w:basedOn w:val="HeadingBase"/>
    <w:next w:val="BodyText"/>
    <w:link w:val="Heading4Char"/>
    <w:qFormat/>
    <w:rsid w:val="00D252AD"/>
    <w:pPr>
      <w:spacing w:before="160" w:after="120"/>
      <w:outlineLvl w:val="3"/>
    </w:pPr>
    <w:rPr>
      <w:sz w:val="22"/>
    </w:rPr>
  </w:style>
  <w:style w:type="paragraph" w:styleId="Heading5">
    <w:name w:val="heading 5"/>
    <w:basedOn w:val="HeadingBase"/>
    <w:next w:val="Normal"/>
    <w:link w:val="Heading5Char"/>
    <w:qFormat/>
    <w:rsid w:val="00D252AD"/>
    <w:pPr>
      <w:spacing w:before="80"/>
      <w:outlineLvl w:val="4"/>
    </w:pPr>
    <w:rPr>
      <w:color w:val="918585"/>
      <w:sz w:val="20"/>
    </w:rPr>
  </w:style>
  <w:style w:type="paragraph" w:styleId="Heading6">
    <w:name w:val="heading 6"/>
    <w:basedOn w:val="HeadingBase"/>
    <w:next w:val="Normal"/>
    <w:link w:val="Heading6Char"/>
    <w:qFormat/>
    <w:rsid w:val="00D252AD"/>
    <w:pPr>
      <w:spacing w:before="60"/>
      <w:outlineLvl w:val="5"/>
    </w:pPr>
    <w:rPr>
      <w:color w:val="918585"/>
      <w:sz w:val="20"/>
    </w:rPr>
  </w:style>
  <w:style w:type="paragraph" w:styleId="Heading7">
    <w:name w:val="heading 7"/>
    <w:basedOn w:val="Normal"/>
    <w:next w:val="Normal"/>
    <w:link w:val="Heading7Char"/>
    <w:qFormat/>
    <w:rsid w:val="00D252AD"/>
    <w:pPr>
      <w:ind w:left="720"/>
      <w:outlineLvl w:val="6"/>
    </w:pPr>
    <w:rPr>
      <w:i/>
    </w:rPr>
  </w:style>
  <w:style w:type="paragraph" w:styleId="Heading8">
    <w:name w:val="heading 8"/>
    <w:basedOn w:val="Normal"/>
    <w:next w:val="Normal"/>
    <w:link w:val="Heading8Char"/>
    <w:qFormat/>
    <w:rsid w:val="00D252AD"/>
    <w:pPr>
      <w:ind w:left="720"/>
      <w:outlineLvl w:val="7"/>
    </w:pPr>
    <w:rPr>
      <w:i/>
    </w:rPr>
  </w:style>
  <w:style w:type="paragraph" w:styleId="Heading9">
    <w:name w:val="heading 9"/>
    <w:basedOn w:val="Normal"/>
    <w:next w:val="Normal"/>
    <w:link w:val="Heading9Char"/>
    <w:qFormat/>
    <w:rsid w:val="00D252AD"/>
    <w:pPr>
      <w:ind w:left="720"/>
      <w:outlineLvl w:val="8"/>
    </w:pPr>
    <w:rPr>
      <w:i/>
    </w:rPr>
  </w:style>
  <w:style w:type="character" w:default="1" w:styleId="DefaultParagraphFont">
    <w:name w:val="Default Paragraph Font"/>
    <w:uiPriority w:val="1"/>
    <w:unhideWhenUsed/>
    <w:rsid w:val="00D25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2AD"/>
  </w:style>
  <w:style w:type="character" w:customStyle="1" w:styleId="Heading1Char">
    <w:name w:val="Heading 1 Char"/>
    <w:basedOn w:val="DefaultParagraphFont"/>
    <w:link w:val="Heading1"/>
    <w:rsid w:val="00D252AD"/>
    <w:rPr>
      <w:rFonts w:ascii="Times New Roman" w:eastAsia="Times New Roman" w:hAnsi="Times New Roman" w:cs="Times New Roman"/>
      <w:b/>
      <w:sz w:val="32"/>
      <w:szCs w:val="20"/>
      <w:lang w:eastAsia="en-US"/>
    </w:rPr>
  </w:style>
  <w:style w:type="paragraph" w:styleId="BodyText">
    <w:name w:val="Body Text"/>
    <w:basedOn w:val="Normal"/>
    <w:link w:val="BodyTextChar"/>
    <w:rsid w:val="00D25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2AD"/>
    <w:rPr>
      <w:rFonts w:ascii="Times New Roman" w:eastAsia="Times New Roman" w:hAnsi="Times New Roman" w:cs="Times New Roman"/>
      <w:sz w:val="24"/>
      <w:lang w:eastAsia="en-US"/>
    </w:rPr>
  </w:style>
  <w:style w:type="paragraph" w:styleId="ListBullet">
    <w:name w:val="List Bullet"/>
    <w:basedOn w:val="List"/>
    <w:rsid w:val="00D252AD"/>
    <w:pPr>
      <w:numPr>
        <w:numId w:val="12"/>
      </w:numPr>
      <w:tabs>
        <w:tab w:val="clear" w:pos="340"/>
      </w:tabs>
      <w:spacing w:before="40" w:after="40"/>
    </w:pPr>
  </w:style>
  <w:style w:type="paragraph" w:styleId="ListBullet2">
    <w:name w:val="List Bullet 2"/>
    <w:basedOn w:val="List2"/>
    <w:rsid w:val="00D252AD"/>
    <w:pPr>
      <w:numPr>
        <w:numId w:val="13"/>
      </w:numPr>
      <w:tabs>
        <w:tab w:val="clear" w:pos="680"/>
      </w:tabs>
    </w:pPr>
  </w:style>
  <w:style w:type="paragraph" w:customStyle="1" w:styleId="SuperHeading">
    <w:name w:val="SuperHeading"/>
    <w:basedOn w:val="Normal"/>
    <w:rsid w:val="00D252AD"/>
    <w:pPr>
      <w:spacing w:before="240" w:after="120"/>
      <w:outlineLvl w:val="0"/>
    </w:pPr>
    <w:rPr>
      <w:rFonts w:ascii="Times New Roman" w:hAnsi="Times New Roman"/>
      <w:b/>
      <w:sz w:val="32"/>
    </w:rPr>
  </w:style>
  <w:style w:type="paragraph" w:customStyle="1" w:styleId="AllowPageBreak">
    <w:name w:val="AllowPageBreak"/>
    <w:rsid w:val="00D252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5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2AD"/>
    <w:rPr>
      <w:rFonts w:ascii="Courier New" w:eastAsia="Times New Roman" w:hAnsi="Courier New" w:cs="Times New Roman"/>
      <w:i/>
      <w:szCs w:val="20"/>
      <w:lang w:eastAsia="en-US"/>
    </w:rPr>
  </w:style>
  <w:style w:type="paragraph" w:customStyle="1" w:styleId="HeadingBase">
    <w:name w:val="Heading Base"/>
    <w:rsid w:val="00D25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2AD"/>
    <w:pPr>
      <w:tabs>
        <w:tab w:val="right" w:leader="dot" w:pos="9072"/>
      </w:tabs>
      <w:ind w:left="567"/>
    </w:pPr>
    <w:rPr>
      <w:szCs w:val="22"/>
    </w:rPr>
  </w:style>
  <w:style w:type="paragraph" w:customStyle="1" w:styleId="TOCBase">
    <w:name w:val="TOC Base"/>
    <w:rsid w:val="00D25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2AD"/>
    <w:pPr>
      <w:tabs>
        <w:tab w:val="right" w:leader="dot" w:pos="9072"/>
      </w:tabs>
      <w:spacing w:before="40" w:after="40"/>
      <w:ind w:left="284"/>
    </w:pPr>
    <w:rPr>
      <w:rFonts w:ascii="Times New Roman" w:hAnsi="Times New Roman"/>
    </w:rPr>
  </w:style>
  <w:style w:type="paragraph" w:styleId="TOC1">
    <w:name w:val="toc 1"/>
    <w:basedOn w:val="TOCBase"/>
    <w:next w:val="Normal"/>
    <w:rsid w:val="00D25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2AD"/>
    <w:rPr>
      <w:rFonts w:ascii="Times New Roman" w:eastAsia="Times New Roman" w:hAnsi="Times New Roman" w:cs="Times New Roman"/>
      <w:sz w:val="16"/>
      <w:lang w:eastAsia="en-US"/>
    </w:rPr>
  </w:style>
  <w:style w:type="paragraph" w:styleId="Title">
    <w:name w:val="Title"/>
    <w:basedOn w:val="HeadingBase"/>
    <w:link w:val="TitleChar"/>
    <w:qFormat/>
    <w:rsid w:val="00D252AD"/>
    <w:pPr>
      <w:spacing w:before="5040"/>
      <w:jc w:val="center"/>
    </w:pPr>
    <w:rPr>
      <w:sz w:val="48"/>
      <w:szCs w:val="72"/>
      <w:lang w:val="en-US"/>
    </w:rPr>
  </w:style>
  <w:style w:type="character" w:customStyle="1" w:styleId="TitleChar">
    <w:name w:val="Title Char"/>
    <w:basedOn w:val="DefaultParagraphFont"/>
    <w:link w:val="Title"/>
    <w:rsid w:val="00D25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2AD"/>
    <w:pPr>
      <w:tabs>
        <w:tab w:val="left" w:pos="3600"/>
        <w:tab w:val="left" w:pos="3958"/>
      </w:tabs>
    </w:pPr>
  </w:style>
  <w:style w:type="paragraph" w:styleId="List">
    <w:name w:val="List"/>
    <w:basedOn w:val="BodyText"/>
    <w:next w:val="BodyText"/>
    <w:rsid w:val="00D252AD"/>
    <w:pPr>
      <w:tabs>
        <w:tab w:val="left" w:pos="340"/>
      </w:tabs>
      <w:spacing w:before="60" w:after="60"/>
      <w:ind w:left="340" w:hanging="340"/>
    </w:pPr>
  </w:style>
  <w:style w:type="paragraph" w:customStyle="1" w:styleId="Note">
    <w:name w:val="Note"/>
    <w:basedOn w:val="BodyText"/>
    <w:rsid w:val="00D252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52AD"/>
    <w:rPr>
      <w:b/>
      <w:spacing w:val="0"/>
    </w:rPr>
  </w:style>
  <w:style w:type="paragraph" w:customStyle="1" w:styleId="SuperTitle">
    <w:name w:val="SuperTitle"/>
    <w:basedOn w:val="Title"/>
    <w:rsid w:val="00D252AD"/>
    <w:pPr>
      <w:framePr w:wrap="auto" w:hAnchor="text" w:y="6049"/>
    </w:pPr>
    <w:rPr>
      <w:color w:val="000000"/>
      <w:sz w:val="40"/>
    </w:rPr>
  </w:style>
  <w:style w:type="paragraph" w:customStyle="1" w:styleId="TOCTitle">
    <w:name w:val="TOCTitle"/>
    <w:basedOn w:val="Heading1"/>
    <w:rsid w:val="00D252AD"/>
    <w:pPr>
      <w:spacing w:after="240"/>
      <w:jc w:val="center"/>
      <w:outlineLvl w:val="9"/>
    </w:pPr>
    <w:rPr>
      <w:caps/>
    </w:rPr>
  </w:style>
  <w:style w:type="paragraph" w:customStyle="1" w:styleId="Version">
    <w:name w:val="Version"/>
    <w:rsid w:val="00D25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2AD"/>
    <w:pPr>
      <w:keepNext w:val="0"/>
      <w:tabs>
        <w:tab w:val="right" w:pos="4176"/>
      </w:tabs>
      <w:ind w:left="198" w:hanging="198"/>
    </w:pPr>
    <w:rPr>
      <w:rFonts w:ascii="Garamond" w:hAnsi="Garamond"/>
    </w:rPr>
  </w:style>
  <w:style w:type="paragraph" w:styleId="IndexHeading">
    <w:name w:val="index heading"/>
    <w:basedOn w:val="Normal"/>
    <w:next w:val="Index1"/>
    <w:semiHidden/>
    <w:rsid w:val="00D252AD"/>
    <w:pPr>
      <w:spacing w:before="120" w:after="120"/>
    </w:pPr>
    <w:rPr>
      <w:rFonts w:ascii="Arial" w:hAnsi="Arial"/>
      <w:b/>
      <w:color w:val="918585"/>
      <w:sz w:val="24"/>
    </w:rPr>
  </w:style>
  <w:style w:type="paragraph" w:styleId="Header">
    <w:name w:val="header"/>
    <w:basedOn w:val="Normal"/>
    <w:link w:val="HeaderChar"/>
    <w:rsid w:val="00D25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2AD"/>
    <w:rPr>
      <w:rFonts w:ascii="Times New Roman" w:eastAsia="Times New Roman" w:hAnsi="Times New Roman" w:cs="Times New Roman"/>
      <w:sz w:val="16"/>
      <w:szCs w:val="20"/>
      <w:lang w:val="en-GB" w:eastAsia="en-US"/>
    </w:rPr>
  </w:style>
  <w:style w:type="paragraph" w:customStyle="1" w:styleId="Chapter">
    <w:name w:val="Chapter"/>
    <w:basedOn w:val="Normal"/>
    <w:rsid w:val="00D252AD"/>
    <w:pPr>
      <w:spacing w:before="240"/>
    </w:pPr>
    <w:rPr>
      <w:rFonts w:ascii="Times New Roman" w:hAnsi="Times New Roman"/>
      <w:smallCaps/>
      <w:spacing w:val="80"/>
      <w:sz w:val="28"/>
    </w:rPr>
  </w:style>
  <w:style w:type="paragraph" w:customStyle="1" w:styleId="InChapter">
    <w:name w:val="InChapter"/>
    <w:basedOn w:val="Heading3"/>
    <w:rsid w:val="00D252AD"/>
    <w:pPr>
      <w:spacing w:after="240"/>
      <w:outlineLvl w:val="9"/>
    </w:pPr>
    <w:rPr>
      <w:noProof/>
    </w:rPr>
  </w:style>
  <w:style w:type="paragraph" w:styleId="Index2">
    <w:name w:val="index 2"/>
    <w:basedOn w:val="Normal"/>
    <w:next w:val="Normal"/>
    <w:semiHidden/>
    <w:rsid w:val="00D252AD"/>
    <w:pPr>
      <w:tabs>
        <w:tab w:val="right" w:pos="4176"/>
      </w:tabs>
      <w:ind w:left="568" w:hanging="284"/>
    </w:pPr>
    <w:rPr>
      <w:rFonts w:ascii="Garamond" w:hAnsi="Garamond"/>
    </w:rPr>
  </w:style>
  <w:style w:type="paragraph" w:customStyle="1" w:styleId="Byline">
    <w:name w:val="Byline"/>
    <w:rsid w:val="00D25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2AD"/>
    <w:pPr>
      <w:tabs>
        <w:tab w:val="clear" w:pos="3600"/>
        <w:tab w:val="clear" w:pos="3958"/>
      </w:tabs>
      <w:jc w:val="right"/>
    </w:pPr>
  </w:style>
  <w:style w:type="character" w:styleId="Emphasis">
    <w:name w:val="Emphasis"/>
    <w:basedOn w:val="DefaultParagraphFont"/>
    <w:qFormat/>
    <w:rsid w:val="00D252AD"/>
    <w:rPr>
      <w:i/>
    </w:rPr>
  </w:style>
  <w:style w:type="paragraph" w:styleId="Caption">
    <w:name w:val="caption"/>
    <w:basedOn w:val="BodyText"/>
    <w:next w:val="Normal"/>
    <w:qFormat/>
    <w:rsid w:val="00D252AD"/>
    <w:pPr>
      <w:framePr w:w="2268" w:hSpace="181" w:vSpace="181" w:wrap="around" w:vAnchor="text" w:hAnchor="page" w:x="1135" w:y="285" w:anchorLock="1"/>
    </w:pPr>
    <w:rPr>
      <w:i/>
    </w:rPr>
  </w:style>
  <w:style w:type="paragraph" w:customStyle="1" w:styleId="MiniTOCTitle">
    <w:name w:val="MiniTOCTitle"/>
    <w:basedOn w:val="Heading4"/>
    <w:rsid w:val="00D252AD"/>
    <w:pPr>
      <w:spacing w:before="240"/>
      <w:outlineLvl w:val="9"/>
    </w:pPr>
    <w:rPr>
      <w:noProof/>
      <w:sz w:val="24"/>
    </w:rPr>
  </w:style>
  <w:style w:type="paragraph" w:customStyle="1" w:styleId="MiniTOCItem">
    <w:name w:val="MiniTOCItem"/>
    <w:basedOn w:val="ListBullet"/>
    <w:rsid w:val="00D252AD"/>
    <w:pPr>
      <w:numPr>
        <w:numId w:val="0"/>
      </w:numPr>
      <w:tabs>
        <w:tab w:val="right" w:leader="dot" w:pos="6521"/>
      </w:tabs>
      <w:spacing w:before="0" w:after="0"/>
    </w:pPr>
  </w:style>
  <w:style w:type="paragraph" w:customStyle="1" w:styleId="TOFTitle">
    <w:name w:val="TOFTitle"/>
    <w:basedOn w:val="TOCTitle"/>
    <w:rsid w:val="00D252AD"/>
  </w:style>
  <w:style w:type="paragraph" w:styleId="TableofFigures">
    <w:name w:val="table of figures"/>
    <w:basedOn w:val="Normal"/>
    <w:next w:val="Normal"/>
    <w:semiHidden/>
    <w:rsid w:val="00D252AD"/>
    <w:pPr>
      <w:tabs>
        <w:tab w:val="right" w:leader="dot" w:pos="9072"/>
      </w:tabs>
      <w:ind w:left="970" w:hanging="403"/>
    </w:pPr>
    <w:rPr>
      <w:rFonts w:ascii="Times New Roman" w:hAnsi="Times New Roman"/>
      <w:b/>
    </w:rPr>
  </w:style>
  <w:style w:type="paragraph" w:styleId="ListNumber">
    <w:name w:val="List Number"/>
    <w:basedOn w:val="List"/>
    <w:rsid w:val="00D252AD"/>
    <w:pPr>
      <w:numPr>
        <w:numId w:val="15"/>
      </w:numPr>
      <w:tabs>
        <w:tab w:val="clear" w:pos="340"/>
      </w:tabs>
    </w:pPr>
  </w:style>
  <w:style w:type="character" w:customStyle="1" w:styleId="WingdingSymbols">
    <w:name w:val="Wingding Symbols"/>
    <w:rsid w:val="00D252AD"/>
    <w:rPr>
      <w:rFonts w:ascii="Wingdings" w:hAnsi="Wingdings"/>
    </w:rPr>
  </w:style>
  <w:style w:type="paragraph" w:customStyle="1" w:styleId="TableHeading">
    <w:name w:val="Table Heading"/>
    <w:basedOn w:val="HeadingBase"/>
    <w:rsid w:val="00D252AD"/>
    <w:pPr>
      <w:keepLines/>
      <w:pBdr>
        <w:bottom w:val="single" w:sz="6" w:space="1" w:color="918585"/>
      </w:pBdr>
      <w:spacing w:before="240"/>
    </w:pPr>
  </w:style>
  <w:style w:type="character" w:customStyle="1" w:styleId="HotSpot">
    <w:name w:val="HotSpot"/>
    <w:rsid w:val="00D252AD"/>
    <w:rPr>
      <w:color w:val="0033CC"/>
      <w:u w:val="none"/>
    </w:rPr>
  </w:style>
  <w:style w:type="paragraph" w:customStyle="1" w:styleId="BodyTextRight">
    <w:name w:val="Body Text Right"/>
    <w:basedOn w:val="BodyText"/>
    <w:rsid w:val="00D252AD"/>
    <w:pPr>
      <w:spacing w:before="0" w:after="0"/>
      <w:jc w:val="right"/>
    </w:pPr>
  </w:style>
  <w:style w:type="paragraph" w:styleId="Index3">
    <w:name w:val="index 3"/>
    <w:basedOn w:val="ListNumber2"/>
    <w:next w:val="Normal"/>
    <w:semiHidden/>
    <w:rsid w:val="00D252AD"/>
    <w:pPr>
      <w:numPr>
        <w:numId w:val="0"/>
      </w:numPr>
      <w:tabs>
        <w:tab w:val="right" w:leader="dot" w:pos="4176"/>
      </w:tabs>
    </w:pPr>
  </w:style>
  <w:style w:type="paragraph" w:styleId="ListNumber2">
    <w:name w:val="List Number 2"/>
    <w:basedOn w:val="List2"/>
    <w:rsid w:val="00D252AD"/>
    <w:pPr>
      <w:numPr>
        <w:numId w:val="10"/>
      </w:numPr>
      <w:tabs>
        <w:tab w:val="clear" w:pos="1060"/>
      </w:tabs>
    </w:pPr>
  </w:style>
  <w:style w:type="paragraph" w:customStyle="1" w:styleId="MarginNote">
    <w:name w:val="Margin Note"/>
    <w:basedOn w:val="BodyText"/>
    <w:rsid w:val="00D25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2AD"/>
    <w:rPr>
      <w:sz w:val="32"/>
    </w:rPr>
  </w:style>
  <w:style w:type="paragraph" w:customStyle="1" w:styleId="HeadingProcedure">
    <w:name w:val="Heading Procedure"/>
    <w:basedOn w:val="HeadingBase"/>
    <w:next w:val="Normal"/>
    <w:rsid w:val="00D252AD"/>
    <w:pPr>
      <w:tabs>
        <w:tab w:val="left" w:pos="0"/>
      </w:tabs>
      <w:spacing w:before="120" w:after="60"/>
    </w:pPr>
    <w:rPr>
      <w:i/>
      <w:color w:val="918585"/>
      <w:sz w:val="22"/>
    </w:rPr>
  </w:style>
  <w:style w:type="paragraph" w:customStyle="1" w:styleId="TableBodyText">
    <w:name w:val="Table Body Text"/>
    <w:basedOn w:val="BodyText"/>
    <w:rsid w:val="00D252AD"/>
    <w:pPr>
      <w:spacing w:before="60" w:after="60"/>
    </w:pPr>
  </w:style>
  <w:style w:type="paragraph" w:styleId="ListContinue">
    <w:name w:val="List Continue"/>
    <w:basedOn w:val="List"/>
    <w:rsid w:val="00D252AD"/>
    <w:pPr>
      <w:ind w:firstLine="0"/>
    </w:pPr>
  </w:style>
  <w:style w:type="paragraph" w:customStyle="1" w:styleId="ListNote">
    <w:name w:val="List Note"/>
    <w:basedOn w:val="List"/>
    <w:rsid w:val="00D252AD"/>
    <w:pPr>
      <w:pBdr>
        <w:top w:val="single" w:sz="6" w:space="2" w:color="918585"/>
        <w:bottom w:val="single" w:sz="6" w:space="2" w:color="918585"/>
      </w:pBdr>
      <w:tabs>
        <w:tab w:val="left" w:pos="1021"/>
      </w:tabs>
      <w:ind w:firstLine="0"/>
    </w:pPr>
  </w:style>
  <w:style w:type="paragraph" w:customStyle="1" w:styleId="Warning">
    <w:name w:val="Warning"/>
    <w:basedOn w:val="BodyText"/>
    <w:rsid w:val="00D252AD"/>
    <w:pPr>
      <w:shd w:val="clear" w:color="auto" w:fill="D9D9D9"/>
      <w:tabs>
        <w:tab w:val="left" w:pos="992"/>
      </w:tabs>
      <w:ind w:left="119" w:right="119"/>
    </w:pPr>
    <w:rPr>
      <w:sz w:val="20"/>
    </w:rPr>
  </w:style>
  <w:style w:type="paragraph" w:customStyle="1" w:styleId="MarginIcons">
    <w:name w:val="Margin Icons"/>
    <w:basedOn w:val="BodyText"/>
    <w:rsid w:val="00D25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2AD"/>
    <w:rPr>
      <w:rFonts w:ascii="Courier New" w:hAnsi="Courier New"/>
    </w:rPr>
  </w:style>
  <w:style w:type="paragraph" w:customStyle="1" w:styleId="NoteBullet">
    <w:name w:val="Note Bullet"/>
    <w:basedOn w:val="Note"/>
    <w:rsid w:val="00D252AD"/>
    <w:pPr>
      <w:tabs>
        <w:tab w:val="clear" w:pos="680"/>
      </w:tabs>
      <w:spacing w:before="60" w:after="60"/>
    </w:pPr>
  </w:style>
  <w:style w:type="paragraph" w:customStyle="1" w:styleId="SubHeading2">
    <w:name w:val="SubHeading2"/>
    <w:basedOn w:val="HeadingBase"/>
    <w:rsid w:val="00D252AD"/>
    <w:pPr>
      <w:spacing w:before="240" w:after="60"/>
    </w:pPr>
    <w:rPr>
      <w:sz w:val="20"/>
    </w:rPr>
  </w:style>
  <w:style w:type="paragraph" w:customStyle="1" w:styleId="SubHeading1">
    <w:name w:val="SubHeading1"/>
    <w:basedOn w:val="HeadingBase"/>
    <w:rsid w:val="00D252AD"/>
    <w:pPr>
      <w:spacing w:before="240" w:after="60"/>
    </w:pPr>
    <w:rPr>
      <w:color w:val="918585"/>
      <w:sz w:val="22"/>
    </w:rPr>
  </w:style>
  <w:style w:type="paragraph" w:customStyle="1" w:styleId="SideHeading">
    <w:name w:val="Side Heading"/>
    <w:basedOn w:val="HeadingBase"/>
    <w:rsid w:val="00D25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2AD"/>
    <w:pPr>
      <w:tabs>
        <w:tab w:val="num" w:pos="360"/>
      </w:tabs>
    </w:pPr>
  </w:style>
  <w:style w:type="paragraph" w:styleId="PlainText">
    <w:name w:val="Plain Text"/>
    <w:basedOn w:val="Normal"/>
    <w:link w:val="PlainTextChar"/>
    <w:rsid w:val="00D252AD"/>
    <w:rPr>
      <w:sz w:val="20"/>
    </w:rPr>
  </w:style>
  <w:style w:type="character" w:customStyle="1" w:styleId="PlainTextChar">
    <w:name w:val="Plain Text Char"/>
    <w:basedOn w:val="DefaultParagraphFont"/>
    <w:link w:val="PlainText"/>
    <w:rsid w:val="00D252AD"/>
    <w:rPr>
      <w:rFonts w:ascii="Courier New" w:eastAsia="Times New Roman" w:hAnsi="Courier New" w:cs="Times New Roman"/>
      <w:sz w:val="20"/>
      <w:szCs w:val="20"/>
      <w:lang w:eastAsia="en-US"/>
    </w:rPr>
  </w:style>
  <w:style w:type="character" w:customStyle="1" w:styleId="MenuOption">
    <w:name w:val="Menu Option"/>
    <w:basedOn w:val="DefaultParagraphFont"/>
    <w:rsid w:val="00D252AD"/>
    <w:rPr>
      <w:b/>
      <w:smallCaps/>
    </w:rPr>
  </w:style>
  <w:style w:type="paragraph" w:customStyle="1" w:styleId="TableListNumber">
    <w:name w:val="Table List Number"/>
    <w:basedOn w:val="ListNumber"/>
    <w:rsid w:val="00D252AD"/>
    <w:pPr>
      <w:numPr>
        <w:numId w:val="0"/>
      </w:numPr>
    </w:pPr>
  </w:style>
  <w:style w:type="paragraph" w:styleId="TOC4">
    <w:name w:val="toc 4"/>
    <w:basedOn w:val="TOCBase"/>
    <w:next w:val="Normal"/>
    <w:semiHidden/>
    <w:rsid w:val="00D252AD"/>
    <w:pPr>
      <w:tabs>
        <w:tab w:val="right" w:leader="dot" w:pos="9071"/>
      </w:tabs>
      <w:ind w:left="1701"/>
    </w:pPr>
  </w:style>
  <w:style w:type="paragraph" w:customStyle="1" w:styleId="ListAlpha">
    <w:name w:val="List Alpha"/>
    <w:basedOn w:val="List"/>
    <w:rsid w:val="00D252AD"/>
    <w:pPr>
      <w:numPr>
        <w:numId w:val="9"/>
      </w:numPr>
    </w:pPr>
  </w:style>
  <w:style w:type="paragraph" w:customStyle="1" w:styleId="ListAlpha2">
    <w:name w:val="List Alpha 2"/>
    <w:basedOn w:val="List2"/>
    <w:rsid w:val="00D252AD"/>
    <w:pPr>
      <w:numPr>
        <w:numId w:val="8"/>
      </w:numPr>
    </w:pPr>
  </w:style>
  <w:style w:type="paragraph" w:styleId="List2">
    <w:name w:val="List 2"/>
    <w:basedOn w:val="BodyText"/>
    <w:rsid w:val="00D252AD"/>
    <w:pPr>
      <w:tabs>
        <w:tab w:val="left" w:pos="680"/>
      </w:tabs>
      <w:spacing w:before="60" w:after="60"/>
      <w:ind w:left="680" w:hanging="340"/>
    </w:pPr>
  </w:style>
  <w:style w:type="paragraph" w:styleId="List3">
    <w:name w:val="List 3"/>
    <w:basedOn w:val="BodyText"/>
    <w:rsid w:val="00D252AD"/>
    <w:pPr>
      <w:tabs>
        <w:tab w:val="left" w:pos="1021"/>
      </w:tabs>
      <w:spacing w:before="60" w:after="60"/>
      <w:ind w:left="1020" w:hanging="340"/>
    </w:pPr>
  </w:style>
  <w:style w:type="paragraph" w:styleId="List4">
    <w:name w:val="List 4"/>
    <w:basedOn w:val="BodyText"/>
    <w:rsid w:val="00D252AD"/>
    <w:pPr>
      <w:tabs>
        <w:tab w:val="left" w:pos="1361"/>
      </w:tabs>
      <w:spacing w:before="60" w:after="60"/>
      <w:ind w:left="1361" w:hanging="340"/>
    </w:pPr>
  </w:style>
  <w:style w:type="paragraph" w:styleId="List5">
    <w:name w:val="List 5"/>
    <w:basedOn w:val="BodyText"/>
    <w:rsid w:val="00D252AD"/>
    <w:pPr>
      <w:tabs>
        <w:tab w:val="left" w:pos="1701"/>
      </w:tabs>
      <w:spacing w:before="60" w:after="60"/>
      <w:ind w:left="1701" w:hanging="340"/>
    </w:pPr>
  </w:style>
  <w:style w:type="paragraph" w:styleId="ListBullet3">
    <w:name w:val="List Bullet 3"/>
    <w:basedOn w:val="List3"/>
    <w:rsid w:val="00D252AD"/>
    <w:pPr>
      <w:numPr>
        <w:numId w:val="14"/>
      </w:numPr>
      <w:tabs>
        <w:tab w:val="clear" w:pos="1021"/>
      </w:tabs>
      <w:ind w:left="1037" w:hanging="357"/>
    </w:pPr>
  </w:style>
  <w:style w:type="paragraph" w:styleId="ListBullet4">
    <w:name w:val="List Bullet 4"/>
    <w:basedOn w:val="List4"/>
    <w:rsid w:val="00D252AD"/>
    <w:pPr>
      <w:numPr>
        <w:numId w:val="3"/>
      </w:numPr>
      <w:tabs>
        <w:tab w:val="clear" w:pos="1361"/>
      </w:tabs>
    </w:pPr>
  </w:style>
  <w:style w:type="paragraph" w:styleId="ListBullet5">
    <w:name w:val="List Bullet 5"/>
    <w:basedOn w:val="List5"/>
    <w:rsid w:val="00D252AD"/>
    <w:pPr>
      <w:numPr>
        <w:numId w:val="4"/>
      </w:numPr>
    </w:pPr>
  </w:style>
  <w:style w:type="paragraph" w:styleId="ListContinue2">
    <w:name w:val="List Continue 2"/>
    <w:basedOn w:val="List2"/>
    <w:rsid w:val="00D252AD"/>
    <w:pPr>
      <w:ind w:firstLine="0"/>
    </w:pPr>
  </w:style>
  <w:style w:type="paragraph" w:styleId="ListContinue3">
    <w:name w:val="List Continue 3"/>
    <w:basedOn w:val="List3"/>
    <w:rsid w:val="00D252AD"/>
    <w:pPr>
      <w:ind w:left="1021" w:firstLine="0"/>
    </w:pPr>
  </w:style>
  <w:style w:type="paragraph" w:styleId="ListContinue4">
    <w:name w:val="List Continue 4"/>
    <w:basedOn w:val="List4"/>
    <w:rsid w:val="00D252AD"/>
    <w:pPr>
      <w:ind w:firstLine="0"/>
    </w:pPr>
  </w:style>
  <w:style w:type="paragraph" w:styleId="ListContinue5">
    <w:name w:val="List Continue 5"/>
    <w:basedOn w:val="List5"/>
    <w:rsid w:val="00D252AD"/>
    <w:pPr>
      <w:ind w:firstLine="0"/>
    </w:pPr>
  </w:style>
  <w:style w:type="paragraph" w:styleId="ListNumber3">
    <w:name w:val="List Number 3"/>
    <w:basedOn w:val="List3"/>
    <w:rsid w:val="00D252AD"/>
    <w:pPr>
      <w:numPr>
        <w:numId w:val="5"/>
      </w:numPr>
    </w:pPr>
  </w:style>
  <w:style w:type="paragraph" w:styleId="ListNumber4">
    <w:name w:val="List Number 4"/>
    <w:basedOn w:val="List4"/>
    <w:rsid w:val="00D252AD"/>
    <w:pPr>
      <w:numPr>
        <w:numId w:val="6"/>
      </w:numPr>
    </w:pPr>
  </w:style>
  <w:style w:type="paragraph" w:styleId="ListNumber5">
    <w:name w:val="List Number 5"/>
    <w:basedOn w:val="List5"/>
    <w:rsid w:val="00D252AD"/>
    <w:pPr>
      <w:numPr>
        <w:numId w:val="7"/>
      </w:numPr>
    </w:pPr>
  </w:style>
  <w:style w:type="paragraph" w:styleId="BlockText">
    <w:name w:val="Block Text"/>
    <w:basedOn w:val="Normal"/>
    <w:rsid w:val="00D252AD"/>
    <w:pPr>
      <w:spacing w:after="120"/>
      <w:ind w:left="1440" w:right="1440"/>
    </w:pPr>
  </w:style>
  <w:style w:type="character" w:customStyle="1" w:styleId="Subscript">
    <w:name w:val="Subscript"/>
    <w:basedOn w:val="DefaultParagraphFont"/>
    <w:rsid w:val="00D252AD"/>
    <w:rPr>
      <w:sz w:val="16"/>
      <w:vertAlign w:val="subscript"/>
    </w:rPr>
  </w:style>
  <w:style w:type="character" w:customStyle="1" w:styleId="Superscript">
    <w:name w:val="Superscript"/>
    <w:basedOn w:val="DefaultParagraphFont"/>
    <w:rsid w:val="00D252AD"/>
    <w:rPr>
      <w:sz w:val="16"/>
      <w:vertAlign w:val="superscript"/>
    </w:rPr>
  </w:style>
  <w:style w:type="character" w:customStyle="1" w:styleId="Symbols">
    <w:name w:val="Symbols"/>
    <w:basedOn w:val="DefaultParagraphFont"/>
    <w:rsid w:val="00D252AD"/>
    <w:rPr>
      <w:rFonts w:ascii="Symbol" w:hAnsi="Symbol"/>
    </w:rPr>
  </w:style>
  <w:style w:type="character" w:customStyle="1" w:styleId="MenuOptions">
    <w:name w:val="Menu Options"/>
    <w:basedOn w:val="DefaultParagraphFont"/>
    <w:rsid w:val="00D252AD"/>
    <w:rPr>
      <w:rFonts w:ascii="Arial Narrow" w:hAnsi="Arial Narrow"/>
      <w:smallCaps/>
    </w:rPr>
  </w:style>
  <w:style w:type="character" w:customStyle="1" w:styleId="Buttons">
    <w:name w:val="Buttons"/>
    <w:basedOn w:val="DefaultParagraphFont"/>
    <w:rsid w:val="00D252AD"/>
    <w:rPr>
      <w:b/>
    </w:rPr>
  </w:style>
  <w:style w:type="character" w:customStyle="1" w:styleId="Underlined">
    <w:name w:val="Underlined"/>
    <w:basedOn w:val="DefaultParagraphFont"/>
    <w:rsid w:val="00D252AD"/>
    <w:rPr>
      <w:u w:val="single"/>
    </w:rPr>
  </w:style>
  <w:style w:type="paragraph" w:customStyle="1" w:styleId="TableBodyTextRight">
    <w:name w:val="Table Body Text Right"/>
    <w:basedOn w:val="TableBodyText"/>
    <w:rsid w:val="00D252AD"/>
    <w:pPr>
      <w:widowControl w:val="0"/>
      <w:autoSpaceDE w:val="0"/>
      <w:autoSpaceDN w:val="0"/>
      <w:adjustRightInd w:val="0"/>
      <w:jc w:val="right"/>
    </w:pPr>
    <w:rPr>
      <w:rFonts w:cs="Arial"/>
      <w:szCs w:val="18"/>
    </w:rPr>
  </w:style>
  <w:style w:type="paragraph" w:customStyle="1" w:styleId="CopyrightText">
    <w:name w:val="Copyright Text"/>
    <w:basedOn w:val="BodyText"/>
    <w:rsid w:val="00D252AD"/>
    <w:rPr>
      <w:sz w:val="18"/>
    </w:rPr>
  </w:style>
  <w:style w:type="paragraph" w:customStyle="1" w:styleId="BodySmallRight">
    <w:name w:val="Body Small Right"/>
    <w:basedOn w:val="BodyTextRight"/>
    <w:rsid w:val="00D252AD"/>
    <w:rPr>
      <w:sz w:val="18"/>
      <w:szCs w:val="18"/>
    </w:rPr>
  </w:style>
  <w:style w:type="paragraph" w:customStyle="1" w:styleId="MarginEdition">
    <w:name w:val="Margin Edition"/>
    <w:basedOn w:val="MarginNote"/>
    <w:rsid w:val="00D252AD"/>
    <w:pPr>
      <w:spacing w:before="0" w:after="0"/>
    </w:pPr>
    <w:rPr>
      <w:rFonts w:ascii="Times New Roman" w:hAnsi="Times New Roman"/>
      <w:color w:val="999999"/>
    </w:rPr>
  </w:style>
  <w:style w:type="paragraph" w:customStyle="1" w:styleId="Spacer">
    <w:name w:val="Spacer"/>
    <w:basedOn w:val="Normal"/>
    <w:rsid w:val="00D252AD"/>
    <w:rPr>
      <w:sz w:val="2"/>
      <w:szCs w:val="2"/>
    </w:rPr>
  </w:style>
  <w:style w:type="character" w:customStyle="1" w:styleId="Small">
    <w:name w:val="Small"/>
    <w:basedOn w:val="DefaultParagraphFont"/>
    <w:rsid w:val="00D252AD"/>
    <w:rPr>
      <w:sz w:val="16"/>
    </w:rPr>
  </w:style>
  <w:style w:type="paragraph" w:customStyle="1" w:styleId="WideTable">
    <w:name w:val="Wide Table"/>
    <w:basedOn w:val="Normal"/>
    <w:rsid w:val="00D252AD"/>
    <w:pPr>
      <w:ind w:left="-1418"/>
    </w:pPr>
    <w:rPr>
      <w:sz w:val="2"/>
      <w:szCs w:val="2"/>
    </w:rPr>
  </w:style>
  <w:style w:type="character" w:styleId="PageNumber">
    <w:name w:val="page number"/>
    <w:basedOn w:val="DefaultParagraphFont"/>
    <w:rsid w:val="00D252AD"/>
  </w:style>
  <w:style w:type="paragraph" w:styleId="Quote">
    <w:name w:val="Quote"/>
    <w:basedOn w:val="Heading1"/>
    <w:link w:val="QuoteChar"/>
    <w:qFormat/>
    <w:rsid w:val="00D252AD"/>
    <w:rPr>
      <w:b w:val="0"/>
      <w:sz w:val="72"/>
      <w:szCs w:val="72"/>
      <w:lang w:val="en-NZ"/>
    </w:rPr>
  </w:style>
  <w:style w:type="character" w:customStyle="1" w:styleId="QuoteChar">
    <w:name w:val="Quote Char"/>
    <w:basedOn w:val="DefaultParagraphFont"/>
    <w:link w:val="Quote"/>
    <w:rsid w:val="00D25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2AD"/>
    <w:pPr>
      <w:pageBreakBefore/>
    </w:pPr>
  </w:style>
  <w:style w:type="paragraph" w:customStyle="1" w:styleId="Border">
    <w:name w:val="Border"/>
    <w:basedOn w:val="Normal"/>
    <w:qFormat/>
    <w:rsid w:val="00D25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2AD"/>
    <w:rPr>
      <w:b/>
      <w:bCs/>
      <w:i/>
      <w:iCs/>
      <w:color w:val="auto"/>
    </w:rPr>
  </w:style>
  <w:style w:type="paragraph" w:styleId="IntenseQuote">
    <w:name w:val="Intense Quote"/>
    <w:basedOn w:val="Normal"/>
    <w:next w:val="Normal"/>
    <w:link w:val="IntenseQuoteChar"/>
    <w:uiPriority w:val="30"/>
    <w:qFormat/>
    <w:rsid w:val="00D25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2AD"/>
    <w:rPr>
      <w:smallCaps/>
      <w:color w:val="auto"/>
      <w:u w:val="single"/>
    </w:rPr>
  </w:style>
  <w:style w:type="character" w:styleId="IntenseReference">
    <w:name w:val="Intense Reference"/>
    <w:basedOn w:val="DefaultParagraphFont"/>
    <w:uiPriority w:val="32"/>
    <w:qFormat/>
    <w:rsid w:val="00D252AD"/>
    <w:rPr>
      <w:b/>
      <w:bCs/>
      <w:smallCaps/>
      <w:color w:val="auto"/>
      <w:spacing w:val="5"/>
      <w:u w:val="single"/>
    </w:rPr>
  </w:style>
  <w:style w:type="paragraph" w:customStyle="1" w:styleId="2ColumnHeading">
    <w:name w:val="2Column Heading"/>
    <w:basedOn w:val="BodyText"/>
    <w:qFormat/>
    <w:rsid w:val="00D252AD"/>
    <w:pPr>
      <w:spacing w:after="60"/>
      <w:ind w:left="-2268"/>
    </w:pPr>
    <w:rPr>
      <w:b/>
    </w:rPr>
  </w:style>
  <w:style w:type="paragraph" w:customStyle="1" w:styleId="Heading1TOC">
    <w:name w:val="Heading1 TOC"/>
    <w:basedOn w:val="Normal"/>
    <w:qFormat/>
    <w:rsid w:val="00D252AD"/>
    <w:pPr>
      <w:spacing w:before="240" w:after="120"/>
    </w:pPr>
    <w:rPr>
      <w:rFonts w:ascii="Times New Roman" w:hAnsi="Times New Roman"/>
      <w:b/>
      <w:sz w:val="32"/>
    </w:rPr>
  </w:style>
  <w:style w:type="paragraph" w:customStyle="1" w:styleId="Heading2TOC">
    <w:name w:val="Heading2 TOC"/>
    <w:basedOn w:val="Normal"/>
    <w:qFormat/>
    <w:rsid w:val="00D252AD"/>
    <w:pPr>
      <w:spacing w:before="240" w:after="60"/>
    </w:pPr>
    <w:rPr>
      <w:rFonts w:ascii="Times New Roman" w:hAnsi="Times New Roman"/>
      <w:b/>
      <w:sz w:val="28"/>
    </w:rPr>
  </w:style>
  <w:style w:type="character" w:customStyle="1" w:styleId="Underline">
    <w:name w:val="Underline"/>
    <w:basedOn w:val="DefaultParagraphFont"/>
    <w:qFormat/>
    <w:rsid w:val="00D252AD"/>
    <w:rPr>
      <w:u w:val="single"/>
    </w:rPr>
  </w:style>
  <w:style w:type="character" w:customStyle="1" w:styleId="BoldandItalics">
    <w:name w:val="Bold and Italics"/>
    <w:qFormat/>
    <w:rsid w:val="00D252AD"/>
    <w:rPr>
      <w:b/>
      <w:i/>
      <w:u w:val="none"/>
    </w:rPr>
  </w:style>
  <w:style w:type="paragraph" w:styleId="BalloonText">
    <w:name w:val="Balloon Text"/>
    <w:basedOn w:val="Normal"/>
    <w:link w:val="BalloonTextChar"/>
    <w:rsid w:val="00D252AD"/>
    <w:rPr>
      <w:rFonts w:ascii="Tahoma" w:hAnsi="Tahoma" w:cs="Tahoma"/>
      <w:sz w:val="16"/>
      <w:szCs w:val="16"/>
    </w:rPr>
  </w:style>
  <w:style w:type="character" w:customStyle="1" w:styleId="BalloonTextChar">
    <w:name w:val="Balloon Text Char"/>
    <w:basedOn w:val="DefaultParagraphFont"/>
    <w:link w:val="BalloonText"/>
    <w:rsid w:val="00D25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2AD"/>
    <w:rPr>
      <w:b/>
      <w:color w:val="660033"/>
      <w:spacing w:val="0"/>
    </w:rPr>
  </w:style>
  <w:style w:type="paragraph" w:customStyle="1" w:styleId="Nameditemlist">
    <w:name w:val="Named item list"/>
    <w:basedOn w:val="BodyText"/>
    <w:qFormat/>
    <w:rsid w:val="00D252AD"/>
    <w:pPr>
      <w:tabs>
        <w:tab w:val="left" w:pos="2835"/>
      </w:tabs>
      <w:ind w:left="2835" w:hanging="2835"/>
    </w:pPr>
  </w:style>
  <w:style w:type="paragraph" w:customStyle="1" w:styleId="BodyTextnopadding">
    <w:name w:val="Body Text no padding"/>
    <w:basedOn w:val="BodyText"/>
    <w:qFormat/>
    <w:rsid w:val="00D252AD"/>
    <w:pPr>
      <w:spacing w:before="0" w:after="0"/>
    </w:pPr>
  </w:style>
  <w:style w:type="paragraph" w:customStyle="1" w:styleId="BodyTextBold">
    <w:name w:val="Body Text Bold"/>
    <w:basedOn w:val="BodyText"/>
    <w:qFormat/>
    <w:rsid w:val="00D252AD"/>
    <w:rPr>
      <w:b/>
    </w:rPr>
  </w:style>
  <w:style w:type="character" w:styleId="Hyperlink">
    <w:name w:val="Hyperlink"/>
    <w:basedOn w:val="DefaultParagraphFont"/>
    <w:uiPriority w:val="99"/>
    <w:unhideWhenUsed/>
    <w:rsid w:val="00952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5978</Characters>
  <Application>Microsoft Office Word</Application>
  <DocSecurity>0</DocSecurity>
  <Lines>132</Lines>
  <Paragraphs>99</Paragraphs>
  <ScaleCrop>false</ScaleCrop>
  <Company>Author-it Software Corporation Ltd.</Company>
  <LinksUpToDate>false</LinksUpToDate>
  <CharactersWithSpaces>6799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UEECD0016 Document and apply measures to control WHS risks associated with electrotechnology work</dc:title>
  <dc:subject>Approved</dc:subject>
  <dc:creator>Powering Skills Organisation</dc:creator>
  <cp:keywords>Release: 2</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