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8B8" w:rsidP="001428B8">
      <w:pPr>
        <w:pStyle w:val="Title"/>
      </w:pPr>
      <w:r>
        <w:fldChar w:fldCharType="begin"/>
      </w:r>
      <w:r>
        <w:instrText xml:space="preserve"> TITLE   \* MERGEFORMAT </w:instrText>
      </w:r>
      <w:r>
        <w:fldChar w:fldCharType="separate"/>
      </w:r>
      <w:r>
        <w:t>UEE62525 Advanced Diploma of Air Conditioning and Refrigeration Engineering</w:t>
      </w:r>
      <w:r>
        <w:fldChar w:fldCharType="end"/>
      </w:r>
    </w:p>
    <w:p w:rsidR="001428B8" w:rsidP="001428B8">
      <w:pPr>
        <w:pStyle w:val="Version"/>
        <w:sectPr w:rsidSect="004069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9AE" w:rsidP="004069AE">
      <w:pPr>
        <w:pStyle w:val="SuperHeading"/>
      </w:pPr>
      <w:r w:rsidRPr="004069AE">
        <w:t>UEE62525 Advanced Diploma of Air Conditioning and Refrigeration Engineering</w:t>
      </w:r>
    </w:p>
    <w:p w:rsidR="00000000" w:rsidRPr="004069AE" w:rsidP="004069AE">
      <w:pPr>
        <w:pStyle w:val="Heading1"/>
      </w:pPr>
      <w:bookmarkStart w:id="1" w:name="O_1297517"/>
      <w:bookmarkEnd w:id="1"/>
      <w:r w:rsidRPr="004069AE">
        <w:t>Modification History</w:t>
      </w:r>
    </w:p>
    <w:p w:rsidR="00000000" w:rsidRPr="004069AE" w:rsidP="001428B8">
      <w:pPr>
        <w:pStyle w:val="BodyText"/>
      </w:pPr>
      <w:r w:rsidRPr="004069AE">
        <w:t>Release 1. This is the first release of this qualification in the UEE Electrotechnology Training Package</w:t>
      </w:r>
    </w:p>
    <w:p w:rsidR="00000000" w:rsidRPr="004069AE" w:rsidP="004069AE">
      <w:pPr>
        <w:pStyle w:val="Heading1"/>
      </w:pPr>
      <w:bookmarkStart w:id="2" w:name="O_1297518"/>
      <w:bookmarkEnd w:id="2"/>
      <w:r w:rsidRPr="004069AE">
        <w:t>Qualification Description</w:t>
      </w:r>
    </w:p>
    <w:tbl>
      <w:tblPr>
        <w:tblW w:w="9497" w:type="dxa"/>
        <w:tblLayout w:type="fixed"/>
        <w:tblCellMar>
          <w:left w:w="62" w:type="dxa"/>
          <w:right w:w="62" w:type="dxa"/>
        </w:tblCellMar>
        <w:tblLook w:val="0000"/>
      </w:tblPr>
      <w:tblGrid>
        <w:gridCol w:w="9497"/>
      </w:tblGrid>
      <w:tr w:rsidTr="00406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t xml:space="preserve">This qualification covers competencies to design and validate/evaluate refrigeration and air conditioning equipment and systems, manage risk, estimate and manage projects and provide technical advice/sales. It includes regulatory </w:t>
            </w:r>
            <w:r w:rsidRPr="004069AE">
              <w:t>requirements for purchasing and handling refrigerants.</w:t>
            </w:r>
          </w:p>
          <w:p w:rsidR="00000000" w:rsidRPr="004069AE" w:rsidP="004069AE">
            <w:pPr>
              <w:pStyle w:val="BodyText"/>
            </w:pPr>
            <w:r w:rsidRPr="004069AE">
              <w:t>It develops competencies in the ethical and responsible application of mathematics, science, engineering techniques, standards and codes of practice, engineering design practices, supervision and manag</w:t>
            </w:r>
            <w:r w:rsidRPr="004069AE">
              <w:t xml:space="preserve">ement of physical, human and financial resources in refrigeration and air conditioning engineering. </w:t>
            </w:r>
          </w:p>
          <w:p w:rsidR="00000000" w:rsidRPr="004069AE" w:rsidP="004069AE">
            <w:pPr>
              <w:pStyle w:val="BodyText"/>
            </w:pPr>
            <w:r w:rsidRPr="004069AE">
              <w:t>Competency development activities in this qualification are subject to regulations directly related to licencing. A relevant contract of training through a</w:t>
            </w:r>
            <w:r w:rsidRPr="004069AE">
              <w:t>n apprenticeship or relevant employment may be required to enable the application of the required knowledge and skills to on the job work activities and environments.</w:t>
            </w:r>
          </w:p>
          <w:p w:rsidR="00000000" w:rsidRPr="004069AE" w:rsidP="004069AE">
            <w:pPr>
              <w:pStyle w:val="BodyText"/>
            </w:pPr>
            <w:r w:rsidRPr="004069AE">
              <w:t>Refrigerant Handling Licence:</w:t>
            </w:r>
          </w:p>
          <w:p w:rsidR="00000000" w:rsidRPr="004069AE" w:rsidP="004069AE">
            <w:pPr>
              <w:pStyle w:val="BodyText"/>
            </w:pPr>
            <w:r w:rsidRPr="004069AE">
              <w:t>The achievement of the qualification meets the training com</w:t>
            </w:r>
            <w:r w:rsidRPr="004069AE">
              <w:t>ponents for the full national Refrigerant Handling Licence which is required to work on refrigeration and air conditioning equipment that carries the risk of a fluorocarbon refrigerant being emitted while decanting the refrigerant or manufacturing, install</w:t>
            </w:r>
            <w:r w:rsidRPr="004069AE">
              <w:t>ing, commissioning, servicing, maintaining or decommissioning refrigeration and air conditioning equipment.</w:t>
            </w:r>
          </w:p>
          <w:p w:rsidR="00000000" w:rsidRPr="004069AE" w:rsidP="004069AE">
            <w:pPr>
              <w:pStyle w:val="BodyText"/>
            </w:pPr>
            <w:r w:rsidRPr="004069AE">
              <w:t>Refrigeration and Air Conditioning Occupational Licence:</w:t>
            </w:r>
          </w:p>
          <w:p w:rsidR="00000000" w:rsidRPr="004069AE" w:rsidP="004069AE">
            <w:pPr>
              <w:pStyle w:val="BodyText"/>
            </w:pPr>
            <w:r w:rsidRPr="004069AE">
              <w:t>Additional and/or other conditions may apply in some jurisdictions subject to regulations r</w:t>
            </w:r>
            <w:r w:rsidRPr="004069AE">
              <w:t>elated to refrigeration/air conditioning work. Practice in the workplace and during training is also subject to work health and safety (WHS)/occupational health and safety (OHS) regulations.</w:t>
            </w:r>
          </w:p>
          <w:p w:rsidR="00000000" w:rsidRPr="004069AE" w:rsidP="004069AE">
            <w:pPr>
              <w:pStyle w:val="BodyText"/>
            </w:pPr>
            <w:r w:rsidRPr="004069AE">
              <w:t>Electrical Occupation Licence:</w:t>
            </w:r>
          </w:p>
          <w:p w:rsidR="00000000" w:rsidRPr="004069AE" w:rsidP="004069AE">
            <w:pPr>
              <w:pStyle w:val="BodyText"/>
            </w:pPr>
            <w:r w:rsidRPr="004069AE">
              <w:t>The achievement of this qualificat</w:t>
            </w:r>
            <w:r w:rsidRPr="004069AE">
              <w:t>ion with the core restricted electrical units meet the electrical regulatory requirements for related restricted electrical work in most state/territories. This is required to work on electrical installations which are designed to operate at voltages great</w:t>
            </w:r>
            <w:r w:rsidRPr="004069AE">
              <w:t>er than 50 volt (V) alternating current (a.c.) or 120 V direct current (d.c.).</w:t>
            </w:r>
          </w:p>
        </w:tc>
      </w:tr>
    </w:tbl>
    <w:p w:rsidR="00000000" w:rsidRPr="004069AE" w:rsidP="004069AE">
      <w:pPr>
        <w:pStyle w:val="NoPaddingFontSize1"/>
      </w:pPr>
    </w:p>
    <w:p w:rsidR="00000000" w:rsidRPr="004069AE" w:rsidP="004069AE">
      <w:pPr>
        <w:pStyle w:val="AllowPageBreak"/>
      </w:pPr>
    </w:p>
    <w:p w:rsidR="00000000" w:rsidRPr="004069AE" w:rsidP="004069AE">
      <w:pPr>
        <w:pStyle w:val="Heading1"/>
      </w:pPr>
      <w:bookmarkStart w:id="3" w:name="O_1297519"/>
      <w:bookmarkEnd w:id="3"/>
      <w:r w:rsidRPr="004069AE">
        <w:t>Entry Requirements</w:t>
      </w:r>
    </w:p>
    <w:tbl>
      <w:tblPr>
        <w:tblW w:w="9497" w:type="dxa"/>
        <w:tblLayout w:type="fixed"/>
        <w:tblCellMar>
          <w:left w:w="62" w:type="dxa"/>
          <w:right w:w="62" w:type="dxa"/>
        </w:tblCellMar>
        <w:tblLook w:val="0000"/>
      </w:tblPr>
      <w:tblGrid>
        <w:gridCol w:w="9497"/>
      </w:tblGrid>
      <w:tr w:rsidTr="00406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t>There are no entry requirements for this qualification.</w:t>
            </w:r>
          </w:p>
        </w:tc>
      </w:tr>
    </w:tbl>
    <w:p w:rsidR="00000000" w:rsidRPr="004069AE" w:rsidP="004069AE">
      <w:pPr>
        <w:pStyle w:val="NoPaddingFontSize1"/>
      </w:pPr>
    </w:p>
    <w:p w:rsidR="00000000" w:rsidRPr="004069AE" w:rsidP="004069AE">
      <w:pPr>
        <w:pStyle w:val="AllowPageBreak"/>
      </w:pPr>
    </w:p>
    <w:p w:rsidR="00000000" w:rsidRPr="004069AE" w:rsidP="004069AE">
      <w:pPr>
        <w:pStyle w:val="Heading1"/>
      </w:pPr>
      <w:bookmarkStart w:id="4" w:name="O_1297520"/>
      <w:bookmarkEnd w:id="4"/>
      <w:r w:rsidRPr="004069AE">
        <w:t>Packaging Rules</w:t>
      </w:r>
    </w:p>
    <w:tbl>
      <w:tblPr>
        <w:tblW w:w="9497" w:type="dxa"/>
        <w:tblLayout w:type="fixed"/>
        <w:tblCellMar>
          <w:left w:w="62" w:type="dxa"/>
          <w:right w:w="62" w:type="dxa"/>
        </w:tblCellMar>
        <w:tblLook w:val="0000"/>
      </w:tblPr>
      <w:tblGrid>
        <w:gridCol w:w="1672"/>
        <w:gridCol w:w="5758"/>
        <w:gridCol w:w="2067"/>
      </w:tblGrid>
      <w:tr w:rsidTr="004069A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t xml:space="preserve">A total of </w:t>
            </w:r>
            <w:r w:rsidRPr="004069AE">
              <w:rPr>
                <w:rStyle w:val="SpecialBold"/>
              </w:rPr>
              <w:t>2230 weighting points</w:t>
            </w:r>
            <w:r w:rsidRPr="004069AE">
              <w:t xml:space="preserve"> comprising:</w:t>
            </w:r>
          </w:p>
          <w:p w:rsidR="00000000" w:rsidRPr="004069AE" w:rsidP="004069AE">
            <w:pPr>
              <w:pStyle w:val="BodyText"/>
            </w:pPr>
            <w:r w:rsidRPr="004069AE">
              <w:rPr>
                <w:rStyle w:val="SpecialBold"/>
              </w:rPr>
              <w:t>1980 core weighting points</w:t>
            </w:r>
            <w:r w:rsidRPr="004069AE">
              <w:t xml:space="preserve"> listed below; plus</w:t>
            </w:r>
          </w:p>
          <w:p w:rsidR="00000000" w:rsidRPr="004069AE" w:rsidP="004069AE">
            <w:pPr>
              <w:pStyle w:val="BodyText"/>
            </w:pPr>
            <w:r w:rsidRPr="004069AE">
              <w:rPr>
                <w:rStyle w:val="SpecialBold"/>
              </w:rPr>
              <w:t>250 general elective weighting points</w:t>
            </w:r>
            <w:r w:rsidRPr="004069AE">
              <w:t xml:space="preserve"> from the general elective units listed below. </w:t>
            </w:r>
          </w:p>
          <w:p w:rsidR="00000000" w:rsidRPr="004069AE" w:rsidP="004069AE">
            <w:pPr>
              <w:pStyle w:val="BodyText"/>
            </w:pPr>
            <w:r w:rsidRPr="004069AE">
              <w:t xml:space="preserve">Choose a total of </w:t>
            </w:r>
            <w:r w:rsidRPr="004069AE">
              <w:rPr>
                <w:rStyle w:val="SpecialBold"/>
              </w:rPr>
              <w:t>250 weighting points</w:t>
            </w:r>
            <w:r w:rsidRPr="004069AE">
              <w:t xml:space="preserve"> elective units from the list below, of which between </w:t>
            </w:r>
            <w:r w:rsidRPr="004069AE">
              <w:rPr>
                <w:rStyle w:val="SpecialBold"/>
              </w:rPr>
              <w:t>0 and 120 weighting points</w:t>
            </w:r>
            <w:r w:rsidRPr="004069AE">
              <w:t xml:space="preserve"> can b</w:t>
            </w:r>
            <w:r w:rsidRPr="004069AE">
              <w:t xml:space="preserve">e taken from Group A; and between </w:t>
            </w:r>
            <w:r w:rsidRPr="004069AE">
              <w:rPr>
                <w:rStyle w:val="SpecialBold"/>
              </w:rPr>
              <w:t>0 and 30</w:t>
            </w:r>
            <w:r w:rsidRPr="004069AE">
              <w:t xml:space="preserve"> </w:t>
            </w:r>
            <w:r w:rsidRPr="004069AE">
              <w:rPr>
                <w:rStyle w:val="SpecialBold"/>
              </w:rPr>
              <w:t>weighting points</w:t>
            </w:r>
            <w:r w:rsidRPr="004069AE">
              <w:t xml:space="preserve"> can be taken from Group B; and between </w:t>
            </w:r>
            <w:r w:rsidRPr="004069AE">
              <w:rPr>
                <w:rStyle w:val="SpecialBold"/>
              </w:rPr>
              <w:t>0 and 60</w:t>
            </w:r>
            <w:r w:rsidRPr="004069AE">
              <w:t xml:space="preserve"> </w:t>
            </w:r>
            <w:r w:rsidRPr="004069AE">
              <w:rPr>
                <w:rStyle w:val="SpecialBold"/>
              </w:rPr>
              <w:t>weighting points</w:t>
            </w:r>
            <w:r w:rsidRPr="004069AE">
              <w:t xml:space="preserve"> can be taken from Group C; and between </w:t>
            </w:r>
            <w:r w:rsidRPr="004069AE">
              <w:rPr>
                <w:rStyle w:val="SpecialBold"/>
              </w:rPr>
              <w:t>0 and 120</w:t>
            </w:r>
            <w:r w:rsidRPr="004069AE">
              <w:t xml:space="preserve"> </w:t>
            </w:r>
            <w:r w:rsidRPr="004069AE">
              <w:rPr>
                <w:rStyle w:val="SpecialBold"/>
              </w:rPr>
              <w:t>weighting points</w:t>
            </w:r>
            <w:r w:rsidRPr="004069AE">
              <w:t xml:space="preserve"> can be taken from Group D; and between </w:t>
            </w:r>
            <w:r w:rsidRPr="004069AE">
              <w:rPr>
                <w:rStyle w:val="SpecialBold"/>
              </w:rPr>
              <w:t>120 and 250 weighting poin</w:t>
            </w:r>
            <w:r w:rsidRPr="004069AE">
              <w:rPr>
                <w:rStyle w:val="SpecialBold"/>
              </w:rPr>
              <w:t>ts</w:t>
            </w:r>
            <w:r w:rsidRPr="004069AE">
              <w:t xml:space="preserve"> must be taken from Group E; or all electives units of </w:t>
            </w:r>
            <w:r w:rsidRPr="004069AE">
              <w:rPr>
                <w:rStyle w:val="SpecialBold"/>
              </w:rPr>
              <w:t>250 weighting points</w:t>
            </w:r>
            <w:r w:rsidRPr="004069AE">
              <w:t xml:space="preserve"> can be taken from Group E.</w:t>
            </w:r>
          </w:p>
          <w:p w:rsidR="00000000" w:rsidRPr="004069AE" w:rsidP="004069AE">
            <w:pPr>
              <w:pStyle w:val="BodyText"/>
            </w:pPr>
            <w:r w:rsidRPr="004069AE">
              <w:t xml:space="preserve">Up to </w:t>
            </w:r>
            <w:r w:rsidRPr="004069AE">
              <w:rPr>
                <w:rStyle w:val="SpecialBold"/>
              </w:rPr>
              <w:t>120 weighting points</w:t>
            </w:r>
            <w:r w:rsidRPr="004069AE">
              <w:t xml:space="preserve"> of the general elective units Group A, may be selected, with appropriate contextualisation, from any relevant nationally end</w:t>
            </w:r>
            <w:r w:rsidRPr="004069AE">
              <w:t>orsed Training Package or accredited course, provided selected units contribute to the vocational outcome of the qualification. If weighting points are not listed for an imported unit in any other UEE qualification, default weighting will be 10 points.</w:t>
            </w:r>
          </w:p>
          <w:p w:rsidR="00000000" w:rsidRPr="004069AE" w:rsidP="004069AE">
            <w:pPr>
              <w:pStyle w:val="BodyText"/>
            </w:pPr>
            <w:r w:rsidRPr="004069AE">
              <w:t>The</w:t>
            </w:r>
            <w:r w:rsidRPr="004069AE">
              <w:t>re are units of competency within this qualification that contain pre-requisites. Units of competency that have a pre-requisite requirement are identified by this symbol *. Refer directly to the units of competency to identify pre-requisite requirements to</w:t>
            </w:r>
            <w:r w:rsidRPr="004069AE">
              <w:t xml:space="preserve"> ensure all are complied with. A list of all pre-requisites is also provided in the UEE Pre-requisites Companion Volume.</w:t>
            </w:r>
          </w:p>
          <w:p w:rsidR="00000000" w:rsidP="004069AE">
            <w:pPr>
              <w:pStyle w:val="BodyText"/>
              <w:rPr>
                <w:lang w:val="en-NZ"/>
              </w:rPr>
            </w:pPr>
            <w:r w:rsidRPr="004069AE">
              <w:t>Where imported units are selected, care must be taken to ensure all pre-requisite units specified are complied with.</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 xml:space="preserve">Core units </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w:t>
            </w:r>
            <w:r w:rsidRPr="004069AE">
              <w:rPr>
                <w:rStyle w:val="SpecialBold"/>
              </w:rPr>
              <w:t>ighting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UEECD0003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Apply industry and community standards to engineering activities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UEECD0007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Apply work health and safety regulations, codes and practices in the workplace</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UEECD0010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Compile and produce an energy sector detailed report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UEECD0016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Document and apply measures to control WHS risks associated with electrotechnology work*</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UEECD0017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and follow a competency development plan in an electrotechnology engineering discipline</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UEECD0019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Fabricate, assemble and dismantle utilities industry components*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UEECD0020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Fix and secure electrotechnology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UEECD0024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Implement and monitor energy sector WHS policies and procedures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UEECD0026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Manage risk in electrotechnology activiti</w:t>
            </w:r>
            <w:r w:rsidRPr="004069AE">
              <w:t>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UEECD0042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Solve problems in ELV single path circuits*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UEECD0051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Use drawings, diagrams, schedules, standards, codes and specifications*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UEECS0033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Use engineering applications software on personal computers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Analyse the operation of HVAC air and hydronic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Analyse the psychrometric performance of HVAC/R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50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Analyse vibration and noise in refrigeration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Diagnose and rectify faults in air conditioning and refrigeration control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heat loads for commercial refrigeration and/or air conditioning applications*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the basic operating conditions of air condition</w:t>
            </w:r>
            <w:r w:rsidRPr="004069AE">
              <w:t>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the basic operating conditions of vapour compression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the thermodynamic parameters of refrigeration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Evaluate thermodynamic and fluid parameters</w:t>
            </w:r>
            <w:r w:rsidRPr="004069AE">
              <w:t xml:space="preserve"> of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Find and rectify faults in single phase motors and associated controls*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Find and rectify faults in three phase motors and associated controls*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30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refrigerant pipe work, flow controls and accessories*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UEERA0099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commission, service and maintain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commission, service and maintain low temperature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commission, service and maintain medium temperature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Manage refrigeration and air conditioning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Plan refrigeration and air conditioning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Prepare and connect refrigerant tubing and f</w:t>
            </w:r>
            <w:r w:rsidRPr="004069AE">
              <w:t>ittings*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Produce HVAC/R system design drawings*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Recover and charge refrigerants*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Safely handle refrigerants and lubricants*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UEERA0081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Select refrigerant piping, accessories and associated controls*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UEERA0092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Solve problems in low voltage refrigeration and air conditioning circuits*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UEERA0094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Verify functionality and compliance of refrigeration and air conditioning installations*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UEERE0013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Develop strategies to address environmental and sustai</w:t>
            </w:r>
            <w:r w:rsidRPr="004069AE">
              <w:t>nability issues in the energy sector</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UEERL0001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Attach cords and plugs to electrical equipment for connection to a single phase 230 Volt supply*</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UEERL0002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Attach cor</w:t>
            </w:r>
            <w:r w:rsidRPr="004069AE">
              <w:t>ds, cables and plugs to electrical equipment for connection to 1000 V a.c. or 1500 V d.c.*</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UEERL0004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Disconnect - reconnect electrical equipment connected to low voltage (LV) installation wiring*</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UEERL0005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Locate and rectify faults in low voltage (</w:t>
            </w:r>
            <w:r w:rsidRPr="004069AE">
              <w:t>LV) electrical equipment using set procedures*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Group A: Imported and common elective units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Weighting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BSBESB402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legal and risk management requirements of new business ventures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BSBLDR522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Manage people performance</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70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BSBINS501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Implement information and knowledge management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50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BSBSTR501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Establish innovative work environments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50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BSBSTR502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Facilitate continuous improvement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BSBTWK502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Manage team effectiveness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CPCWHS1001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Prepare to work safely in the construction industry</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HLTAID009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Provide cardiopulmonary resuscitation</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MEM16006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Organise and communicate information*</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MEM16008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Interact with computing technology*</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MEM30031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Operate computer-aided design (CAD) system to produce basic drawing elements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MEM30032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Produce basic engineering drawings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MEM30033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Use computer-aided design (CAD) to create and display 3-D models*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Group B: Qualification elective units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Weighting</w:t>
            </w:r>
            <w:r w:rsidRPr="004069AE">
              <w:rPr>
                <w:rStyle w:val="SpecialBold"/>
              </w:rPr>
              <w:t xml:space="preserve">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Apply safety awareness and legal requirements for ammonia refrigerant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Apply safety awareness and legal requirements for carbon dioxide refrigerant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Apply safety awareness and legal requirements for flammable refrigerants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and commission ammonia refrigeration systems, components and associated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and commission carbon dioxide refrigeration systems, components and associated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and commission flammable refrigerant air conditioning and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UEERA0054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Maintain microbial control of refrigerati</w:t>
            </w:r>
            <w:r w:rsidRPr="004069AE">
              <w:t>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Repair and service ammonia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Repair and service carbon dioxide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Repair and service secondary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Repair and service self-contained carbon dioxide refrigeration and heat pump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beverage dispensers*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central plant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dairy r</w:t>
            </w:r>
            <w:r w:rsidRPr="004069AE">
              <w:t>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hydronic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ice making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post-mix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refrigerated beverage vending cabinets*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transport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UEERA0078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Resolve problems in ultra-low temperature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UEERA0084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Service and repair self-contained fl</w:t>
            </w:r>
            <w:r w:rsidRPr="004069AE">
              <w:t>ammable refrigerants air conditioning and refrigeration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UEERA0097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Install, commission, service and maintain variable refrigerant flow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UEERA0098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Inspect, test and repair fire and smoke control features of mechanical services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Group C: Qualification elective units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Weighting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UEECO0001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Estimate electrotechnology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UEERA0060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Produce HVAC/R control system diagrams*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w:t>
            </w:r>
            <w:r w:rsidRPr="004069AE">
              <w:t>ERA0080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Select basic commercial refrigeration system equipment, components and accessories*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UEERA0082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Select residential air conditioning system equipment, components and accessories*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UEERE0015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 xml:space="preserve">Implement and monitor energy sector environmental and </w:t>
            </w:r>
            <w:r w:rsidRPr="004069AE">
              <w:t>sustainable policies and procedures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20</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Group D: Qualification elective units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Weighting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UEECD0014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Develop design briefs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UEECD0039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Provide solutions to basic engineering computational problems*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UEECO0014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Prepare tender submissions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ammonia refrigerated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carbon dioxide refrigerated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commercial refrigeration systems and select components*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control systems for refrigeration or heating, ventilation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UEERA0022</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heating, ventilation and air conditioning (HVAC) systems and select components*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hydrocarbon refrigerated syst</w:t>
            </w:r>
            <w:r w:rsidRPr="004069AE">
              <w: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UEERA0025</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industrial refrigeration systems and select components*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secondary refrigerant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Evaluate and report on building services energy management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Evaluate and report on the indoor air quality of buildings*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UEERE0066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Develop effective engineering strategies for energy reduction in buildings*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rPr>
                <w:rStyle w:val="SpecialBold"/>
              </w:rPr>
              <w:t>Group E: Qualification elective units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rPr>
                <w:rStyle w:val="SpecialBold"/>
              </w:rPr>
              <w:t>Weighting Points</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UEECO0003</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Manage contract variations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Audit HVAC/R control systems for compliance with regulations and standards*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UEERA0009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Audit energy use for commercial HVAC/R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UEERA0017</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complex air conditioning systems and select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120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UEERA0018</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complex commercial refrigeration systems and select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UEERA0019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complex control systems for refrigeration or heating, ventilation, air conditioning systems*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complex industrial refrigeration systems and select</w:t>
            </w:r>
            <w:r w:rsidRPr="004069AE">
              <w:t xml:space="preserve">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UEERA0024</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hydronic systems and select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UEERA0026</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Design mechanical ventilation/exhaust systems and select equipment*</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40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UEERA0029</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Develop heat exchanger design specifications*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80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UEERA0030</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Develop specifications and prepare drawings for HVAC/R projects*</w:t>
            </w:r>
          </w:p>
        </w:tc>
        <w:tc>
          <w:tcPr>
            <w:tcW w:w="2067"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60</w:t>
            </w:r>
          </w:p>
        </w:tc>
      </w:tr>
      <w:tr w:rsidTr="004069AE">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UEERA0041</w:t>
            </w:r>
          </w:p>
        </w:tc>
        <w:tc>
          <w:tcPr>
            <w:tcW w:w="5758" w:type="dxa"/>
            <w:tcBorders>
              <w:top w:val="nil"/>
              <w:left w:val="nil"/>
              <w:bottom w:val="nil"/>
              <w:right w:val="nil"/>
            </w:tcBorders>
            <w:tcMar>
              <w:top w:w="0" w:type="dxa"/>
              <w:left w:w="62" w:type="dxa"/>
              <w:bottom w:w="0" w:type="dxa"/>
              <w:right w:w="62" w:type="dxa"/>
            </w:tcMar>
          </w:tcPr>
          <w:p w:rsidR="00000000" w:rsidP="004069AE">
            <w:pPr>
              <w:pStyle w:val="BodyText"/>
              <w:rPr>
                <w:lang w:val="en-NZ"/>
              </w:rPr>
            </w:pPr>
            <w:r w:rsidRPr="004069AE">
              <w:t>Evaluate new and alternative technologies applicable to electrotechnology applications</w:t>
            </w:r>
          </w:p>
        </w:tc>
        <w:tc>
          <w:tcPr>
            <w:tcW w:w="2067" w:type="dxa"/>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t>40</w:t>
            </w:r>
          </w:p>
        </w:tc>
      </w:tr>
    </w:tbl>
    <w:p w:rsidR="00000000" w:rsidRPr="004069AE" w:rsidP="004069AE">
      <w:pPr>
        <w:pStyle w:val="NoPaddingFontSize1"/>
      </w:pPr>
    </w:p>
    <w:p w:rsidR="00000000" w:rsidRPr="004069AE" w:rsidP="004069AE">
      <w:pPr>
        <w:pStyle w:val="AllowPageBreak"/>
      </w:pPr>
    </w:p>
    <w:p w:rsidR="00000000" w:rsidRPr="004069AE" w:rsidP="004069AE">
      <w:pPr>
        <w:pStyle w:val="Heading1"/>
      </w:pPr>
      <w:bookmarkStart w:id="5" w:name="O_1297521"/>
      <w:bookmarkEnd w:id="5"/>
      <w:r w:rsidRPr="004069AE">
        <w:t>Qualification Mapping Information</w:t>
      </w:r>
    </w:p>
    <w:tbl>
      <w:tblPr>
        <w:tblW w:w="9497" w:type="dxa"/>
        <w:tblLayout w:type="fixed"/>
        <w:tblCellMar>
          <w:left w:w="62" w:type="dxa"/>
          <w:right w:w="62" w:type="dxa"/>
        </w:tblCellMar>
        <w:tblLook w:val="0000"/>
      </w:tblPr>
      <w:tblGrid>
        <w:gridCol w:w="9497"/>
      </w:tblGrid>
      <w:tr w:rsidTr="004069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9AE" w:rsidP="004069AE">
            <w:pPr>
              <w:pStyle w:val="BodyText"/>
            </w:pPr>
            <w:r w:rsidRPr="004069AE">
              <w:t xml:space="preserve">This qualification replaces and </w:t>
            </w:r>
            <w:r w:rsidRPr="004069AE">
              <w:t xml:space="preserve">is equivalent to UEE62520 Advanced Diploma of Air-conditioning and </w:t>
            </w:r>
            <w:r w:rsidRPr="004069AE">
              <w:t>Refrigeration Engineering</w:t>
            </w:r>
          </w:p>
        </w:tc>
      </w:tr>
    </w:tbl>
    <w:p w:rsidR="00000000" w:rsidRPr="004069AE" w:rsidP="004069AE">
      <w:pPr>
        <w:pStyle w:val="NoPaddingFontSize1"/>
      </w:pPr>
    </w:p>
    <w:p w:rsidR="00000000" w:rsidRPr="004069AE" w:rsidP="004069AE">
      <w:pPr>
        <w:pStyle w:val="AllowPageBreak"/>
      </w:pPr>
    </w:p>
    <w:p w:rsidR="00000000" w:rsidRPr="004069AE" w:rsidP="004069AE">
      <w:pPr>
        <w:pStyle w:val="Heading1"/>
      </w:pPr>
      <w:bookmarkStart w:id="6" w:name="O_1297522"/>
      <w:bookmarkEnd w:id="6"/>
      <w:r w:rsidRPr="004069AE">
        <w:t>Links</w:t>
      </w:r>
    </w:p>
    <w:p w:rsidR="00000000" w:rsidRPr="004069AE" w:rsidP="001428B8">
      <w:pPr>
        <w:pStyle w:val="BodyText"/>
      </w:pPr>
      <w:r w:rsidRPr="004069A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65E1D">
        <w:rPr>
          <w:rStyle w:val="Hyperlink"/>
        </w:rPr>
        <w:t>https://vetnet.gov.au/Pages/TrainingDocs.aspx?q=b8a8f136-5421-4ce1-92e0-2b50341431b6</w:t>
      </w:r>
      <w:r>
        <w:fldChar w:fldCharType="end"/>
      </w:r>
    </w:p>
    <w:p w:rsidR="00000000" w:rsidRPr="004069AE" w:rsidP="004069AE"/>
    <w:sectPr w:rsidSect="004069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AE" w:rsidRPr="001428B8" w:rsidP="00142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8" w:rsidP="00406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8B8" w:rsidP="004069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28B8" w:rsidP="00406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9AE" w:rsidRPr="001428B8" w:rsidP="00142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8" w:rsidRPr="002D2AF8" w:rsidP="004069AE">
    <w:pPr>
      <w:pStyle w:val="Header"/>
      <w:framePr w:wrap="around"/>
    </w:pPr>
    <w:r>
      <w:fldChar w:fldCharType="begin"/>
    </w:r>
    <w:r>
      <w:instrText xml:space="preserve"> TITLE   \* MERGEFORMAT </w:instrText>
    </w:r>
    <w:r>
      <w:fldChar w:fldCharType="separate"/>
    </w:r>
    <w:r>
      <w:t>UEE62525 Advanced Diploma of Air 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1428B8" w:rsidP="00406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9AE"/>
    <w:pPr>
      <w:spacing w:before="360" w:after="60"/>
      <w:outlineLvl w:val="0"/>
    </w:pPr>
    <w:rPr>
      <w:sz w:val="32"/>
    </w:rPr>
  </w:style>
  <w:style w:type="paragraph" w:styleId="Heading2">
    <w:name w:val="heading 2"/>
    <w:basedOn w:val="HeadingBase"/>
    <w:next w:val="BodyText"/>
    <w:link w:val="Heading2Char"/>
    <w:qFormat/>
    <w:rsid w:val="004069AE"/>
    <w:pPr>
      <w:keepLines/>
      <w:spacing w:before="240" w:after="120"/>
      <w:outlineLvl w:val="1"/>
    </w:pPr>
    <w:rPr>
      <w:sz w:val="28"/>
      <w:szCs w:val="40"/>
    </w:rPr>
  </w:style>
  <w:style w:type="paragraph" w:styleId="Heading3">
    <w:name w:val="heading 3"/>
    <w:basedOn w:val="HeadingBase"/>
    <w:next w:val="BodyText"/>
    <w:link w:val="Heading3Char"/>
    <w:qFormat/>
    <w:rsid w:val="004069AE"/>
    <w:pPr>
      <w:spacing w:before="180" w:after="120"/>
      <w:outlineLvl w:val="2"/>
    </w:pPr>
    <w:rPr>
      <w:spacing w:val="-10"/>
      <w:kern w:val="32"/>
    </w:rPr>
  </w:style>
  <w:style w:type="paragraph" w:styleId="Heading4">
    <w:name w:val="heading 4"/>
    <w:basedOn w:val="HeadingBase"/>
    <w:next w:val="BodyText"/>
    <w:link w:val="Heading4Char"/>
    <w:qFormat/>
    <w:rsid w:val="004069AE"/>
    <w:pPr>
      <w:spacing w:before="160" w:after="120"/>
      <w:outlineLvl w:val="3"/>
    </w:pPr>
    <w:rPr>
      <w:sz w:val="22"/>
    </w:rPr>
  </w:style>
  <w:style w:type="paragraph" w:styleId="Heading5">
    <w:name w:val="heading 5"/>
    <w:basedOn w:val="HeadingBase"/>
    <w:next w:val="Normal"/>
    <w:link w:val="Heading5Char"/>
    <w:qFormat/>
    <w:rsid w:val="004069AE"/>
    <w:pPr>
      <w:spacing w:before="80"/>
      <w:outlineLvl w:val="4"/>
    </w:pPr>
    <w:rPr>
      <w:color w:val="918585"/>
      <w:sz w:val="20"/>
    </w:rPr>
  </w:style>
  <w:style w:type="paragraph" w:styleId="Heading6">
    <w:name w:val="heading 6"/>
    <w:basedOn w:val="HeadingBase"/>
    <w:next w:val="Normal"/>
    <w:link w:val="Heading6Char"/>
    <w:qFormat/>
    <w:rsid w:val="004069AE"/>
    <w:pPr>
      <w:spacing w:before="60"/>
      <w:outlineLvl w:val="5"/>
    </w:pPr>
    <w:rPr>
      <w:color w:val="918585"/>
      <w:sz w:val="20"/>
    </w:rPr>
  </w:style>
  <w:style w:type="paragraph" w:styleId="Heading7">
    <w:name w:val="heading 7"/>
    <w:basedOn w:val="Normal"/>
    <w:next w:val="Normal"/>
    <w:link w:val="Heading7Char"/>
    <w:qFormat/>
    <w:rsid w:val="004069AE"/>
    <w:pPr>
      <w:ind w:left="720"/>
      <w:outlineLvl w:val="6"/>
    </w:pPr>
    <w:rPr>
      <w:i/>
    </w:rPr>
  </w:style>
  <w:style w:type="paragraph" w:styleId="Heading8">
    <w:name w:val="heading 8"/>
    <w:basedOn w:val="Normal"/>
    <w:next w:val="Normal"/>
    <w:link w:val="Heading8Char"/>
    <w:qFormat/>
    <w:rsid w:val="004069AE"/>
    <w:pPr>
      <w:ind w:left="720"/>
      <w:outlineLvl w:val="7"/>
    </w:pPr>
    <w:rPr>
      <w:i/>
    </w:rPr>
  </w:style>
  <w:style w:type="paragraph" w:styleId="Heading9">
    <w:name w:val="heading 9"/>
    <w:basedOn w:val="Normal"/>
    <w:next w:val="Normal"/>
    <w:link w:val="Heading9Char"/>
    <w:qFormat/>
    <w:rsid w:val="004069AE"/>
    <w:pPr>
      <w:ind w:left="720"/>
      <w:outlineLvl w:val="8"/>
    </w:pPr>
    <w:rPr>
      <w:i/>
    </w:rPr>
  </w:style>
  <w:style w:type="character" w:default="1" w:styleId="DefaultParagraphFont">
    <w:name w:val="Default Paragraph Font"/>
    <w:uiPriority w:val="1"/>
    <w:unhideWhenUsed/>
    <w:rsid w:val="00406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9AE"/>
  </w:style>
  <w:style w:type="character" w:customStyle="1" w:styleId="Heading1Char">
    <w:name w:val="Heading 1 Char"/>
    <w:basedOn w:val="DefaultParagraphFont"/>
    <w:link w:val="Heading1"/>
    <w:rsid w:val="004069AE"/>
    <w:rPr>
      <w:rFonts w:ascii="Times New Roman" w:eastAsia="Times New Roman" w:hAnsi="Times New Roman" w:cs="Times New Roman"/>
      <w:b/>
      <w:sz w:val="32"/>
      <w:szCs w:val="20"/>
      <w:lang w:eastAsia="en-US"/>
    </w:rPr>
  </w:style>
  <w:style w:type="paragraph" w:styleId="BodyText">
    <w:name w:val="Body Text"/>
    <w:basedOn w:val="Normal"/>
    <w:link w:val="BodyTextChar"/>
    <w:rsid w:val="00406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9AE"/>
    <w:rPr>
      <w:rFonts w:ascii="Times New Roman" w:eastAsia="Times New Roman" w:hAnsi="Times New Roman" w:cs="Times New Roman"/>
      <w:sz w:val="24"/>
      <w:lang w:eastAsia="en-US"/>
    </w:rPr>
  </w:style>
  <w:style w:type="character" w:customStyle="1" w:styleId="SpecialBold">
    <w:name w:val="Special Bold"/>
    <w:basedOn w:val="DefaultParagraphFont"/>
    <w:rsid w:val="004069AE"/>
    <w:rPr>
      <w:b/>
      <w:spacing w:val="0"/>
    </w:rPr>
  </w:style>
  <w:style w:type="paragraph" w:customStyle="1" w:styleId="SuperHeading">
    <w:name w:val="SuperHeading"/>
    <w:basedOn w:val="Normal"/>
    <w:rsid w:val="004069AE"/>
    <w:pPr>
      <w:spacing w:before="240" w:after="120"/>
      <w:outlineLvl w:val="0"/>
    </w:pPr>
    <w:rPr>
      <w:rFonts w:ascii="Times New Roman" w:hAnsi="Times New Roman"/>
      <w:b/>
      <w:sz w:val="32"/>
    </w:rPr>
  </w:style>
  <w:style w:type="paragraph" w:customStyle="1" w:styleId="AllowPageBreak">
    <w:name w:val="AllowPageBreak"/>
    <w:rsid w:val="004069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9AE"/>
    <w:rPr>
      <w:rFonts w:ascii="Courier New" w:eastAsia="Times New Roman" w:hAnsi="Courier New" w:cs="Times New Roman"/>
      <w:i/>
      <w:szCs w:val="20"/>
      <w:lang w:eastAsia="en-US"/>
    </w:rPr>
  </w:style>
  <w:style w:type="paragraph" w:customStyle="1" w:styleId="HeadingBase">
    <w:name w:val="Heading Base"/>
    <w:rsid w:val="00406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9AE"/>
    <w:pPr>
      <w:tabs>
        <w:tab w:val="right" w:leader="dot" w:pos="9072"/>
      </w:tabs>
      <w:ind w:left="567"/>
    </w:pPr>
    <w:rPr>
      <w:szCs w:val="22"/>
    </w:rPr>
  </w:style>
  <w:style w:type="paragraph" w:customStyle="1" w:styleId="TOCBase">
    <w:name w:val="TOC Base"/>
    <w:rsid w:val="00406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9AE"/>
    <w:pPr>
      <w:tabs>
        <w:tab w:val="right" w:leader="dot" w:pos="9072"/>
      </w:tabs>
      <w:spacing w:before="40" w:after="40"/>
      <w:ind w:left="284"/>
    </w:pPr>
    <w:rPr>
      <w:rFonts w:ascii="Times New Roman" w:hAnsi="Times New Roman"/>
    </w:rPr>
  </w:style>
  <w:style w:type="paragraph" w:styleId="TOC1">
    <w:name w:val="toc 1"/>
    <w:basedOn w:val="TOCBase"/>
    <w:next w:val="Normal"/>
    <w:rsid w:val="00406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9AE"/>
    <w:rPr>
      <w:rFonts w:ascii="Times New Roman" w:eastAsia="Times New Roman" w:hAnsi="Times New Roman" w:cs="Times New Roman"/>
      <w:sz w:val="16"/>
      <w:lang w:eastAsia="en-US"/>
    </w:rPr>
  </w:style>
  <w:style w:type="paragraph" w:styleId="Title">
    <w:name w:val="Title"/>
    <w:basedOn w:val="HeadingBase"/>
    <w:link w:val="TitleChar"/>
    <w:qFormat/>
    <w:rsid w:val="004069AE"/>
    <w:pPr>
      <w:spacing w:before="5040"/>
      <w:jc w:val="center"/>
    </w:pPr>
    <w:rPr>
      <w:sz w:val="48"/>
      <w:szCs w:val="72"/>
      <w:lang w:val="en-US"/>
    </w:rPr>
  </w:style>
  <w:style w:type="character" w:customStyle="1" w:styleId="TitleChar">
    <w:name w:val="Title Char"/>
    <w:basedOn w:val="DefaultParagraphFont"/>
    <w:link w:val="Title"/>
    <w:rsid w:val="00406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9AE"/>
    <w:pPr>
      <w:tabs>
        <w:tab w:val="left" w:pos="3600"/>
        <w:tab w:val="left" w:pos="3958"/>
      </w:tabs>
    </w:pPr>
  </w:style>
  <w:style w:type="paragraph" w:styleId="List">
    <w:name w:val="List"/>
    <w:basedOn w:val="BodyText"/>
    <w:next w:val="BodyText"/>
    <w:rsid w:val="004069AE"/>
    <w:pPr>
      <w:tabs>
        <w:tab w:val="left" w:pos="340"/>
      </w:tabs>
      <w:spacing w:before="60" w:after="60"/>
      <w:ind w:left="340" w:hanging="340"/>
    </w:pPr>
  </w:style>
  <w:style w:type="paragraph" w:styleId="ListBullet">
    <w:name w:val="List Bullet"/>
    <w:basedOn w:val="List"/>
    <w:rsid w:val="004069AE"/>
    <w:pPr>
      <w:numPr>
        <w:numId w:val="10"/>
      </w:numPr>
      <w:tabs>
        <w:tab w:val="clear" w:pos="340"/>
      </w:tabs>
      <w:spacing w:before="40" w:after="40"/>
    </w:pPr>
  </w:style>
  <w:style w:type="paragraph" w:customStyle="1" w:styleId="Note">
    <w:name w:val="Note"/>
    <w:basedOn w:val="BodyText"/>
    <w:rsid w:val="00406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9AE"/>
    <w:pPr>
      <w:framePr w:wrap="auto" w:hAnchor="text" w:y="6049"/>
    </w:pPr>
    <w:rPr>
      <w:color w:val="000000"/>
      <w:sz w:val="40"/>
    </w:rPr>
  </w:style>
  <w:style w:type="paragraph" w:customStyle="1" w:styleId="TOCTitle">
    <w:name w:val="TOCTitle"/>
    <w:basedOn w:val="Heading1"/>
    <w:rsid w:val="004069AE"/>
    <w:pPr>
      <w:spacing w:after="240"/>
      <w:jc w:val="center"/>
      <w:outlineLvl w:val="9"/>
    </w:pPr>
    <w:rPr>
      <w:caps/>
    </w:rPr>
  </w:style>
  <w:style w:type="paragraph" w:customStyle="1" w:styleId="Version">
    <w:name w:val="Version"/>
    <w:rsid w:val="00406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9AE"/>
    <w:pPr>
      <w:numPr>
        <w:numId w:val="11"/>
      </w:numPr>
      <w:tabs>
        <w:tab w:val="clear" w:pos="680"/>
      </w:tabs>
    </w:pPr>
  </w:style>
  <w:style w:type="paragraph" w:styleId="Index1">
    <w:name w:val="index 1"/>
    <w:basedOn w:val="Normal"/>
    <w:next w:val="Normal"/>
    <w:semiHidden/>
    <w:rsid w:val="004069AE"/>
    <w:pPr>
      <w:keepNext w:val="0"/>
      <w:tabs>
        <w:tab w:val="right" w:pos="4176"/>
      </w:tabs>
      <w:ind w:left="198" w:hanging="198"/>
    </w:pPr>
    <w:rPr>
      <w:rFonts w:ascii="Garamond" w:hAnsi="Garamond"/>
    </w:rPr>
  </w:style>
  <w:style w:type="paragraph" w:styleId="IndexHeading">
    <w:name w:val="index heading"/>
    <w:basedOn w:val="Normal"/>
    <w:next w:val="Index1"/>
    <w:semiHidden/>
    <w:rsid w:val="004069AE"/>
    <w:pPr>
      <w:spacing w:before="120" w:after="120"/>
    </w:pPr>
    <w:rPr>
      <w:rFonts w:ascii="Arial" w:hAnsi="Arial"/>
      <w:b/>
      <w:color w:val="918585"/>
      <w:sz w:val="24"/>
    </w:rPr>
  </w:style>
  <w:style w:type="paragraph" w:styleId="Header">
    <w:name w:val="header"/>
    <w:basedOn w:val="Normal"/>
    <w:link w:val="HeaderChar"/>
    <w:rsid w:val="00406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9AE"/>
    <w:rPr>
      <w:rFonts w:ascii="Times New Roman" w:eastAsia="Times New Roman" w:hAnsi="Times New Roman" w:cs="Times New Roman"/>
      <w:sz w:val="16"/>
      <w:szCs w:val="20"/>
      <w:lang w:val="en-GB" w:eastAsia="en-US"/>
    </w:rPr>
  </w:style>
  <w:style w:type="paragraph" w:customStyle="1" w:styleId="Chapter">
    <w:name w:val="Chapter"/>
    <w:basedOn w:val="Normal"/>
    <w:rsid w:val="004069AE"/>
    <w:pPr>
      <w:spacing w:before="240"/>
    </w:pPr>
    <w:rPr>
      <w:rFonts w:ascii="Times New Roman" w:hAnsi="Times New Roman"/>
      <w:smallCaps/>
      <w:spacing w:val="80"/>
      <w:sz w:val="28"/>
    </w:rPr>
  </w:style>
  <w:style w:type="paragraph" w:customStyle="1" w:styleId="InChapter">
    <w:name w:val="InChapter"/>
    <w:basedOn w:val="Heading3"/>
    <w:rsid w:val="004069AE"/>
    <w:pPr>
      <w:spacing w:after="240"/>
      <w:outlineLvl w:val="9"/>
    </w:pPr>
    <w:rPr>
      <w:noProof/>
    </w:rPr>
  </w:style>
  <w:style w:type="paragraph" w:styleId="Index2">
    <w:name w:val="index 2"/>
    <w:basedOn w:val="Normal"/>
    <w:next w:val="Normal"/>
    <w:semiHidden/>
    <w:rsid w:val="004069AE"/>
    <w:pPr>
      <w:tabs>
        <w:tab w:val="right" w:pos="4176"/>
      </w:tabs>
      <w:ind w:left="568" w:hanging="284"/>
    </w:pPr>
    <w:rPr>
      <w:rFonts w:ascii="Garamond" w:hAnsi="Garamond"/>
    </w:rPr>
  </w:style>
  <w:style w:type="paragraph" w:customStyle="1" w:styleId="Byline">
    <w:name w:val="Byline"/>
    <w:rsid w:val="00406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9AE"/>
    <w:pPr>
      <w:tabs>
        <w:tab w:val="clear" w:pos="3600"/>
        <w:tab w:val="clear" w:pos="3958"/>
      </w:tabs>
      <w:jc w:val="right"/>
    </w:pPr>
  </w:style>
  <w:style w:type="character" w:styleId="Emphasis">
    <w:name w:val="Emphasis"/>
    <w:basedOn w:val="DefaultParagraphFont"/>
    <w:qFormat/>
    <w:rsid w:val="004069AE"/>
    <w:rPr>
      <w:i/>
    </w:rPr>
  </w:style>
  <w:style w:type="paragraph" w:styleId="Caption">
    <w:name w:val="caption"/>
    <w:basedOn w:val="BodyText"/>
    <w:next w:val="Normal"/>
    <w:qFormat/>
    <w:rsid w:val="004069AE"/>
    <w:pPr>
      <w:framePr w:w="2268" w:hSpace="181" w:vSpace="181" w:wrap="around" w:vAnchor="text" w:hAnchor="page" w:x="1135" w:y="285" w:anchorLock="1"/>
    </w:pPr>
    <w:rPr>
      <w:i/>
    </w:rPr>
  </w:style>
  <w:style w:type="paragraph" w:customStyle="1" w:styleId="MiniTOCTitle">
    <w:name w:val="MiniTOCTitle"/>
    <w:basedOn w:val="Heading4"/>
    <w:rsid w:val="004069AE"/>
    <w:pPr>
      <w:spacing w:before="240"/>
      <w:outlineLvl w:val="9"/>
    </w:pPr>
    <w:rPr>
      <w:noProof/>
      <w:sz w:val="24"/>
    </w:rPr>
  </w:style>
  <w:style w:type="paragraph" w:customStyle="1" w:styleId="MiniTOCItem">
    <w:name w:val="MiniTOCItem"/>
    <w:basedOn w:val="ListBullet"/>
    <w:rsid w:val="004069AE"/>
    <w:pPr>
      <w:numPr>
        <w:numId w:val="0"/>
      </w:numPr>
      <w:tabs>
        <w:tab w:val="right" w:leader="dot" w:pos="6521"/>
      </w:tabs>
      <w:spacing w:before="0" w:after="0"/>
    </w:pPr>
  </w:style>
  <w:style w:type="paragraph" w:customStyle="1" w:styleId="TOFTitle">
    <w:name w:val="TOFTitle"/>
    <w:basedOn w:val="TOCTitle"/>
    <w:rsid w:val="004069AE"/>
  </w:style>
  <w:style w:type="paragraph" w:styleId="TableofFigures">
    <w:name w:val="table of figures"/>
    <w:basedOn w:val="Normal"/>
    <w:next w:val="Normal"/>
    <w:semiHidden/>
    <w:rsid w:val="004069AE"/>
    <w:pPr>
      <w:tabs>
        <w:tab w:val="right" w:leader="dot" w:pos="9072"/>
      </w:tabs>
      <w:ind w:left="970" w:hanging="403"/>
    </w:pPr>
    <w:rPr>
      <w:rFonts w:ascii="Times New Roman" w:hAnsi="Times New Roman"/>
      <w:b/>
    </w:rPr>
  </w:style>
  <w:style w:type="paragraph" w:styleId="ListNumber">
    <w:name w:val="List Number"/>
    <w:basedOn w:val="List"/>
    <w:rsid w:val="004069AE"/>
    <w:pPr>
      <w:numPr>
        <w:numId w:val="13"/>
      </w:numPr>
      <w:tabs>
        <w:tab w:val="clear" w:pos="340"/>
      </w:tabs>
    </w:pPr>
  </w:style>
  <w:style w:type="character" w:customStyle="1" w:styleId="WingdingSymbols">
    <w:name w:val="Wingding Symbols"/>
    <w:rsid w:val="004069AE"/>
    <w:rPr>
      <w:rFonts w:ascii="Wingdings" w:hAnsi="Wingdings"/>
    </w:rPr>
  </w:style>
  <w:style w:type="paragraph" w:customStyle="1" w:styleId="TableHeading">
    <w:name w:val="Table Heading"/>
    <w:basedOn w:val="HeadingBase"/>
    <w:rsid w:val="004069AE"/>
    <w:pPr>
      <w:keepLines/>
      <w:pBdr>
        <w:bottom w:val="single" w:sz="6" w:space="1" w:color="918585"/>
      </w:pBdr>
      <w:spacing w:before="240"/>
    </w:pPr>
  </w:style>
  <w:style w:type="character" w:customStyle="1" w:styleId="HotSpot">
    <w:name w:val="HotSpot"/>
    <w:rsid w:val="004069AE"/>
    <w:rPr>
      <w:color w:val="0033CC"/>
      <w:u w:val="none"/>
    </w:rPr>
  </w:style>
  <w:style w:type="paragraph" w:customStyle="1" w:styleId="BodyTextRight">
    <w:name w:val="Body Text Right"/>
    <w:basedOn w:val="BodyText"/>
    <w:rsid w:val="004069AE"/>
    <w:pPr>
      <w:spacing w:before="0" w:after="0"/>
      <w:jc w:val="right"/>
    </w:pPr>
  </w:style>
  <w:style w:type="paragraph" w:styleId="Index3">
    <w:name w:val="index 3"/>
    <w:basedOn w:val="ListNumber2"/>
    <w:next w:val="Normal"/>
    <w:semiHidden/>
    <w:rsid w:val="004069AE"/>
    <w:pPr>
      <w:numPr>
        <w:numId w:val="0"/>
      </w:numPr>
      <w:tabs>
        <w:tab w:val="right" w:leader="dot" w:pos="4176"/>
      </w:tabs>
    </w:pPr>
  </w:style>
  <w:style w:type="paragraph" w:styleId="ListNumber2">
    <w:name w:val="List Number 2"/>
    <w:basedOn w:val="List2"/>
    <w:rsid w:val="004069AE"/>
    <w:pPr>
      <w:numPr>
        <w:numId w:val="8"/>
      </w:numPr>
      <w:tabs>
        <w:tab w:val="clear" w:pos="1060"/>
      </w:tabs>
    </w:pPr>
  </w:style>
  <w:style w:type="paragraph" w:customStyle="1" w:styleId="MarginNote">
    <w:name w:val="Margin Note"/>
    <w:basedOn w:val="BodyText"/>
    <w:rsid w:val="00406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9AE"/>
    <w:rPr>
      <w:sz w:val="32"/>
    </w:rPr>
  </w:style>
  <w:style w:type="paragraph" w:customStyle="1" w:styleId="HeadingProcedure">
    <w:name w:val="Heading Procedure"/>
    <w:basedOn w:val="HeadingBase"/>
    <w:next w:val="Normal"/>
    <w:rsid w:val="004069AE"/>
    <w:pPr>
      <w:tabs>
        <w:tab w:val="left" w:pos="0"/>
      </w:tabs>
      <w:spacing w:before="120" w:after="60"/>
    </w:pPr>
    <w:rPr>
      <w:i/>
      <w:color w:val="918585"/>
      <w:sz w:val="22"/>
    </w:rPr>
  </w:style>
  <w:style w:type="paragraph" w:customStyle="1" w:styleId="TableBodyText">
    <w:name w:val="Table Body Text"/>
    <w:basedOn w:val="BodyText"/>
    <w:rsid w:val="004069AE"/>
    <w:pPr>
      <w:spacing w:before="60" w:after="60"/>
    </w:pPr>
  </w:style>
  <w:style w:type="paragraph" w:styleId="ListContinue">
    <w:name w:val="List Continue"/>
    <w:basedOn w:val="List"/>
    <w:rsid w:val="004069AE"/>
    <w:pPr>
      <w:ind w:firstLine="0"/>
    </w:pPr>
  </w:style>
  <w:style w:type="paragraph" w:customStyle="1" w:styleId="ListNote">
    <w:name w:val="List Note"/>
    <w:basedOn w:val="List"/>
    <w:rsid w:val="004069AE"/>
    <w:pPr>
      <w:pBdr>
        <w:top w:val="single" w:sz="6" w:space="2" w:color="918585"/>
        <w:bottom w:val="single" w:sz="6" w:space="2" w:color="918585"/>
      </w:pBdr>
      <w:tabs>
        <w:tab w:val="left" w:pos="1021"/>
      </w:tabs>
      <w:ind w:firstLine="0"/>
    </w:pPr>
  </w:style>
  <w:style w:type="paragraph" w:customStyle="1" w:styleId="Warning">
    <w:name w:val="Warning"/>
    <w:basedOn w:val="BodyText"/>
    <w:rsid w:val="004069AE"/>
    <w:pPr>
      <w:shd w:val="clear" w:color="auto" w:fill="D9D9D9"/>
      <w:tabs>
        <w:tab w:val="left" w:pos="992"/>
      </w:tabs>
      <w:ind w:left="119" w:right="119"/>
    </w:pPr>
    <w:rPr>
      <w:sz w:val="20"/>
    </w:rPr>
  </w:style>
  <w:style w:type="paragraph" w:customStyle="1" w:styleId="MarginIcons">
    <w:name w:val="Margin Icons"/>
    <w:basedOn w:val="BodyText"/>
    <w:rsid w:val="00406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9AE"/>
    <w:rPr>
      <w:rFonts w:ascii="Courier New" w:hAnsi="Courier New"/>
    </w:rPr>
  </w:style>
  <w:style w:type="paragraph" w:customStyle="1" w:styleId="NoteBullet">
    <w:name w:val="Note Bullet"/>
    <w:basedOn w:val="Note"/>
    <w:rsid w:val="004069AE"/>
    <w:pPr>
      <w:tabs>
        <w:tab w:val="clear" w:pos="680"/>
      </w:tabs>
      <w:spacing w:before="60" w:after="60"/>
    </w:pPr>
  </w:style>
  <w:style w:type="paragraph" w:customStyle="1" w:styleId="SubHeading2">
    <w:name w:val="SubHeading2"/>
    <w:basedOn w:val="HeadingBase"/>
    <w:rsid w:val="004069AE"/>
    <w:pPr>
      <w:spacing w:before="240" w:after="60"/>
    </w:pPr>
    <w:rPr>
      <w:sz w:val="20"/>
    </w:rPr>
  </w:style>
  <w:style w:type="paragraph" w:customStyle="1" w:styleId="SubHeading1">
    <w:name w:val="SubHeading1"/>
    <w:basedOn w:val="HeadingBase"/>
    <w:rsid w:val="004069AE"/>
    <w:pPr>
      <w:spacing w:before="240" w:after="60"/>
    </w:pPr>
    <w:rPr>
      <w:color w:val="918585"/>
      <w:sz w:val="22"/>
    </w:rPr>
  </w:style>
  <w:style w:type="paragraph" w:customStyle="1" w:styleId="SideHeading">
    <w:name w:val="Side Heading"/>
    <w:basedOn w:val="HeadingBase"/>
    <w:rsid w:val="00406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9AE"/>
    <w:pPr>
      <w:numPr>
        <w:numId w:val="9"/>
      </w:numPr>
    </w:pPr>
  </w:style>
  <w:style w:type="paragraph" w:styleId="PlainText">
    <w:name w:val="Plain Text"/>
    <w:basedOn w:val="Normal"/>
    <w:link w:val="PlainTextChar"/>
    <w:rsid w:val="004069AE"/>
    <w:rPr>
      <w:sz w:val="20"/>
    </w:rPr>
  </w:style>
  <w:style w:type="character" w:customStyle="1" w:styleId="PlainTextChar">
    <w:name w:val="Plain Text Char"/>
    <w:basedOn w:val="DefaultParagraphFont"/>
    <w:link w:val="PlainText"/>
    <w:rsid w:val="004069AE"/>
    <w:rPr>
      <w:rFonts w:ascii="Courier New" w:eastAsia="Times New Roman" w:hAnsi="Courier New" w:cs="Times New Roman"/>
      <w:sz w:val="20"/>
      <w:szCs w:val="20"/>
      <w:lang w:eastAsia="en-US"/>
    </w:rPr>
  </w:style>
  <w:style w:type="character" w:customStyle="1" w:styleId="MenuOption">
    <w:name w:val="Menu Option"/>
    <w:basedOn w:val="DefaultParagraphFont"/>
    <w:rsid w:val="004069AE"/>
    <w:rPr>
      <w:b/>
      <w:smallCaps/>
    </w:rPr>
  </w:style>
  <w:style w:type="paragraph" w:customStyle="1" w:styleId="TableListNumber">
    <w:name w:val="Table List Number"/>
    <w:basedOn w:val="ListNumber"/>
    <w:rsid w:val="004069AE"/>
    <w:pPr>
      <w:numPr>
        <w:numId w:val="0"/>
      </w:numPr>
    </w:pPr>
  </w:style>
  <w:style w:type="paragraph" w:styleId="TOC4">
    <w:name w:val="toc 4"/>
    <w:basedOn w:val="TOCBase"/>
    <w:next w:val="Normal"/>
    <w:semiHidden/>
    <w:rsid w:val="004069AE"/>
    <w:pPr>
      <w:tabs>
        <w:tab w:val="right" w:leader="dot" w:pos="9071"/>
      </w:tabs>
      <w:ind w:left="1701"/>
    </w:pPr>
  </w:style>
  <w:style w:type="paragraph" w:customStyle="1" w:styleId="ListAlpha">
    <w:name w:val="List Alpha"/>
    <w:basedOn w:val="List"/>
    <w:rsid w:val="004069AE"/>
    <w:pPr>
      <w:numPr>
        <w:numId w:val="7"/>
      </w:numPr>
    </w:pPr>
  </w:style>
  <w:style w:type="paragraph" w:customStyle="1" w:styleId="ListAlpha2">
    <w:name w:val="List Alpha 2"/>
    <w:basedOn w:val="List2"/>
    <w:rsid w:val="004069AE"/>
    <w:pPr>
      <w:numPr>
        <w:numId w:val="6"/>
      </w:numPr>
    </w:pPr>
  </w:style>
  <w:style w:type="paragraph" w:styleId="List2">
    <w:name w:val="List 2"/>
    <w:basedOn w:val="BodyText"/>
    <w:rsid w:val="004069AE"/>
    <w:pPr>
      <w:tabs>
        <w:tab w:val="left" w:pos="680"/>
      </w:tabs>
      <w:spacing w:before="60" w:after="60"/>
      <w:ind w:left="680" w:hanging="340"/>
    </w:pPr>
  </w:style>
  <w:style w:type="paragraph" w:styleId="List3">
    <w:name w:val="List 3"/>
    <w:basedOn w:val="BodyText"/>
    <w:rsid w:val="004069AE"/>
    <w:pPr>
      <w:tabs>
        <w:tab w:val="left" w:pos="1021"/>
      </w:tabs>
      <w:spacing w:before="60" w:after="60"/>
      <w:ind w:left="1020" w:hanging="340"/>
    </w:pPr>
  </w:style>
  <w:style w:type="paragraph" w:styleId="List4">
    <w:name w:val="List 4"/>
    <w:basedOn w:val="BodyText"/>
    <w:rsid w:val="004069AE"/>
    <w:pPr>
      <w:tabs>
        <w:tab w:val="left" w:pos="1361"/>
      </w:tabs>
      <w:spacing w:before="60" w:after="60"/>
      <w:ind w:left="1361" w:hanging="340"/>
    </w:pPr>
  </w:style>
  <w:style w:type="paragraph" w:styleId="List5">
    <w:name w:val="List 5"/>
    <w:basedOn w:val="BodyText"/>
    <w:rsid w:val="004069AE"/>
    <w:pPr>
      <w:tabs>
        <w:tab w:val="left" w:pos="1701"/>
      </w:tabs>
      <w:spacing w:before="60" w:after="60"/>
      <w:ind w:left="1701" w:hanging="340"/>
    </w:pPr>
  </w:style>
  <w:style w:type="paragraph" w:styleId="ListBullet3">
    <w:name w:val="List Bullet 3"/>
    <w:basedOn w:val="List3"/>
    <w:rsid w:val="004069AE"/>
    <w:pPr>
      <w:numPr>
        <w:numId w:val="12"/>
      </w:numPr>
      <w:tabs>
        <w:tab w:val="clear" w:pos="1021"/>
      </w:tabs>
      <w:ind w:left="1037" w:hanging="357"/>
    </w:pPr>
  </w:style>
  <w:style w:type="paragraph" w:styleId="ListBullet4">
    <w:name w:val="List Bullet 4"/>
    <w:basedOn w:val="List4"/>
    <w:rsid w:val="004069AE"/>
    <w:pPr>
      <w:numPr>
        <w:numId w:val="1"/>
      </w:numPr>
      <w:tabs>
        <w:tab w:val="clear" w:pos="1361"/>
      </w:tabs>
    </w:pPr>
  </w:style>
  <w:style w:type="paragraph" w:styleId="ListBullet5">
    <w:name w:val="List Bullet 5"/>
    <w:basedOn w:val="List5"/>
    <w:rsid w:val="004069AE"/>
    <w:pPr>
      <w:numPr>
        <w:numId w:val="2"/>
      </w:numPr>
    </w:pPr>
  </w:style>
  <w:style w:type="paragraph" w:styleId="ListContinue2">
    <w:name w:val="List Continue 2"/>
    <w:basedOn w:val="List2"/>
    <w:rsid w:val="004069AE"/>
    <w:pPr>
      <w:ind w:firstLine="0"/>
    </w:pPr>
  </w:style>
  <w:style w:type="paragraph" w:styleId="ListContinue3">
    <w:name w:val="List Continue 3"/>
    <w:basedOn w:val="List3"/>
    <w:rsid w:val="004069AE"/>
    <w:pPr>
      <w:ind w:left="1021" w:firstLine="0"/>
    </w:pPr>
  </w:style>
  <w:style w:type="paragraph" w:styleId="ListContinue4">
    <w:name w:val="List Continue 4"/>
    <w:basedOn w:val="List4"/>
    <w:rsid w:val="004069AE"/>
    <w:pPr>
      <w:ind w:firstLine="0"/>
    </w:pPr>
  </w:style>
  <w:style w:type="paragraph" w:styleId="ListContinue5">
    <w:name w:val="List Continue 5"/>
    <w:basedOn w:val="List5"/>
    <w:rsid w:val="004069AE"/>
    <w:pPr>
      <w:ind w:firstLine="0"/>
    </w:pPr>
  </w:style>
  <w:style w:type="paragraph" w:styleId="ListNumber3">
    <w:name w:val="List Number 3"/>
    <w:basedOn w:val="List3"/>
    <w:rsid w:val="004069AE"/>
    <w:pPr>
      <w:numPr>
        <w:numId w:val="3"/>
      </w:numPr>
    </w:pPr>
  </w:style>
  <w:style w:type="paragraph" w:styleId="ListNumber4">
    <w:name w:val="List Number 4"/>
    <w:basedOn w:val="List4"/>
    <w:rsid w:val="004069AE"/>
    <w:pPr>
      <w:numPr>
        <w:numId w:val="4"/>
      </w:numPr>
    </w:pPr>
  </w:style>
  <w:style w:type="paragraph" w:styleId="ListNumber5">
    <w:name w:val="List Number 5"/>
    <w:basedOn w:val="List5"/>
    <w:rsid w:val="004069AE"/>
    <w:pPr>
      <w:numPr>
        <w:numId w:val="5"/>
      </w:numPr>
    </w:pPr>
  </w:style>
  <w:style w:type="paragraph" w:styleId="BlockText">
    <w:name w:val="Block Text"/>
    <w:basedOn w:val="Normal"/>
    <w:rsid w:val="004069AE"/>
    <w:pPr>
      <w:spacing w:after="120"/>
      <w:ind w:left="1440" w:right="1440"/>
    </w:pPr>
  </w:style>
  <w:style w:type="character" w:customStyle="1" w:styleId="Subscript">
    <w:name w:val="Subscript"/>
    <w:basedOn w:val="DefaultParagraphFont"/>
    <w:rsid w:val="004069AE"/>
    <w:rPr>
      <w:sz w:val="16"/>
      <w:vertAlign w:val="subscript"/>
    </w:rPr>
  </w:style>
  <w:style w:type="character" w:customStyle="1" w:styleId="Superscript">
    <w:name w:val="Superscript"/>
    <w:basedOn w:val="DefaultParagraphFont"/>
    <w:rsid w:val="004069AE"/>
    <w:rPr>
      <w:sz w:val="16"/>
      <w:vertAlign w:val="superscript"/>
    </w:rPr>
  </w:style>
  <w:style w:type="character" w:customStyle="1" w:styleId="Symbols">
    <w:name w:val="Symbols"/>
    <w:basedOn w:val="DefaultParagraphFont"/>
    <w:rsid w:val="004069AE"/>
    <w:rPr>
      <w:rFonts w:ascii="Symbol" w:hAnsi="Symbol"/>
    </w:rPr>
  </w:style>
  <w:style w:type="character" w:customStyle="1" w:styleId="MenuOptions">
    <w:name w:val="Menu Options"/>
    <w:basedOn w:val="DefaultParagraphFont"/>
    <w:rsid w:val="004069AE"/>
    <w:rPr>
      <w:rFonts w:ascii="Arial Narrow" w:hAnsi="Arial Narrow"/>
      <w:smallCaps/>
    </w:rPr>
  </w:style>
  <w:style w:type="character" w:customStyle="1" w:styleId="Buttons">
    <w:name w:val="Buttons"/>
    <w:basedOn w:val="DefaultParagraphFont"/>
    <w:rsid w:val="004069AE"/>
    <w:rPr>
      <w:b/>
    </w:rPr>
  </w:style>
  <w:style w:type="character" w:customStyle="1" w:styleId="Underlined">
    <w:name w:val="Underlined"/>
    <w:basedOn w:val="DefaultParagraphFont"/>
    <w:rsid w:val="004069AE"/>
    <w:rPr>
      <w:u w:val="single"/>
    </w:rPr>
  </w:style>
  <w:style w:type="paragraph" w:customStyle="1" w:styleId="TableBodyTextRight">
    <w:name w:val="Table Body Text Right"/>
    <w:basedOn w:val="TableBodyText"/>
    <w:rsid w:val="004069AE"/>
    <w:pPr>
      <w:widowControl w:val="0"/>
      <w:autoSpaceDE w:val="0"/>
      <w:autoSpaceDN w:val="0"/>
      <w:adjustRightInd w:val="0"/>
      <w:jc w:val="right"/>
    </w:pPr>
    <w:rPr>
      <w:rFonts w:cs="Arial"/>
      <w:szCs w:val="18"/>
    </w:rPr>
  </w:style>
  <w:style w:type="paragraph" w:customStyle="1" w:styleId="CopyrightText">
    <w:name w:val="Copyright Text"/>
    <w:basedOn w:val="BodyText"/>
    <w:rsid w:val="004069AE"/>
    <w:rPr>
      <w:sz w:val="18"/>
    </w:rPr>
  </w:style>
  <w:style w:type="paragraph" w:customStyle="1" w:styleId="BodySmallRight">
    <w:name w:val="Body Small Right"/>
    <w:basedOn w:val="BodyTextRight"/>
    <w:rsid w:val="004069AE"/>
    <w:rPr>
      <w:sz w:val="18"/>
      <w:szCs w:val="18"/>
    </w:rPr>
  </w:style>
  <w:style w:type="paragraph" w:customStyle="1" w:styleId="MarginEdition">
    <w:name w:val="Margin Edition"/>
    <w:basedOn w:val="MarginNote"/>
    <w:rsid w:val="004069AE"/>
    <w:pPr>
      <w:spacing w:before="0" w:after="0"/>
    </w:pPr>
    <w:rPr>
      <w:rFonts w:ascii="Times New Roman" w:hAnsi="Times New Roman"/>
      <w:color w:val="999999"/>
    </w:rPr>
  </w:style>
  <w:style w:type="paragraph" w:customStyle="1" w:styleId="Spacer">
    <w:name w:val="Spacer"/>
    <w:basedOn w:val="Normal"/>
    <w:rsid w:val="004069AE"/>
    <w:rPr>
      <w:sz w:val="2"/>
      <w:szCs w:val="2"/>
    </w:rPr>
  </w:style>
  <w:style w:type="character" w:customStyle="1" w:styleId="Small">
    <w:name w:val="Small"/>
    <w:basedOn w:val="DefaultParagraphFont"/>
    <w:rsid w:val="004069AE"/>
    <w:rPr>
      <w:sz w:val="16"/>
    </w:rPr>
  </w:style>
  <w:style w:type="paragraph" w:customStyle="1" w:styleId="WideTable">
    <w:name w:val="Wide Table"/>
    <w:basedOn w:val="Normal"/>
    <w:rsid w:val="004069AE"/>
    <w:pPr>
      <w:ind w:left="-1418"/>
    </w:pPr>
    <w:rPr>
      <w:sz w:val="2"/>
      <w:szCs w:val="2"/>
    </w:rPr>
  </w:style>
  <w:style w:type="character" w:styleId="PageNumber">
    <w:name w:val="page number"/>
    <w:basedOn w:val="DefaultParagraphFont"/>
    <w:rsid w:val="004069AE"/>
  </w:style>
  <w:style w:type="paragraph" w:styleId="Quote">
    <w:name w:val="Quote"/>
    <w:basedOn w:val="Heading1"/>
    <w:link w:val="QuoteChar"/>
    <w:qFormat/>
    <w:rsid w:val="004069AE"/>
    <w:rPr>
      <w:b w:val="0"/>
      <w:sz w:val="72"/>
      <w:szCs w:val="72"/>
      <w:lang w:val="en-NZ"/>
    </w:rPr>
  </w:style>
  <w:style w:type="character" w:customStyle="1" w:styleId="QuoteChar">
    <w:name w:val="Quote Char"/>
    <w:basedOn w:val="DefaultParagraphFont"/>
    <w:link w:val="Quote"/>
    <w:rsid w:val="00406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9AE"/>
    <w:pPr>
      <w:pageBreakBefore/>
    </w:pPr>
  </w:style>
  <w:style w:type="paragraph" w:customStyle="1" w:styleId="Border">
    <w:name w:val="Border"/>
    <w:basedOn w:val="Normal"/>
    <w:qFormat/>
    <w:rsid w:val="00406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9AE"/>
    <w:rPr>
      <w:b/>
      <w:bCs/>
      <w:i/>
      <w:iCs/>
      <w:color w:val="auto"/>
    </w:rPr>
  </w:style>
  <w:style w:type="paragraph" w:styleId="IntenseQuote">
    <w:name w:val="Intense Quote"/>
    <w:basedOn w:val="Normal"/>
    <w:next w:val="Normal"/>
    <w:link w:val="IntenseQuoteChar"/>
    <w:uiPriority w:val="30"/>
    <w:qFormat/>
    <w:rsid w:val="00406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9AE"/>
    <w:rPr>
      <w:smallCaps/>
      <w:color w:val="auto"/>
      <w:u w:val="single"/>
    </w:rPr>
  </w:style>
  <w:style w:type="character" w:styleId="IntenseReference">
    <w:name w:val="Intense Reference"/>
    <w:basedOn w:val="DefaultParagraphFont"/>
    <w:uiPriority w:val="32"/>
    <w:qFormat/>
    <w:rsid w:val="004069AE"/>
    <w:rPr>
      <w:b/>
      <w:bCs/>
      <w:smallCaps/>
      <w:color w:val="auto"/>
      <w:spacing w:val="5"/>
      <w:u w:val="single"/>
    </w:rPr>
  </w:style>
  <w:style w:type="paragraph" w:customStyle="1" w:styleId="2ColumnHeading">
    <w:name w:val="2Column Heading"/>
    <w:basedOn w:val="BodyText"/>
    <w:qFormat/>
    <w:rsid w:val="004069AE"/>
    <w:pPr>
      <w:spacing w:after="60"/>
      <w:ind w:left="-2268"/>
    </w:pPr>
    <w:rPr>
      <w:b/>
    </w:rPr>
  </w:style>
  <w:style w:type="paragraph" w:customStyle="1" w:styleId="Heading1TOC">
    <w:name w:val="Heading1 TOC"/>
    <w:basedOn w:val="Normal"/>
    <w:qFormat/>
    <w:rsid w:val="004069AE"/>
    <w:pPr>
      <w:spacing w:before="240" w:after="120"/>
    </w:pPr>
    <w:rPr>
      <w:rFonts w:ascii="Times New Roman" w:hAnsi="Times New Roman"/>
      <w:b/>
      <w:sz w:val="32"/>
    </w:rPr>
  </w:style>
  <w:style w:type="paragraph" w:customStyle="1" w:styleId="Heading2TOC">
    <w:name w:val="Heading2 TOC"/>
    <w:basedOn w:val="Normal"/>
    <w:qFormat/>
    <w:rsid w:val="004069AE"/>
    <w:pPr>
      <w:spacing w:before="240" w:after="60"/>
    </w:pPr>
    <w:rPr>
      <w:rFonts w:ascii="Times New Roman" w:hAnsi="Times New Roman"/>
      <w:b/>
      <w:sz w:val="28"/>
    </w:rPr>
  </w:style>
  <w:style w:type="character" w:customStyle="1" w:styleId="Underline">
    <w:name w:val="Underline"/>
    <w:basedOn w:val="DefaultParagraphFont"/>
    <w:qFormat/>
    <w:rsid w:val="004069AE"/>
    <w:rPr>
      <w:u w:val="single"/>
    </w:rPr>
  </w:style>
  <w:style w:type="character" w:customStyle="1" w:styleId="BoldandItalics">
    <w:name w:val="Bold and Italics"/>
    <w:qFormat/>
    <w:rsid w:val="004069AE"/>
    <w:rPr>
      <w:b/>
      <w:i/>
      <w:u w:val="none"/>
    </w:rPr>
  </w:style>
  <w:style w:type="paragraph" w:styleId="BalloonText">
    <w:name w:val="Balloon Text"/>
    <w:basedOn w:val="Normal"/>
    <w:link w:val="BalloonTextChar"/>
    <w:rsid w:val="004069AE"/>
    <w:rPr>
      <w:rFonts w:ascii="Tahoma" w:hAnsi="Tahoma" w:cs="Tahoma"/>
      <w:sz w:val="16"/>
      <w:szCs w:val="16"/>
    </w:rPr>
  </w:style>
  <w:style w:type="character" w:customStyle="1" w:styleId="BalloonTextChar">
    <w:name w:val="Balloon Text Char"/>
    <w:basedOn w:val="DefaultParagraphFont"/>
    <w:link w:val="BalloonText"/>
    <w:rsid w:val="00406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9AE"/>
    <w:rPr>
      <w:b/>
      <w:color w:val="660033"/>
      <w:spacing w:val="0"/>
    </w:rPr>
  </w:style>
  <w:style w:type="paragraph" w:customStyle="1" w:styleId="Nameditemlist">
    <w:name w:val="Named item list"/>
    <w:basedOn w:val="BodyText"/>
    <w:qFormat/>
    <w:rsid w:val="004069AE"/>
    <w:pPr>
      <w:tabs>
        <w:tab w:val="left" w:pos="2835"/>
      </w:tabs>
      <w:ind w:left="2835" w:hanging="2835"/>
    </w:pPr>
  </w:style>
  <w:style w:type="paragraph" w:customStyle="1" w:styleId="BodyTextnopadding">
    <w:name w:val="Body Text no padding"/>
    <w:basedOn w:val="BodyText"/>
    <w:qFormat/>
    <w:rsid w:val="004069AE"/>
    <w:pPr>
      <w:spacing w:before="0" w:after="0"/>
    </w:pPr>
  </w:style>
  <w:style w:type="paragraph" w:customStyle="1" w:styleId="BodyTextBold">
    <w:name w:val="Body Text Bold"/>
    <w:basedOn w:val="BodyText"/>
    <w:qFormat/>
    <w:rsid w:val="004069AE"/>
    <w:rPr>
      <w:b/>
    </w:rPr>
  </w:style>
  <w:style w:type="character" w:styleId="Hyperlink">
    <w:name w:val="Hyperlink"/>
    <w:basedOn w:val="DefaultParagraphFont"/>
    <w:uiPriority w:val="99"/>
    <w:unhideWhenUsed/>
    <w:rsid w:val="00142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1764</Words>
  <Characters>11537</Characters>
  <Application>Microsoft Office Word</Application>
  <DocSecurity>0</DocSecurity>
  <Lines>501</Lines>
  <Paragraphs>429</Paragraphs>
  <ScaleCrop>false</ScaleCrop>
  <Company>Author-it Software Corporation Ltd.</Company>
  <LinksUpToDate>false</LinksUpToDate>
  <CharactersWithSpaces>12872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UEE62525 Advanced Diploma of Air Conditioning and Refrigeration Engineering</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