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414" w:rsidP="00AD6414">
      <w:pPr>
        <w:pStyle w:val="Title"/>
      </w:pPr>
      <w:r>
        <w:fldChar w:fldCharType="begin"/>
      </w:r>
      <w:r>
        <w:instrText xml:space="preserve"> TITLE   \* MERGEFORMAT </w:instrText>
      </w:r>
      <w:r>
        <w:fldChar w:fldCharType="separate"/>
      </w:r>
      <w:r>
        <w:t>UEE62520 Advanced Diploma of Air Conditioning and Refrigeration Engineering</w:t>
      </w:r>
      <w:r>
        <w:fldChar w:fldCharType="end"/>
      </w:r>
    </w:p>
    <w:p w:rsidR="00AD6414" w:rsidP="00AD6414">
      <w:pPr>
        <w:pStyle w:val="Version"/>
        <w:sectPr w:rsidSect="00C21C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21C69" w:rsidP="00C21C69">
      <w:pPr>
        <w:pStyle w:val="SuperHeading"/>
      </w:pPr>
      <w:r w:rsidRPr="00C21C69">
        <w:t>UEE62520 Advanced Diploma of Air Conditioning and Refrigeration Engineering</w:t>
      </w:r>
    </w:p>
    <w:p w:rsidR="00000000" w:rsidRPr="00C21C69" w:rsidP="00C21C69">
      <w:pPr>
        <w:pStyle w:val="Heading1"/>
      </w:pPr>
      <w:bookmarkStart w:id="1" w:name="O_1274564"/>
      <w:bookmarkEnd w:id="1"/>
      <w:r w:rsidRPr="00C21C69">
        <w:t>Modification History</w:t>
      </w:r>
    </w:p>
    <w:tbl>
      <w:tblPr>
        <w:tblW w:w="9497" w:type="dxa"/>
        <w:tblLayout w:type="fixed"/>
        <w:tblCellMar>
          <w:left w:w="62" w:type="dxa"/>
          <w:right w:w="62" w:type="dxa"/>
        </w:tblCellMar>
        <w:tblLook w:val="0000"/>
      </w:tblPr>
      <w:tblGrid>
        <w:gridCol w:w="9497"/>
      </w:tblGrid>
      <w:tr w:rsidTr="00C21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Release 4. Updated superseded elective unit.</w:t>
            </w:r>
          </w:p>
        </w:tc>
      </w:tr>
      <w:tr w:rsidTr="00C21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Release 3. Updated superseded elective units.</w:t>
            </w:r>
          </w:p>
        </w:tc>
      </w:tr>
      <w:tr w:rsidTr="00C21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C69" w:rsidP="00C21C69">
            <w:pPr>
              <w:pStyle w:val="BodyText"/>
            </w:pPr>
            <w:r w:rsidRPr="00C21C69">
              <w:t xml:space="preserve">Release 2. This minor update is the second release of this qualification in the UEE Electrotechnology Training Package. </w:t>
            </w:r>
          </w:p>
          <w:p w:rsidR="00000000" w:rsidRPr="00C21C69" w:rsidP="00C21C69">
            <w:pPr>
              <w:pStyle w:val="BodyText"/>
            </w:pPr>
            <w:r w:rsidRPr="00C21C69">
              <w:t>Two units added to general electives.</w:t>
            </w:r>
          </w:p>
          <w:p w:rsidR="00000000" w:rsidP="00C21C69">
            <w:pPr>
              <w:pStyle w:val="BodyText"/>
              <w:rPr>
                <w:lang w:val="en-NZ"/>
              </w:rPr>
            </w:pPr>
            <w:r w:rsidRPr="00C21C69">
              <w:t>Imported elective units updated.</w:t>
            </w:r>
          </w:p>
        </w:tc>
      </w:tr>
      <w:tr w:rsidTr="00C21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C69" w:rsidP="00C21C69">
            <w:pPr>
              <w:pStyle w:val="BodyText"/>
            </w:pPr>
            <w:r w:rsidRPr="00C21C69">
              <w:t>Release 1. This is the first release of this qualification in t</w:t>
            </w:r>
            <w:r w:rsidRPr="00C21C69">
              <w:t>he UEE Electrotechnology Training Package</w:t>
            </w:r>
          </w:p>
        </w:tc>
      </w:tr>
    </w:tbl>
    <w:p w:rsidR="00000000" w:rsidRPr="00C21C69" w:rsidP="00C21C69">
      <w:pPr>
        <w:pStyle w:val="NoPaddingFontSize1"/>
      </w:pPr>
    </w:p>
    <w:p w:rsidR="00000000" w:rsidRPr="00C21C69" w:rsidP="00C21C69">
      <w:pPr>
        <w:pStyle w:val="AllowPageBreak"/>
      </w:pPr>
    </w:p>
    <w:p w:rsidR="00000000" w:rsidRPr="00C21C69" w:rsidP="00C21C69">
      <w:pPr>
        <w:pStyle w:val="Heading1"/>
      </w:pPr>
      <w:bookmarkStart w:id="2" w:name="O_1274563"/>
      <w:bookmarkEnd w:id="2"/>
      <w:r w:rsidRPr="00C21C69">
        <w:t>Qualification Description</w:t>
      </w:r>
    </w:p>
    <w:tbl>
      <w:tblPr>
        <w:tblW w:w="9497" w:type="dxa"/>
        <w:tblLayout w:type="fixed"/>
        <w:tblCellMar>
          <w:left w:w="62" w:type="dxa"/>
          <w:right w:w="62" w:type="dxa"/>
        </w:tblCellMar>
        <w:tblLook w:val="0000"/>
      </w:tblPr>
      <w:tblGrid>
        <w:gridCol w:w="9497"/>
      </w:tblGrid>
      <w:tr w:rsidTr="00C21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C69" w:rsidP="00C21C69">
            <w:pPr>
              <w:pStyle w:val="BodyText"/>
            </w:pPr>
            <w:r w:rsidRPr="00C21C69">
              <w:t>This qualification covers competencies to design and validate/evaluate refrigeration and air conditioning equipment and systems, manage risk, estimate and manage proje</w:t>
            </w:r>
            <w:r w:rsidRPr="00C21C69">
              <w:t>cts and provide technical advice/sales. It includes regulatory requirements for purchasing and handling refrigerants.</w:t>
            </w:r>
          </w:p>
          <w:p w:rsidR="00000000" w:rsidRPr="00C21C69" w:rsidP="00C21C69">
            <w:pPr>
              <w:pStyle w:val="BodyText"/>
            </w:pPr>
            <w:r w:rsidRPr="00C21C69">
              <w:t>It develops competencies in the ethical and responsible application of mathematics, science, engineering techniques, standards and codes o</w:t>
            </w:r>
            <w:r w:rsidRPr="00C21C69">
              <w:t xml:space="preserve">f practice, engineering design practices, supervision and management of physical, human and financial resources in refrigeration and air conditioning engineering. </w:t>
            </w:r>
          </w:p>
          <w:p w:rsidR="00000000" w:rsidRPr="00C21C69" w:rsidP="00C21C69">
            <w:pPr>
              <w:pStyle w:val="BodyText"/>
            </w:pPr>
            <w:r w:rsidRPr="00C21C69">
              <w:t xml:space="preserve">Competency development activities in this qualification are subject to regulations directly </w:t>
            </w:r>
            <w:r w:rsidRPr="00C21C69">
              <w:t>related to licencing. A relevant contract of training through an apprenticeship or relevant employment may be required to enable the application of the required knowledge and skills to on the job work activities and environments.</w:t>
            </w:r>
          </w:p>
          <w:p w:rsidR="00000000" w:rsidRPr="00C21C69" w:rsidP="00C21C69">
            <w:pPr>
              <w:pStyle w:val="BodyText"/>
            </w:pPr>
            <w:r w:rsidRPr="00C21C69">
              <w:t>Refrigerant Handling Licen</w:t>
            </w:r>
            <w:r w:rsidRPr="00C21C69">
              <w:t>ce:</w:t>
            </w:r>
          </w:p>
          <w:p w:rsidR="00000000" w:rsidRPr="00C21C69" w:rsidP="00C21C69">
            <w:pPr>
              <w:pStyle w:val="BodyText"/>
            </w:pPr>
            <w:r w:rsidRPr="00C21C69">
              <w:t>The achievement of the qualification meets the training components for the full national Refrigerant Handling Licence which is required to work on refrigeration and air conditioning equipment that carries the risk of a fluorocarbon refrigerant being em</w:t>
            </w:r>
            <w:r w:rsidRPr="00C21C69">
              <w:t>itted while decanting the refrigerant or manufacturing, installing, commissioning, servicing, maintaining or decommissioning refrigeration and air conditioning equipment.</w:t>
            </w:r>
          </w:p>
          <w:p w:rsidR="00000000" w:rsidRPr="00C21C69" w:rsidP="00C21C69">
            <w:pPr>
              <w:pStyle w:val="BodyText"/>
            </w:pPr>
            <w:r w:rsidRPr="00C21C69">
              <w:t>Refrigeration and Air Conditioning Occupational Licence:</w:t>
            </w:r>
          </w:p>
          <w:p w:rsidR="00000000" w:rsidRPr="00C21C69" w:rsidP="00C21C69">
            <w:pPr>
              <w:pStyle w:val="BodyText"/>
            </w:pPr>
            <w:r w:rsidRPr="00C21C69">
              <w:t>Additional and/or other cond</w:t>
            </w:r>
            <w:r w:rsidRPr="00C21C69">
              <w:t>itions may apply in some jurisdictions subject to regulations related to refrigeration/air conditioning work. Practice in the workplace and during training is also subject to work health and safety (WHS)/occupational health and safety (OHS) regulations.</w:t>
            </w:r>
          </w:p>
          <w:p w:rsidR="00000000" w:rsidRPr="00C21C69" w:rsidP="00C21C69">
            <w:pPr>
              <w:pStyle w:val="BodyText"/>
            </w:pPr>
            <w:r w:rsidRPr="00C21C69">
              <w:t>El</w:t>
            </w:r>
            <w:r w:rsidRPr="00C21C69">
              <w:t>ectrical Occupation Licence:</w:t>
            </w:r>
          </w:p>
          <w:p w:rsidR="00000000" w:rsidRPr="00C21C69" w:rsidP="00C21C69">
            <w:pPr>
              <w:pStyle w:val="BodyText"/>
            </w:pPr>
            <w:r w:rsidRPr="00C21C69">
              <w:t>The achievement of this qualification with the core restricted electrical units meet the electrical regulatory requirements for related restricted electrical work in most state/territories. This is required to work on electrical installations which are des</w:t>
            </w:r>
            <w:r w:rsidRPr="00C21C69">
              <w:t>igned to operate at voltages greater than 50 volt (V) alternating current (a.c.) or 120 V direct current (d.c.).</w:t>
            </w:r>
          </w:p>
        </w:tc>
      </w:tr>
    </w:tbl>
    <w:p w:rsidR="00000000" w:rsidRPr="00C21C69" w:rsidP="00C21C69">
      <w:pPr>
        <w:pStyle w:val="NoPaddingFontSize1"/>
      </w:pPr>
    </w:p>
    <w:p w:rsidR="00000000" w:rsidRPr="00C21C69" w:rsidP="00C21C69">
      <w:pPr>
        <w:pStyle w:val="AllowPageBreak"/>
      </w:pPr>
    </w:p>
    <w:p w:rsidR="00000000" w:rsidRPr="00C21C69" w:rsidP="00C21C69">
      <w:pPr>
        <w:pStyle w:val="Heading1"/>
      </w:pPr>
      <w:bookmarkStart w:id="3" w:name="O_1274562"/>
      <w:bookmarkEnd w:id="3"/>
      <w:r w:rsidRPr="00C21C69">
        <w:t>Entry Requirements</w:t>
      </w:r>
    </w:p>
    <w:tbl>
      <w:tblPr>
        <w:tblW w:w="9497" w:type="dxa"/>
        <w:tblLayout w:type="fixed"/>
        <w:tblCellMar>
          <w:left w:w="62" w:type="dxa"/>
          <w:right w:w="62" w:type="dxa"/>
        </w:tblCellMar>
        <w:tblLook w:val="0000"/>
      </w:tblPr>
      <w:tblGrid>
        <w:gridCol w:w="9497"/>
      </w:tblGrid>
      <w:tr w:rsidTr="00C21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C69" w:rsidP="00C21C69">
            <w:pPr>
              <w:pStyle w:val="BodyText"/>
            </w:pPr>
            <w:r w:rsidRPr="00C21C69">
              <w:t>There are no entry requirements for this qualification.</w:t>
            </w:r>
          </w:p>
        </w:tc>
      </w:tr>
    </w:tbl>
    <w:p w:rsidR="00000000" w:rsidRPr="00C21C69" w:rsidP="00C21C69">
      <w:pPr>
        <w:pStyle w:val="NoPaddingFontSize1"/>
      </w:pPr>
    </w:p>
    <w:p w:rsidR="00000000" w:rsidRPr="00C21C69" w:rsidP="00C21C69">
      <w:pPr>
        <w:pStyle w:val="AllowPageBreak"/>
      </w:pPr>
    </w:p>
    <w:p w:rsidR="00000000" w:rsidRPr="00C21C69" w:rsidP="00C21C69">
      <w:pPr>
        <w:pStyle w:val="Heading1"/>
      </w:pPr>
      <w:bookmarkStart w:id="4" w:name="O_1274561"/>
      <w:bookmarkEnd w:id="4"/>
      <w:r w:rsidRPr="00C21C69">
        <w:t>Packaging Rules</w:t>
      </w:r>
    </w:p>
    <w:tbl>
      <w:tblPr>
        <w:tblW w:w="9497" w:type="dxa"/>
        <w:tblLayout w:type="fixed"/>
        <w:tblCellMar>
          <w:left w:w="62" w:type="dxa"/>
          <w:right w:w="62" w:type="dxa"/>
        </w:tblCellMar>
        <w:tblLook w:val="0000"/>
      </w:tblPr>
      <w:tblGrid>
        <w:gridCol w:w="1672"/>
        <w:gridCol w:w="5758"/>
        <w:gridCol w:w="2067"/>
      </w:tblGrid>
      <w:tr w:rsidTr="00C21C69">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C21C69" w:rsidP="00C21C69">
            <w:pPr>
              <w:pStyle w:val="BodyText"/>
            </w:pPr>
            <w:r w:rsidRPr="00C21C69">
              <w:t>A total of</w:t>
            </w:r>
            <w:r w:rsidRPr="00C21C69">
              <w:t xml:space="preserve"> </w:t>
            </w:r>
            <w:r w:rsidRPr="00C21C69">
              <w:rPr>
                <w:rStyle w:val="SpecialBold"/>
              </w:rPr>
              <w:t>2230 weighting points</w:t>
            </w:r>
            <w:r w:rsidRPr="00C21C69">
              <w:t xml:space="preserve"> comprising:</w:t>
            </w:r>
          </w:p>
          <w:p w:rsidR="00000000" w:rsidRPr="00C21C69" w:rsidP="00C21C69">
            <w:pPr>
              <w:pStyle w:val="BodyText"/>
            </w:pPr>
            <w:r w:rsidRPr="00C21C69">
              <w:rPr>
                <w:rStyle w:val="SpecialBold"/>
              </w:rPr>
              <w:t>1980 core weighting points</w:t>
            </w:r>
            <w:r w:rsidRPr="00C21C69">
              <w:t xml:space="preserve"> listed below; plus</w:t>
            </w:r>
          </w:p>
          <w:p w:rsidR="00000000" w:rsidRPr="00C21C69" w:rsidP="00C21C69">
            <w:pPr>
              <w:pStyle w:val="BodyText"/>
            </w:pPr>
            <w:r w:rsidRPr="00C21C69">
              <w:rPr>
                <w:rStyle w:val="SpecialBold"/>
              </w:rPr>
              <w:t>250 general elective weighting points</w:t>
            </w:r>
            <w:r w:rsidRPr="00C21C69">
              <w:t xml:space="preserve"> from the general elective units listed below. </w:t>
            </w:r>
          </w:p>
          <w:p w:rsidR="00000000" w:rsidRPr="00C21C69" w:rsidP="00C21C69">
            <w:pPr>
              <w:pStyle w:val="BodyText"/>
            </w:pPr>
            <w:r w:rsidRPr="00C21C69">
              <w:t xml:space="preserve">Choose a total of </w:t>
            </w:r>
            <w:r w:rsidRPr="00C21C69">
              <w:rPr>
                <w:rStyle w:val="SpecialBold"/>
              </w:rPr>
              <w:t>250 weighting points</w:t>
            </w:r>
            <w:r w:rsidRPr="00C21C69">
              <w:t xml:space="preserve"> elective units from the list below, of which betwee</w:t>
            </w:r>
            <w:r w:rsidRPr="00C21C69">
              <w:t xml:space="preserve">n </w:t>
            </w:r>
            <w:r w:rsidRPr="00C21C69">
              <w:rPr>
                <w:rStyle w:val="SpecialBold"/>
              </w:rPr>
              <w:t>0 and 120 weighting points</w:t>
            </w:r>
            <w:r w:rsidRPr="00C21C69">
              <w:t xml:space="preserve"> can be taken from Group A; and between </w:t>
            </w:r>
            <w:r w:rsidRPr="00C21C69">
              <w:rPr>
                <w:rStyle w:val="SpecialBold"/>
              </w:rPr>
              <w:t>0 and 30</w:t>
            </w:r>
            <w:r w:rsidRPr="00C21C69">
              <w:t xml:space="preserve"> </w:t>
            </w:r>
            <w:r w:rsidRPr="00C21C69">
              <w:rPr>
                <w:rStyle w:val="SpecialBold"/>
              </w:rPr>
              <w:t>weighting points</w:t>
            </w:r>
            <w:r w:rsidRPr="00C21C69">
              <w:t xml:space="preserve"> can be taken from Group B; and between </w:t>
            </w:r>
            <w:r w:rsidRPr="00C21C69">
              <w:rPr>
                <w:rStyle w:val="SpecialBold"/>
              </w:rPr>
              <w:t>0 and 60</w:t>
            </w:r>
            <w:r w:rsidRPr="00C21C69">
              <w:t xml:space="preserve"> </w:t>
            </w:r>
            <w:r w:rsidRPr="00C21C69">
              <w:rPr>
                <w:rStyle w:val="SpecialBold"/>
              </w:rPr>
              <w:t>weighting points</w:t>
            </w:r>
            <w:r w:rsidRPr="00C21C69">
              <w:t xml:space="preserve"> can be taken from Group C; and between </w:t>
            </w:r>
            <w:r w:rsidRPr="00C21C69">
              <w:rPr>
                <w:rStyle w:val="SpecialBold"/>
              </w:rPr>
              <w:t>0 and 120</w:t>
            </w:r>
            <w:r w:rsidRPr="00C21C69">
              <w:t xml:space="preserve"> </w:t>
            </w:r>
            <w:r w:rsidRPr="00C21C69">
              <w:rPr>
                <w:rStyle w:val="SpecialBold"/>
              </w:rPr>
              <w:t>weighting points</w:t>
            </w:r>
            <w:r w:rsidRPr="00C21C69">
              <w:t xml:space="preserve"> can be taken from Group D; and </w:t>
            </w:r>
            <w:r w:rsidRPr="00C21C69">
              <w:t xml:space="preserve">between </w:t>
            </w:r>
            <w:r w:rsidRPr="00C21C69">
              <w:rPr>
                <w:rStyle w:val="SpecialBold"/>
              </w:rPr>
              <w:t>120 and 250 weighting points</w:t>
            </w:r>
            <w:r w:rsidRPr="00C21C69">
              <w:t xml:space="preserve"> must be taken from Group E; or all electives units of </w:t>
            </w:r>
            <w:r w:rsidRPr="00C21C69">
              <w:rPr>
                <w:rStyle w:val="SpecialBold"/>
              </w:rPr>
              <w:t>250 weighting points</w:t>
            </w:r>
            <w:r w:rsidRPr="00C21C69">
              <w:t xml:space="preserve"> can be taken from Group E.</w:t>
            </w:r>
          </w:p>
          <w:p w:rsidR="00000000" w:rsidRPr="00C21C69" w:rsidP="00C21C69">
            <w:pPr>
              <w:pStyle w:val="BodyText"/>
            </w:pPr>
            <w:r w:rsidRPr="00C21C69">
              <w:t xml:space="preserve">Up to </w:t>
            </w:r>
            <w:r w:rsidRPr="00C21C69">
              <w:rPr>
                <w:rStyle w:val="SpecialBold"/>
              </w:rPr>
              <w:t>120 weighting points</w:t>
            </w:r>
            <w:r w:rsidRPr="00C21C69">
              <w:t xml:space="preserve"> of the general elective units Group A, may be selected, with appropriate contextualisation</w:t>
            </w:r>
            <w:r w:rsidRPr="00C21C69">
              <w:t xml:space="preserve">, from any relevant nationally endorsed Training Package or accredited course, provided selected units contribute to the vocational outcome of the qualification. Previously assigned weighting points are listed in the UEE Electrotechnology Training Package </w:t>
            </w:r>
            <w:r w:rsidRPr="00C21C69">
              <w:t xml:space="preserve">Companion Volume Implementation Guide (CVIG), if not listed weighting points will be 10 points, unless directed from the Electrotechnology Industry Reference Committee (IRC). </w:t>
            </w:r>
          </w:p>
          <w:p w:rsidR="00000000" w:rsidRPr="00C21C69" w:rsidP="00C21C69">
            <w:pPr>
              <w:pStyle w:val="BodyText"/>
            </w:pPr>
            <w:r w:rsidRPr="00C21C69">
              <w:t>There are units of competency within this qualification that contain pre-requisi</w:t>
            </w:r>
            <w:r w:rsidRPr="00C21C69">
              <w:t xml:space="preserve">tes. Units of competency that have a pre-requisite requirement are identified by this symbol *. Refer directly to the units of competency to identify pre-requisite requirements to ensure all are complied with. A list of all pre-requisites is also provided </w:t>
            </w:r>
            <w:r w:rsidRPr="00C21C69">
              <w:t>in the UEE Pre-requisites Companion Volume.</w:t>
            </w:r>
          </w:p>
          <w:p w:rsidR="00000000" w:rsidP="00C21C69">
            <w:pPr>
              <w:pStyle w:val="BodyText"/>
              <w:rPr>
                <w:lang w:val="en-NZ"/>
              </w:rPr>
            </w:pPr>
            <w:r w:rsidRPr="00C21C69">
              <w:t>Where imported units are selected, care must be taken to ensure all pre-requisite units specified are complied with.</w:t>
            </w:r>
          </w:p>
        </w:tc>
      </w:tr>
      <w:tr w:rsidTr="00C21C69">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C21C69" w:rsidP="00C21C69">
            <w:pPr>
              <w:pStyle w:val="BodyText"/>
            </w:pPr>
            <w:r w:rsidRPr="00C21C69">
              <w:rPr>
                <w:rStyle w:val="SpecialBold"/>
              </w:rPr>
              <w:t xml:space="preserve">Core units </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rPr>
                <w:rStyle w:val="SpecialBold"/>
              </w:rPr>
              <w:t>Weighting Points</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UEECD0003</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Apply industry and community standards to engineering activities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UEECD0007</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Apply work health and safety regulations, codes and practices in the workplace</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UEECD0010</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Compile and produce an energy sector detailed report</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UEECD0016</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Document and apply measures to control WHS risks associated with electrotechnology work*</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UEECD0017</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Establish and follow a competency development plan in an electrotechnology engineering discipline</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120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UEECD0019</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Fabricate, assemble and dismantle utilit</w:t>
            </w:r>
            <w:r w:rsidRPr="00C21C69">
              <w:t>ies industry components*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UEECD0020</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Fix and secure electrotechnology equipment*</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UEECD0024</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Implement and monitor energy sector WHS policies and procedures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UEECD0026</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Manage risk in electrotechnology activities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UEECD0042</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Solve problems in ELV single path circuits*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UEECD0051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Use drawings, diagrams, schedules, standards, codes and specifications*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UEECS0033</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Use engineering applications software on personal computers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UEERA0001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 xml:space="preserve">Analyse the operation of HVAC air and </w:t>
            </w:r>
            <w:r w:rsidRPr="00C21C69">
              <w:t>hydronic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UEERA0002</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Analyse the psychrometric performance of HVAC/R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50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UEERA0004</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Analyse vibration and noise in refrigeration and air conditioning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UEERA0031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Diagnose and rectify faults in air conditioning and refrigeratio</w:t>
            </w:r>
            <w:r w:rsidRPr="00C21C69">
              <w:t>n control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UEERA0034</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Establish heat loads for commercial refrigeration and/or air conditioning applications*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UEERA0035</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Establish the basic operating conditions of air conditioning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UEERA0036</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Establish the basic operating conditi</w:t>
            </w:r>
            <w:r w:rsidRPr="00C21C69">
              <w:t>ons of vapour compression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UEERA0038</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Establish the thermodynamic parameters of refrigeration and air conditioning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UEERA0042</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Evaluate thermodynamic and fluid parameters of refrigeration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100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UEERA0044</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Find and rectify faults in single phase motors and associated controls*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UEERA0045</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Find and rectify faults in three phase motors and associated controls*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30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UEERA0050</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Install refrigerant pipe work, flow controls and accessories*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UEERA0051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 xml:space="preserve">Install, </w:t>
            </w:r>
            <w:r w:rsidRPr="00C21C69">
              <w:t>commission, service and maintain air conditioning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UEERA0052</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Install, commission, service and maintain low temperature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UEERA0053</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Install, commission, service and maintain medium temperature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UEERA0055</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Manage refrigeration and air conditioning projects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UEERA0058</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Plan refrigeration and air conditioning projects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UEERA0059</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Prepare and connect refrigerant tubing and fittings*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UEERA0061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Produce HVAC/R system design drawings*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UEERA0062</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Recover and charge refrigerants*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UEERA0079</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Safely handle refrigerants and lubricants*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UEERA0081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Select refrigerant piping, accessories and associated controls*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UEERA0092</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Solve problems in low voltage refrigeration and air conditioning circuits*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UEERA0094</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Verify functionality and compliance of refrigeration and air conditioning installations*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UEERE0013</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Develop strategies to address environmental and sustainability issues in the energy sector</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UEERL0001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Attach cords and plugs to electrical equipment for connection to a single phase 230 Volt supply*</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UEERL0002</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Attach cords, cables and plugs to electrical equipment for connection to 1000 V a.c. or 1500 V d.c.*</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UEERL0004</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Disconnect - reconnect electri</w:t>
            </w:r>
            <w:r w:rsidRPr="00C21C69">
              <w:t>cal equipment connected to low voltage (LV) installation wiring*</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UEERL0005</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Locate and rectify faults in low voltage (LV) electrical equipment using set procedures*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C21C69" w:rsidP="00C21C69">
            <w:pPr>
              <w:pStyle w:val="BodyText"/>
            </w:pPr>
            <w:r w:rsidRPr="00C21C69">
              <w:rPr>
                <w:rStyle w:val="SpecialBold"/>
              </w:rPr>
              <w:t>Group A: Imported and common elective units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rPr>
                <w:rStyle w:val="SpecialBold"/>
              </w:rPr>
              <w:t>Weighting Points</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BSBLDR522</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Manage people performance</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70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BSBINS501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Implement information and knowledge management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50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BSBSTR501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Establish innovative work environments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50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BSBSTR502</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Facilitate continuous improvement</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BSBTWK502</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Manage team effectiveness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CPCWHS1001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Prepare to work safely in the construction industry</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10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HLTAID009</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Provide cardiopulmonary resuscitation</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10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MEM16006</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Organise and communicate information*</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MEM16008</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Interact with computing technology*</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MEM30031A</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Operate computer-aided design (CAD) sy</w:t>
            </w:r>
            <w:r w:rsidRPr="00C21C69">
              <w:t>stem to produce basic drawing elements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MEM30032A</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Produce basic engineering drawings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MEM30033A</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Use computer-aided design (CAD) to create and display 3-D models*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C21C69" w:rsidP="00C21C69">
            <w:pPr>
              <w:pStyle w:val="BodyText"/>
            </w:pPr>
            <w:r w:rsidRPr="00C21C69">
              <w:rPr>
                <w:rStyle w:val="SpecialBold"/>
              </w:rPr>
              <w:t>Group B: Qualification elective units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rPr>
                <w:rStyle w:val="SpecialBold"/>
              </w:rPr>
              <w:t>Weighting Points</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UEERA0005</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Apply safety awareness and legal requirements for ammonia refrigerant</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10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UEERA0006</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Apply safety awareness and legal requirements for carbon dioxide refrigerant</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10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UEERA0007</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Apply safety awareness and legal requirements for flammable refrigerants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10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UEERA0046</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Install and commission ammonia refrigeration systems, components and associated equipment*</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UEERA0047</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Install and commission carbon dioxide refrigeration systems, components and associated equipment*</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UEERA0048</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Install and commission flamma</w:t>
            </w:r>
            <w:r w:rsidRPr="00C21C69">
              <w:t>ble refrigerant air conditioning and refrigeration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UEERA0054</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Maintain microbial control of refrigeration and air conditioning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UEERA0065</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Repair and service ammonia refrigeration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UEERA0066</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Repair and service carbon dioxide refrigeration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UEERA0067</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Repair and service secondary refrigeration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UEERA0068</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Repair and service self-contained carbon dioxide refrigeration and heat pump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UEERA0069</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Resolve problems in</w:t>
            </w:r>
            <w:r w:rsidRPr="00C21C69">
              <w:t xml:space="preserve"> beverage dispensers*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UEERA0070</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Resolve problems in central plant air conditioning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UEERA0071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Resolve problems in dairy refrigeration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UEERA0072</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Resolve problems in hydronic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UEERA0073</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Resolve problems in ice making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UEERA0075</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Resolve problems in post-mix refrigeration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UEERA0076</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Resolve problems in refrigerated beverage vending cabinets*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UEERA0077</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Resolve problems in transport refrigeration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UEERA0078</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Resolve problems in ultra-low temperature refrigeration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UEERA0084</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Service and repair self-contained flammable refrigerants air conditioning and refrigeration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UEERA0097</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Install, commission, service and maintain variable r</w:t>
            </w:r>
            <w:r w:rsidRPr="00C21C69">
              <w:t>efrigerant flow air conditioning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UEERA0098</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Inspect, test and repair fire and smoke control features of mechanical services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C21C69" w:rsidP="00C21C69">
            <w:pPr>
              <w:pStyle w:val="BodyText"/>
            </w:pPr>
            <w:r w:rsidRPr="00C21C69">
              <w:rPr>
                <w:rStyle w:val="SpecialBold"/>
              </w:rPr>
              <w:t>Group C: Qualification elective units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rPr>
                <w:rStyle w:val="SpecialBold"/>
              </w:rPr>
              <w:t>Weighting Points</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UEECO0001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Estimate electrotechnology projects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UEERA0060</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Produce HVAC/R control system diagrams*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UEERA0080</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Select basic commercial refrigeration system equipment, components and accessories*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UEERA0082</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Select residential air conditioning system equipment, components and accessories*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UEERE0015</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 xml:space="preserve">Implement and monitor energy sector environmental and </w:t>
            </w:r>
            <w:r w:rsidRPr="00C21C69">
              <w:t>sustainable policies and procedures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20</w:t>
            </w:r>
          </w:p>
        </w:tc>
      </w:tr>
      <w:tr w:rsidTr="00C21C69">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C21C69" w:rsidP="00C21C69">
            <w:pPr>
              <w:pStyle w:val="BodyText"/>
            </w:pPr>
            <w:r w:rsidRPr="00C21C69">
              <w:rPr>
                <w:rStyle w:val="SpecialBold"/>
              </w:rPr>
              <w:t>Group D: Qualification elective units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rPr>
                <w:rStyle w:val="SpecialBold"/>
              </w:rPr>
              <w:t>Weighting Points</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UEECD0014</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Develop design briefs for electrotechnology projects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UEECD0039</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Provide solutions to basic engineering computational problems*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UEECO0014</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Prepare tender submissions for electrotechnology projects*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UEERA0014</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ammonia refrigerated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UEERA0015</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carbon dioxide refrigerated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UEERA0016</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commercial refrigeration systems and select components*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UEERA0021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control systems for refrigeration or heating, ventilation and air conditioning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UEERA0022</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heating, ventilation and air conditioning (HVAC) syst</w:t>
            </w:r>
            <w:r w:rsidRPr="00C21C69">
              <w:t>ems and select components*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UEERA0023</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hydrocarbon refrigerated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UEERA0025</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industrial refrigeration systems and select components*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UEERA0027</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secondary refrigerant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UEERA0039</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Evaluate and report on building services energy management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UEERA0040</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Evaluate and report on the indoor air quality of buildings*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UEERE0066</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Develop effective engineering strategies for energy reduction in buildings*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7430" w:type="dxa"/>
            <w:gridSpan w:val="2"/>
            <w:tcBorders>
              <w:top w:val="nil"/>
              <w:left w:val="nil"/>
              <w:bottom w:val="nil"/>
              <w:right w:val="nil"/>
            </w:tcBorders>
            <w:tcMar>
              <w:top w:w="0" w:type="dxa"/>
              <w:left w:w="62" w:type="dxa"/>
              <w:bottom w:w="0" w:type="dxa"/>
              <w:right w:w="62" w:type="dxa"/>
            </w:tcMar>
          </w:tcPr>
          <w:p w:rsidR="00000000" w:rsidRPr="00C21C69" w:rsidP="00C21C69">
            <w:pPr>
              <w:pStyle w:val="BodyText"/>
            </w:pPr>
            <w:r w:rsidRPr="00C21C69">
              <w:rPr>
                <w:rStyle w:val="SpecialBold"/>
              </w:rPr>
              <w:t>Group E: Qualification elective units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rPr>
                <w:rStyle w:val="SpecialBold"/>
              </w:rPr>
              <w:t>Weighting Points</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UEECO0003</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Manage contract variations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UEERA0008</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Audit HVAC/R control systems for compliance with regulations and standards*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UEERA0009</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Audit energy use for commercial HVAC/R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UEERA0017</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complex air conditioning systems and select equipment*</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120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UEERA0018</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complex commercial refrigeration systems and select equipment*</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UEERA0019</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complex control systems for refrigeration or heating, ventilation, air conditi</w:t>
            </w:r>
            <w:r w:rsidRPr="00C21C69">
              <w:t>oning systems*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UEERA0020</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complex industrial refrigeration systems and select equipment*</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UEERA0024</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hydronic systems and select equipment*</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UEERA0026</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Design mechanical ventilation/exhaust systems and select equipment*</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40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UEERA0029</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Develop heat exchanger design specifications*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80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UEERA0030</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Develop specifications and prepare drawings for HVAC/R projects*</w:t>
            </w:r>
          </w:p>
        </w:tc>
        <w:tc>
          <w:tcPr>
            <w:tcW w:w="2067"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60</w:t>
            </w:r>
          </w:p>
        </w:tc>
      </w:tr>
      <w:tr w:rsidTr="00C21C69">
        <w:tblPrEx>
          <w:tblW w:w="9497" w:type="dxa"/>
          <w:tblLayout w:type="fixed"/>
          <w:tblCellMar>
            <w:left w:w="62" w:type="dxa"/>
            <w:right w:w="62" w:type="dxa"/>
          </w:tblCellMar>
          <w:tblLook w:val="0000"/>
        </w:tblPrEx>
        <w:tc>
          <w:tcPr>
            <w:tcW w:w="1672"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UEERA0041</w:t>
            </w:r>
          </w:p>
        </w:tc>
        <w:tc>
          <w:tcPr>
            <w:tcW w:w="5758" w:type="dxa"/>
            <w:tcBorders>
              <w:top w:val="nil"/>
              <w:left w:val="nil"/>
              <w:bottom w:val="nil"/>
              <w:right w:val="nil"/>
            </w:tcBorders>
            <w:tcMar>
              <w:top w:w="0" w:type="dxa"/>
              <w:left w:w="62" w:type="dxa"/>
              <w:bottom w:w="0" w:type="dxa"/>
              <w:right w:w="62" w:type="dxa"/>
            </w:tcMar>
          </w:tcPr>
          <w:p w:rsidR="00000000" w:rsidP="00C21C69">
            <w:pPr>
              <w:pStyle w:val="BodyText"/>
              <w:rPr>
                <w:lang w:val="en-NZ"/>
              </w:rPr>
            </w:pPr>
            <w:r w:rsidRPr="00C21C69">
              <w:t>Evaluate new and alternative technologies applicable to electrotechnology applications</w:t>
            </w:r>
          </w:p>
        </w:tc>
        <w:tc>
          <w:tcPr>
            <w:tcW w:w="2067" w:type="dxa"/>
            <w:tcBorders>
              <w:top w:val="nil"/>
              <w:left w:val="nil"/>
              <w:bottom w:val="nil"/>
              <w:right w:val="nil"/>
            </w:tcBorders>
            <w:tcMar>
              <w:top w:w="0" w:type="dxa"/>
              <w:left w:w="62" w:type="dxa"/>
              <w:bottom w:w="0" w:type="dxa"/>
              <w:right w:w="62" w:type="dxa"/>
            </w:tcMar>
          </w:tcPr>
          <w:p w:rsidR="00000000" w:rsidRPr="00C21C69" w:rsidP="00C21C69">
            <w:pPr>
              <w:pStyle w:val="BodyText"/>
            </w:pPr>
            <w:r w:rsidRPr="00C21C69">
              <w:t>40</w:t>
            </w:r>
          </w:p>
        </w:tc>
      </w:tr>
    </w:tbl>
    <w:p w:rsidR="00000000" w:rsidRPr="00C21C69" w:rsidP="00C21C69">
      <w:pPr>
        <w:pStyle w:val="NoPaddingFontSize1"/>
      </w:pPr>
    </w:p>
    <w:p w:rsidR="00000000" w:rsidRPr="00C21C69" w:rsidP="00C21C69">
      <w:pPr>
        <w:pStyle w:val="AllowPageBreak"/>
      </w:pPr>
    </w:p>
    <w:p w:rsidR="00000000" w:rsidRPr="00C21C69" w:rsidP="00C21C69">
      <w:pPr>
        <w:pStyle w:val="Heading1"/>
      </w:pPr>
      <w:bookmarkStart w:id="5" w:name="O_1274560"/>
      <w:bookmarkEnd w:id="5"/>
      <w:r w:rsidRPr="00C21C69">
        <w:t>Qualif</w:t>
      </w:r>
      <w:r w:rsidRPr="00C21C69">
        <w:t>ication Mapping Information</w:t>
      </w:r>
    </w:p>
    <w:tbl>
      <w:tblPr>
        <w:tblW w:w="9497" w:type="dxa"/>
        <w:tblLayout w:type="fixed"/>
        <w:tblCellMar>
          <w:left w:w="62" w:type="dxa"/>
          <w:right w:w="62" w:type="dxa"/>
        </w:tblCellMar>
        <w:tblLook w:val="0000"/>
      </w:tblPr>
      <w:tblGrid>
        <w:gridCol w:w="9497"/>
      </w:tblGrid>
      <w:tr w:rsidTr="00C21C6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21C69" w:rsidP="00C21C69">
            <w:pPr>
              <w:pStyle w:val="BodyText"/>
            </w:pPr>
            <w:r w:rsidRPr="00C21C69">
              <w:t>This qualification replaces and is equivalent to UEE62511 Advanced Diploma of Air-conditioning and Refrigeration Engineering</w:t>
            </w:r>
          </w:p>
        </w:tc>
      </w:tr>
    </w:tbl>
    <w:p w:rsidR="00000000" w:rsidRPr="00C21C69" w:rsidP="00C21C69">
      <w:pPr>
        <w:pStyle w:val="NoPaddingFontSize1"/>
      </w:pPr>
    </w:p>
    <w:p w:rsidR="00000000" w:rsidRPr="00C21C69" w:rsidP="00C21C69">
      <w:pPr>
        <w:pStyle w:val="AllowPageBreak"/>
      </w:pPr>
    </w:p>
    <w:p w:rsidR="00000000" w:rsidRPr="00C21C69" w:rsidP="00C21C69">
      <w:pPr>
        <w:pStyle w:val="Heading1"/>
      </w:pPr>
      <w:bookmarkStart w:id="6" w:name="O_1274565"/>
      <w:bookmarkEnd w:id="6"/>
      <w:r w:rsidRPr="00C21C69">
        <w:t>Links</w:t>
      </w:r>
    </w:p>
    <w:p w:rsidR="00000000" w:rsidRPr="00C21C69" w:rsidP="00AD6414">
      <w:pPr>
        <w:pStyle w:val="BodyText"/>
      </w:pPr>
      <w:r w:rsidRPr="00C21C69">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B03AE2">
        <w:rPr>
          <w:rStyle w:val="Hyperlink"/>
        </w:rPr>
        <w:t>https://vetnet.gov.au/Pages/TrainingDocs.aspx?q=b8a8f136-5421-4ce1-92e0-2b50341431b6</w:t>
      </w:r>
      <w:r>
        <w:fldChar w:fldCharType="end"/>
      </w:r>
    </w:p>
    <w:p w:rsidR="00000000" w:rsidRPr="00C21C69" w:rsidP="00C21C69"/>
    <w:sectPr w:rsidSect="00C21C6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69" w:rsidRPr="00AD6414" w:rsidP="00AD64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14" w:rsidP="00C21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D6414" w:rsidP="00C21C6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D6414" w:rsidP="00C21C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1C69" w:rsidRPr="00AD6414" w:rsidP="00AD64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414" w:rsidRPr="002D2AF8" w:rsidP="00C21C69">
    <w:pPr>
      <w:pStyle w:val="Header"/>
      <w:framePr w:wrap="around"/>
    </w:pPr>
    <w:r>
      <w:fldChar w:fldCharType="begin"/>
    </w:r>
    <w:r>
      <w:instrText xml:space="preserve"> TITLE   \* MERGEFORMAT </w:instrText>
    </w:r>
    <w:r>
      <w:fldChar w:fldCharType="separate"/>
    </w:r>
    <w:r>
      <w:t>UEE62520 Advanced Diploma of Air Conditioning and Refrigeration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AD6414" w:rsidP="00C21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C69"/>
    <w:pPr>
      <w:spacing w:before="360" w:after="60"/>
      <w:outlineLvl w:val="0"/>
    </w:pPr>
    <w:rPr>
      <w:sz w:val="32"/>
    </w:rPr>
  </w:style>
  <w:style w:type="paragraph" w:styleId="Heading2">
    <w:name w:val="heading 2"/>
    <w:basedOn w:val="HeadingBase"/>
    <w:next w:val="BodyText"/>
    <w:link w:val="Heading2Char"/>
    <w:qFormat/>
    <w:rsid w:val="00C21C69"/>
    <w:pPr>
      <w:keepLines/>
      <w:spacing w:before="240" w:after="120"/>
      <w:outlineLvl w:val="1"/>
    </w:pPr>
    <w:rPr>
      <w:sz w:val="28"/>
      <w:szCs w:val="40"/>
    </w:rPr>
  </w:style>
  <w:style w:type="paragraph" w:styleId="Heading3">
    <w:name w:val="heading 3"/>
    <w:basedOn w:val="HeadingBase"/>
    <w:next w:val="BodyText"/>
    <w:link w:val="Heading3Char"/>
    <w:qFormat/>
    <w:rsid w:val="00C21C69"/>
    <w:pPr>
      <w:spacing w:before="180" w:after="120"/>
      <w:outlineLvl w:val="2"/>
    </w:pPr>
    <w:rPr>
      <w:spacing w:val="-10"/>
      <w:kern w:val="32"/>
    </w:rPr>
  </w:style>
  <w:style w:type="paragraph" w:styleId="Heading4">
    <w:name w:val="heading 4"/>
    <w:basedOn w:val="HeadingBase"/>
    <w:next w:val="BodyText"/>
    <w:link w:val="Heading4Char"/>
    <w:qFormat/>
    <w:rsid w:val="00C21C69"/>
    <w:pPr>
      <w:spacing w:before="160" w:after="120"/>
      <w:outlineLvl w:val="3"/>
    </w:pPr>
    <w:rPr>
      <w:sz w:val="22"/>
    </w:rPr>
  </w:style>
  <w:style w:type="paragraph" w:styleId="Heading5">
    <w:name w:val="heading 5"/>
    <w:basedOn w:val="HeadingBase"/>
    <w:next w:val="Normal"/>
    <w:link w:val="Heading5Char"/>
    <w:qFormat/>
    <w:rsid w:val="00C21C69"/>
    <w:pPr>
      <w:spacing w:before="80"/>
      <w:outlineLvl w:val="4"/>
    </w:pPr>
    <w:rPr>
      <w:color w:val="918585"/>
      <w:sz w:val="20"/>
    </w:rPr>
  </w:style>
  <w:style w:type="paragraph" w:styleId="Heading6">
    <w:name w:val="heading 6"/>
    <w:basedOn w:val="HeadingBase"/>
    <w:next w:val="Normal"/>
    <w:link w:val="Heading6Char"/>
    <w:qFormat/>
    <w:rsid w:val="00C21C69"/>
    <w:pPr>
      <w:spacing w:before="60"/>
      <w:outlineLvl w:val="5"/>
    </w:pPr>
    <w:rPr>
      <w:color w:val="918585"/>
      <w:sz w:val="20"/>
    </w:rPr>
  </w:style>
  <w:style w:type="paragraph" w:styleId="Heading7">
    <w:name w:val="heading 7"/>
    <w:basedOn w:val="Normal"/>
    <w:next w:val="Normal"/>
    <w:link w:val="Heading7Char"/>
    <w:qFormat/>
    <w:rsid w:val="00C21C69"/>
    <w:pPr>
      <w:ind w:left="720"/>
      <w:outlineLvl w:val="6"/>
    </w:pPr>
    <w:rPr>
      <w:i/>
    </w:rPr>
  </w:style>
  <w:style w:type="paragraph" w:styleId="Heading8">
    <w:name w:val="heading 8"/>
    <w:basedOn w:val="Normal"/>
    <w:next w:val="Normal"/>
    <w:link w:val="Heading8Char"/>
    <w:qFormat/>
    <w:rsid w:val="00C21C69"/>
    <w:pPr>
      <w:ind w:left="720"/>
      <w:outlineLvl w:val="7"/>
    </w:pPr>
    <w:rPr>
      <w:i/>
    </w:rPr>
  </w:style>
  <w:style w:type="paragraph" w:styleId="Heading9">
    <w:name w:val="heading 9"/>
    <w:basedOn w:val="Normal"/>
    <w:next w:val="Normal"/>
    <w:link w:val="Heading9Char"/>
    <w:qFormat/>
    <w:rsid w:val="00C21C69"/>
    <w:pPr>
      <w:ind w:left="720"/>
      <w:outlineLvl w:val="8"/>
    </w:pPr>
    <w:rPr>
      <w:i/>
    </w:rPr>
  </w:style>
  <w:style w:type="character" w:default="1" w:styleId="DefaultParagraphFont">
    <w:name w:val="Default Paragraph Font"/>
    <w:uiPriority w:val="1"/>
    <w:unhideWhenUsed/>
    <w:rsid w:val="00C21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C69"/>
  </w:style>
  <w:style w:type="character" w:customStyle="1" w:styleId="Heading1Char">
    <w:name w:val="Heading 1 Char"/>
    <w:basedOn w:val="DefaultParagraphFont"/>
    <w:link w:val="Heading1"/>
    <w:rsid w:val="00C21C69"/>
    <w:rPr>
      <w:rFonts w:ascii="Times New Roman" w:eastAsia="Times New Roman" w:hAnsi="Times New Roman" w:cs="Times New Roman"/>
      <w:b/>
      <w:sz w:val="32"/>
      <w:szCs w:val="20"/>
      <w:lang w:eastAsia="en-US"/>
    </w:rPr>
  </w:style>
  <w:style w:type="paragraph" w:styleId="BodyText">
    <w:name w:val="Body Text"/>
    <w:basedOn w:val="Normal"/>
    <w:link w:val="BodyTextChar"/>
    <w:rsid w:val="00C21C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1C69"/>
    <w:rPr>
      <w:rFonts w:ascii="Times New Roman" w:eastAsia="Times New Roman" w:hAnsi="Times New Roman" w:cs="Times New Roman"/>
      <w:sz w:val="24"/>
      <w:lang w:eastAsia="en-US"/>
    </w:rPr>
  </w:style>
  <w:style w:type="character" w:customStyle="1" w:styleId="SpecialBold">
    <w:name w:val="Special Bold"/>
    <w:basedOn w:val="DefaultParagraphFont"/>
    <w:rsid w:val="00C21C69"/>
    <w:rPr>
      <w:b/>
      <w:spacing w:val="0"/>
    </w:rPr>
  </w:style>
  <w:style w:type="paragraph" w:customStyle="1" w:styleId="SuperHeading">
    <w:name w:val="SuperHeading"/>
    <w:basedOn w:val="Normal"/>
    <w:rsid w:val="00C21C69"/>
    <w:pPr>
      <w:spacing w:before="240" w:after="120"/>
      <w:outlineLvl w:val="0"/>
    </w:pPr>
    <w:rPr>
      <w:rFonts w:ascii="Times New Roman" w:hAnsi="Times New Roman"/>
      <w:b/>
      <w:sz w:val="32"/>
    </w:rPr>
  </w:style>
  <w:style w:type="paragraph" w:customStyle="1" w:styleId="AllowPageBreak">
    <w:name w:val="AllowPageBreak"/>
    <w:rsid w:val="00C21C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21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C69"/>
    <w:rPr>
      <w:rFonts w:ascii="Courier New" w:eastAsia="Times New Roman" w:hAnsi="Courier New" w:cs="Times New Roman"/>
      <w:i/>
      <w:szCs w:val="20"/>
      <w:lang w:eastAsia="en-US"/>
    </w:rPr>
  </w:style>
  <w:style w:type="paragraph" w:customStyle="1" w:styleId="HeadingBase">
    <w:name w:val="Heading Base"/>
    <w:rsid w:val="00C21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C69"/>
    <w:pPr>
      <w:tabs>
        <w:tab w:val="right" w:leader="dot" w:pos="9072"/>
      </w:tabs>
      <w:ind w:left="567"/>
    </w:pPr>
    <w:rPr>
      <w:szCs w:val="22"/>
    </w:rPr>
  </w:style>
  <w:style w:type="paragraph" w:customStyle="1" w:styleId="TOCBase">
    <w:name w:val="TOC Base"/>
    <w:rsid w:val="00C21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C69"/>
    <w:pPr>
      <w:tabs>
        <w:tab w:val="right" w:leader="dot" w:pos="9072"/>
      </w:tabs>
      <w:spacing w:before="40" w:after="40"/>
      <w:ind w:left="284"/>
    </w:pPr>
    <w:rPr>
      <w:rFonts w:ascii="Times New Roman" w:hAnsi="Times New Roman"/>
    </w:rPr>
  </w:style>
  <w:style w:type="paragraph" w:styleId="TOC1">
    <w:name w:val="toc 1"/>
    <w:basedOn w:val="TOCBase"/>
    <w:next w:val="Normal"/>
    <w:rsid w:val="00C21C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C69"/>
    <w:rPr>
      <w:rFonts w:ascii="Times New Roman" w:eastAsia="Times New Roman" w:hAnsi="Times New Roman" w:cs="Times New Roman"/>
      <w:sz w:val="16"/>
      <w:lang w:eastAsia="en-US"/>
    </w:rPr>
  </w:style>
  <w:style w:type="paragraph" w:styleId="Title">
    <w:name w:val="Title"/>
    <w:basedOn w:val="HeadingBase"/>
    <w:link w:val="TitleChar"/>
    <w:qFormat/>
    <w:rsid w:val="00C21C69"/>
    <w:pPr>
      <w:spacing w:before="5040"/>
      <w:jc w:val="center"/>
    </w:pPr>
    <w:rPr>
      <w:sz w:val="48"/>
      <w:szCs w:val="72"/>
      <w:lang w:val="en-US"/>
    </w:rPr>
  </w:style>
  <w:style w:type="character" w:customStyle="1" w:styleId="TitleChar">
    <w:name w:val="Title Char"/>
    <w:basedOn w:val="DefaultParagraphFont"/>
    <w:link w:val="Title"/>
    <w:rsid w:val="00C21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C69"/>
    <w:pPr>
      <w:tabs>
        <w:tab w:val="left" w:pos="3600"/>
        <w:tab w:val="left" w:pos="3958"/>
      </w:tabs>
    </w:pPr>
  </w:style>
  <w:style w:type="paragraph" w:styleId="List">
    <w:name w:val="List"/>
    <w:basedOn w:val="BodyText"/>
    <w:next w:val="BodyText"/>
    <w:rsid w:val="00C21C69"/>
    <w:pPr>
      <w:tabs>
        <w:tab w:val="left" w:pos="340"/>
      </w:tabs>
      <w:spacing w:before="60" w:after="60"/>
      <w:ind w:left="340" w:hanging="340"/>
    </w:pPr>
  </w:style>
  <w:style w:type="paragraph" w:styleId="ListBullet">
    <w:name w:val="List Bullet"/>
    <w:basedOn w:val="List"/>
    <w:rsid w:val="00C21C69"/>
    <w:pPr>
      <w:numPr>
        <w:numId w:val="10"/>
      </w:numPr>
      <w:tabs>
        <w:tab w:val="clear" w:pos="340"/>
      </w:tabs>
      <w:spacing w:before="40" w:after="40"/>
    </w:pPr>
  </w:style>
  <w:style w:type="paragraph" w:customStyle="1" w:styleId="Note">
    <w:name w:val="Note"/>
    <w:basedOn w:val="BodyText"/>
    <w:rsid w:val="00C21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C69"/>
    <w:pPr>
      <w:framePr w:wrap="auto" w:hAnchor="text" w:y="6049"/>
    </w:pPr>
    <w:rPr>
      <w:color w:val="000000"/>
      <w:sz w:val="40"/>
    </w:rPr>
  </w:style>
  <w:style w:type="paragraph" w:customStyle="1" w:styleId="TOCTitle">
    <w:name w:val="TOCTitle"/>
    <w:basedOn w:val="Heading1"/>
    <w:rsid w:val="00C21C69"/>
    <w:pPr>
      <w:spacing w:after="240"/>
      <w:jc w:val="center"/>
      <w:outlineLvl w:val="9"/>
    </w:pPr>
    <w:rPr>
      <w:caps/>
    </w:rPr>
  </w:style>
  <w:style w:type="paragraph" w:customStyle="1" w:styleId="Version">
    <w:name w:val="Version"/>
    <w:rsid w:val="00C21C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1C69"/>
    <w:pPr>
      <w:numPr>
        <w:numId w:val="11"/>
      </w:numPr>
      <w:tabs>
        <w:tab w:val="clear" w:pos="680"/>
      </w:tabs>
    </w:pPr>
  </w:style>
  <w:style w:type="paragraph" w:styleId="Index1">
    <w:name w:val="index 1"/>
    <w:basedOn w:val="Normal"/>
    <w:next w:val="Normal"/>
    <w:semiHidden/>
    <w:rsid w:val="00C21C69"/>
    <w:pPr>
      <w:keepNext w:val="0"/>
      <w:tabs>
        <w:tab w:val="right" w:pos="4176"/>
      </w:tabs>
      <w:ind w:left="198" w:hanging="198"/>
    </w:pPr>
    <w:rPr>
      <w:rFonts w:ascii="Garamond" w:hAnsi="Garamond"/>
    </w:rPr>
  </w:style>
  <w:style w:type="paragraph" w:styleId="IndexHeading">
    <w:name w:val="index heading"/>
    <w:basedOn w:val="Normal"/>
    <w:next w:val="Index1"/>
    <w:semiHidden/>
    <w:rsid w:val="00C21C69"/>
    <w:pPr>
      <w:spacing w:before="120" w:after="120"/>
    </w:pPr>
    <w:rPr>
      <w:rFonts w:ascii="Arial" w:hAnsi="Arial"/>
      <w:b/>
      <w:color w:val="918585"/>
      <w:sz w:val="24"/>
    </w:rPr>
  </w:style>
  <w:style w:type="paragraph" w:styleId="Header">
    <w:name w:val="header"/>
    <w:basedOn w:val="Normal"/>
    <w:link w:val="HeaderChar"/>
    <w:rsid w:val="00C21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C69"/>
    <w:rPr>
      <w:rFonts w:ascii="Times New Roman" w:eastAsia="Times New Roman" w:hAnsi="Times New Roman" w:cs="Times New Roman"/>
      <w:sz w:val="16"/>
      <w:szCs w:val="20"/>
      <w:lang w:val="en-GB" w:eastAsia="en-US"/>
    </w:rPr>
  </w:style>
  <w:style w:type="paragraph" w:customStyle="1" w:styleId="Chapter">
    <w:name w:val="Chapter"/>
    <w:basedOn w:val="Normal"/>
    <w:rsid w:val="00C21C69"/>
    <w:pPr>
      <w:spacing w:before="240"/>
    </w:pPr>
    <w:rPr>
      <w:rFonts w:ascii="Times New Roman" w:hAnsi="Times New Roman"/>
      <w:smallCaps/>
      <w:spacing w:val="80"/>
      <w:sz w:val="28"/>
    </w:rPr>
  </w:style>
  <w:style w:type="paragraph" w:customStyle="1" w:styleId="InChapter">
    <w:name w:val="InChapter"/>
    <w:basedOn w:val="Heading3"/>
    <w:rsid w:val="00C21C69"/>
    <w:pPr>
      <w:spacing w:after="240"/>
      <w:outlineLvl w:val="9"/>
    </w:pPr>
    <w:rPr>
      <w:noProof/>
    </w:rPr>
  </w:style>
  <w:style w:type="paragraph" w:styleId="Index2">
    <w:name w:val="index 2"/>
    <w:basedOn w:val="Normal"/>
    <w:next w:val="Normal"/>
    <w:semiHidden/>
    <w:rsid w:val="00C21C69"/>
    <w:pPr>
      <w:tabs>
        <w:tab w:val="right" w:pos="4176"/>
      </w:tabs>
      <w:ind w:left="568" w:hanging="284"/>
    </w:pPr>
    <w:rPr>
      <w:rFonts w:ascii="Garamond" w:hAnsi="Garamond"/>
    </w:rPr>
  </w:style>
  <w:style w:type="paragraph" w:customStyle="1" w:styleId="Byline">
    <w:name w:val="Byline"/>
    <w:rsid w:val="00C21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C69"/>
    <w:pPr>
      <w:tabs>
        <w:tab w:val="clear" w:pos="3600"/>
        <w:tab w:val="clear" w:pos="3958"/>
      </w:tabs>
      <w:jc w:val="right"/>
    </w:pPr>
  </w:style>
  <w:style w:type="character" w:styleId="Emphasis">
    <w:name w:val="Emphasis"/>
    <w:basedOn w:val="DefaultParagraphFont"/>
    <w:qFormat/>
    <w:rsid w:val="00C21C69"/>
    <w:rPr>
      <w:i/>
    </w:rPr>
  </w:style>
  <w:style w:type="paragraph" w:styleId="Caption">
    <w:name w:val="caption"/>
    <w:basedOn w:val="BodyText"/>
    <w:next w:val="Normal"/>
    <w:qFormat/>
    <w:rsid w:val="00C21C69"/>
    <w:pPr>
      <w:framePr w:w="2268" w:hSpace="181" w:vSpace="181" w:wrap="around" w:vAnchor="text" w:hAnchor="page" w:x="1135" w:y="285" w:anchorLock="1"/>
    </w:pPr>
    <w:rPr>
      <w:i/>
    </w:rPr>
  </w:style>
  <w:style w:type="paragraph" w:customStyle="1" w:styleId="MiniTOCTitle">
    <w:name w:val="MiniTOCTitle"/>
    <w:basedOn w:val="Heading4"/>
    <w:rsid w:val="00C21C69"/>
    <w:pPr>
      <w:spacing w:before="240"/>
      <w:outlineLvl w:val="9"/>
    </w:pPr>
    <w:rPr>
      <w:noProof/>
      <w:sz w:val="24"/>
    </w:rPr>
  </w:style>
  <w:style w:type="paragraph" w:customStyle="1" w:styleId="MiniTOCItem">
    <w:name w:val="MiniTOCItem"/>
    <w:basedOn w:val="ListBullet"/>
    <w:rsid w:val="00C21C69"/>
    <w:pPr>
      <w:numPr>
        <w:numId w:val="0"/>
      </w:numPr>
      <w:tabs>
        <w:tab w:val="right" w:leader="dot" w:pos="6521"/>
      </w:tabs>
      <w:spacing w:before="0" w:after="0"/>
    </w:pPr>
  </w:style>
  <w:style w:type="paragraph" w:customStyle="1" w:styleId="TOFTitle">
    <w:name w:val="TOFTitle"/>
    <w:basedOn w:val="TOCTitle"/>
    <w:rsid w:val="00C21C69"/>
  </w:style>
  <w:style w:type="paragraph" w:styleId="TableofFigures">
    <w:name w:val="table of figures"/>
    <w:basedOn w:val="Normal"/>
    <w:next w:val="Normal"/>
    <w:semiHidden/>
    <w:rsid w:val="00C21C69"/>
    <w:pPr>
      <w:tabs>
        <w:tab w:val="right" w:leader="dot" w:pos="9072"/>
      </w:tabs>
      <w:ind w:left="970" w:hanging="403"/>
    </w:pPr>
    <w:rPr>
      <w:rFonts w:ascii="Times New Roman" w:hAnsi="Times New Roman"/>
      <w:b/>
    </w:rPr>
  </w:style>
  <w:style w:type="paragraph" w:styleId="ListNumber">
    <w:name w:val="List Number"/>
    <w:basedOn w:val="List"/>
    <w:rsid w:val="00C21C69"/>
    <w:pPr>
      <w:numPr>
        <w:numId w:val="13"/>
      </w:numPr>
      <w:tabs>
        <w:tab w:val="clear" w:pos="340"/>
      </w:tabs>
    </w:pPr>
  </w:style>
  <w:style w:type="character" w:customStyle="1" w:styleId="WingdingSymbols">
    <w:name w:val="Wingding Symbols"/>
    <w:rsid w:val="00C21C69"/>
    <w:rPr>
      <w:rFonts w:ascii="Wingdings" w:hAnsi="Wingdings"/>
    </w:rPr>
  </w:style>
  <w:style w:type="paragraph" w:customStyle="1" w:styleId="TableHeading">
    <w:name w:val="Table Heading"/>
    <w:basedOn w:val="HeadingBase"/>
    <w:rsid w:val="00C21C69"/>
    <w:pPr>
      <w:keepLines/>
      <w:pBdr>
        <w:bottom w:val="single" w:sz="6" w:space="1" w:color="918585"/>
      </w:pBdr>
      <w:spacing w:before="240"/>
    </w:pPr>
  </w:style>
  <w:style w:type="character" w:customStyle="1" w:styleId="HotSpot">
    <w:name w:val="HotSpot"/>
    <w:rsid w:val="00C21C69"/>
    <w:rPr>
      <w:color w:val="0033CC"/>
      <w:u w:val="none"/>
    </w:rPr>
  </w:style>
  <w:style w:type="paragraph" w:customStyle="1" w:styleId="BodyTextRight">
    <w:name w:val="Body Text Right"/>
    <w:basedOn w:val="BodyText"/>
    <w:rsid w:val="00C21C69"/>
    <w:pPr>
      <w:spacing w:before="0" w:after="0"/>
      <w:jc w:val="right"/>
    </w:pPr>
  </w:style>
  <w:style w:type="paragraph" w:styleId="Index3">
    <w:name w:val="index 3"/>
    <w:basedOn w:val="ListNumber2"/>
    <w:next w:val="Normal"/>
    <w:semiHidden/>
    <w:rsid w:val="00C21C69"/>
    <w:pPr>
      <w:numPr>
        <w:numId w:val="0"/>
      </w:numPr>
      <w:tabs>
        <w:tab w:val="right" w:leader="dot" w:pos="4176"/>
      </w:tabs>
    </w:pPr>
  </w:style>
  <w:style w:type="paragraph" w:styleId="ListNumber2">
    <w:name w:val="List Number 2"/>
    <w:basedOn w:val="List2"/>
    <w:rsid w:val="00C21C69"/>
    <w:pPr>
      <w:numPr>
        <w:numId w:val="8"/>
      </w:numPr>
      <w:tabs>
        <w:tab w:val="clear" w:pos="1060"/>
      </w:tabs>
    </w:pPr>
  </w:style>
  <w:style w:type="paragraph" w:customStyle="1" w:styleId="MarginNote">
    <w:name w:val="Margin Note"/>
    <w:basedOn w:val="BodyText"/>
    <w:rsid w:val="00C21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C69"/>
    <w:rPr>
      <w:sz w:val="32"/>
    </w:rPr>
  </w:style>
  <w:style w:type="paragraph" w:customStyle="1" w:styleId="HeadingProcedure">
    <w:name w:val="Heading Procedure"/>
    <w:basedOn w:val="HeadingBase"/>
    <w:next w:val="Normal"/>
    <w:rsid w:val="00C21C69"/>
    <w:pPr>
      <w:tabs>
        <w:tab w:val="left" w:pos="0"/>
      </w:tabs>
      <w:spacing w:before="120" w:after="60"/>
    </w:pPr>
    <w:rPr>
      <w:i/>
      <w:color w:val="918585"/>
      <w:sz w:val="22"/>
    </w:rPr>
  </w:style>
  <w:style w:type="paragraph" w:customStyle="1" w:styleId="TableBodyText">
    <w:name w:val="Table Body Text"/>
    <w:basedOn w:val="BodyText"/>
    <w:rsid w:val="00C21C69"/>
    <w:pPr>
      <w:spacing w:before="60" w:after="60"/>
    </w:pPr>
  </w:style>
  <w:style w:type="paragraph" w:styleId="ListContinue">
    <w:name w:val="List Continue"/>
    <w:basedOn w:val="List"/>
    <w:rsid w:val="00C21C69"/>
    <w:pPr>
      <w:ind w:firstLine="0"/>
    </w:pPr>
  </w:style>
  <w:style w:type="paragraph" w:customStyle="1" w:styleId="ListNote">
    <w:name w:val="List Note"/>
    <w:basedOn w:val="List"/>
    <w:rsid w:val="00C21C69"/>
    <w:pPr>
      <w:pBdr>
        <w:top w:val="single" w:sz="6" w:space="2" w:color="918585"/>
        <w:bottom w:val="single" w:sz="6" w:space="2" w:color="918585"/>
      </w:pBdr>
      <w:tabs>
        <w:tab w:val="left" w:pos="1021"/>
      </w:tabs>
      <w:ind w:firstLine="0"/>
    </w:pPr>
  </w:style>
  <w:style w:type="paragraph" w:customStyle="1" w:styleId="Warning">
    <w:name w:val="Warning"/>
    <w:basedOn w:val="BodyText"/>
    <w:rsid w:val="00C21C69"/>
    <w:pPr>
      <w:shd w:val="clear" w:color="auto" w:fill="D9D9D9"/>
      <w:tabs>
        <w:tab w:val="left" w:pos="992"/>
      </w:tabs>
      <w:ind w:left="119" w:right="119"/>
    </w:pPr>
    <w:rPr>
      <w:sz w:val="20"/>
    </w:rPr>
  </w:style>
  <w:style w:type="paragraph" w:customStyle="1" w:styleId="MarginIcons">
    <w:name w:val="Margin Icons"/>
    <w:basedOn w:val="BodyText"/>
    <w:rsid w:val="00C21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C69"/>
    <w:rPr>
      <w:rFonts w:ascii="Courier New" w:hAnsi="Courier New"/>
    </w:rPr>
  </w:style>
  <w:style w:type="paragraph" w:customStyle="1" w:styleId="NoteBullet">
    <w:name w:val="Note Bullet"/>
    <w:basedOn w:val="Note"/>
    <w:rsid w:val="00C21C69"/>
    <w:pPr>
      <w:tabs>
        <w:tab w:val="clear" w:pos="680"/>
      </w:tabs>
      <w:spacing w:before="60" w:after="60"/>
    </w:pPr>
  </w:style>
  <w:style w:type="paragraph" w:customStyle="1" w:styleId="SubHeading2">
    <w:name w:val="SubHeading2"/>
    <w:basedOn w:val="HeadingBase"/>
    <w:rsid w:val="00C21C69"/>
    <w:pPr>
      <w:spacing w:before="240" w:after="60"/>
    </w:pPr>
    <w:rPr>
      <w:sz w:val="20"/>
    </w:rPr>
  </w:style>
  <w:style w:type="paragraph" w:customStyle="1" w:styleId="SubHeading1">
    <w:name w:val="SubHeading1"/>
    <w:basedOn w:val="HeadingBase"/>
    <w:rsid w:val="00C21C69"/>
    <w:pPr>
      <w:spacing w:before="240" w:after="60"/>
    </w:pPr>
    <w:rPr>
      <w:color w:val="918585"/>
      <w:sz w:val="22"/>
    </w:rPr>
  </w:style>
  <w:style w:type="paragraph" w:customStyle="1" w:styleId="SideHeading">
    <w:name w:val="Side Heading"/>
    <w:basedOn w:val="HeadingBase"/>
    <w:rsid w:val="00C21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C69"/>
    <w:pPr>
      <w:numPr>
        <w:numId w:val="9"/>
      </w:numPr>
    </w:pPr>
  </w:style>
  <w:style w:type="paragraph" w:styleId="PlainText">
    <w:name w:val="Plain Text"/>
    <w:basedOn w:val="Normal"/>
    <w:link w:val="PlainTextChar"/>
    <w:rsid w:val="00C21C69"/>
    <w:rPr>
      <w:sz w:val="20"/>
    </w:rPr>
  </w:style>
  <w:style w:type="character" w:customStyle="1" w:styleId="PlainTextChar">
    <w:name w:val="Plain Text Char"/>
    <w:basedOn w:val="DefaultParagraphFont"/>
    <w:link w:val="PlainText"/>
    <w:rsid w:val="00C21C69"/>
    <w:rPr>
      <w:rFonts w:ascii="Courier New" w:eastAsia="Times New Roman" w:hAnsi="Courier New" w:cs="Times New Roman"/>
      <w:sz w:val="20"/>
      <w:szCs w:val="20"/>
      <w:lang w:eastAsia="en-US"/>
    </w:rPr>
  </w:style>
  <w:style w:type="character" w:customStyle="1" w:styleId="MenuOption">
    <w:name w:val="Menu Option"/>
    <w:basedOn w:val="DefaultParagraphFont"/>
    <w:rsid w:val="00C21C69"/>
    <w:rPr>
      <w:b/>
      <w:smallCaps/>
    </w:rPr>
  </w:style>
  <w:style w:type="paragraph" w:customStyle="1" w:styleId="TableListNumber">
    <w:name w:val="Table List Number"/>
    <w:basedOn w:val="ListNumber"/>
    <w:rsid w:val="00C21C69"/>
    <w:pPr>
      <w:numPr>
        <w:numId w:val="0"/>
      </w:numPr>
    </w:pPr>
  </w:style>
  <w:style w:type="paragraph" w:styleId="TOC4">
    <w:name w:val="toc 4"/>
    <w:basedOn w:val="TOCBase"/>
    <w:next w:val="Normal"/>
    <w:semiHidden/>
    <w:rsid w:val="00C21C69"/>
    <w:pPr>
      <w:tabs>
        <w:tab w:val="right" w:leader="dot" w:pos="9071"/>
      </w:tabs>
      <w:ind w:left="1701"/>
    </w:pPr>
  </w:style>
  <w:style w:type="paragraph" w:customStyle="1" w:styleId="ListAlpha">
    <w:name w:val="List Alpha"/>
    <w:basedOn w:val="List"/>
    <w:rsid w:val="00C21C69"/>
    <w:pPr>
      <w:numPr>
        <w:numId w:val="7"/>
      </w:numPr>
    </w:pPr>
  </w:style>
  <w:style w:type="paragraph" w:customStyle="1" w:styleId="ListAlpha2">
    <w:name w:val="List Alpha 2"/>
    <w:basedOn w:val="List2"/>
    <w:rsid w:val="00C21C69"/>
    <w:pPr>
      <w:numPr>
        <w:numId w:val="6"/>
      </w:numPr>
    </w:pPr>
  </w:style>
  <w:style w:type="paragraph" w:styleId="List2">
    <w:name w:val="List 2"/>
    <w:basedOn w:val="BodyText"/>
    <w:rsid w:val="00C21C69"/>
    <w:pPr>
      <w:tabs>
        <w:tab w:val="left" w:pos="680"/>
      </w:tabs>
      <w:spacing w:before="60" w:after="60"/>
      <w:ind w:left="680" w:hanging="340"/>
    </w:pPr>
  </w:style>
  <w:style w:type="paragraph" w:styleId="List3">
    <w:name w:val="List 3"/>
    <w:basedOn w:val="BodyText"/>
    <w:rsid w:val="00C21C69"/>
    <w:pPr>
      <w:tabs>
        <w:tab w:val="left" w:pos="1021"/>
      </w:tabs>
      <w:spacing w:before="60" w:after="60"/>
      <w:ind w:left="1020" w:hanging="340"/>
    </w:pPr>
  </w:style>
  <w:style w:type="paragraph" w:styleId="List4">
    <w:name w:val="List 4"/>
    <w:basedOn w:val="BodyText"/>
    <w:rsid w:val="00C21C69"/>
    <w:pPr>
      <w:tabs>
        <w:tab w:val="left" w:pos="1361"/>
      </w:tabs>
      <w:spacing w:before="60" w:after="60"/>
      <w:ind w:left="1361" w:hanging="340"/>
    </w:pPr>
  </w:style>
  <w:style w:type="paragraph" w:styleId="List5">
    <w:name w:val="List 5"/>
    <w:basedOn w:val="BodyText"/>
    <w:rsid w:val="00C21C69"/>
    <w:pPr>
      <w:tabs>
        <w:tab w:val="left" w:pos="1701"/>
      </w:tabs>
      <w:spacing w:before="60" w:after="60"/>
      <w:ind w:left="1701" w:hanging="340"/>
    </w:pPr>
  </w:style>
  <w:style w:type="paragraph" w:styleId="ListBullet3">
    <w:name w:val="List Bullet 3"/>
    <w:basedOn w:val="List3"/>
    <w:rsid w:val="00C21C69"/>
    <w:pPr>
      <w:numPr>
        <w:numId w:val="12"/>
      </w:numPr>
      <w:tabs>
        <w:tab w:val="clear" w:pos="1021"/>
      </w:tabs>
      <w:ind w:left="1037" w:hanging="357"/>
    </w:pPr>
  </w:style>
  <w:style w:type="paragraph" w:styleId="ListBullet4">
    <w:name w:val="List Bullet 4"/>
    <w:basedOn w:val="List4"/>
    <w:rsid w:val="00C21C69"/>
    <w:pPr>
      <w:numPr>
        <w:numId w:val="1"/>
      </w:numPr>
      <w:tabs>
        <w:tab w:val="clear" w:pos="1361"/>
      </w:tabs>
    </w:pPr>
  </w:style>
  <w:style w:type="paragraph" w:styleId="ListBullet5">
    <w:name w:val="List Bullet 5"/>
    <w:basedOn w:val="List5"/>
    <w:rsid w:val="00C21C69"/>
    <w:pPr>
      <w:numPr>
        <w:numId w:val="2"/>
      </w:numPr>
    </w:pPr>
  </w:style>
  <w:style w:type="paragraph" w:styleId="ListContinue2">
    <w:name w:val="List Continue 2"/>
    <w:basedOn w:val="List2"/>
    <w:rsid w:val="00C21C69"/>
    <w:pPr>
      <w:ind w:firstLine="0"/>
    </w:pPr>
  </w:style>
  <w:style w:type="paragraph" w:styleId="ListContinue3">
    <w:name w:val="List Continue 3"/>
    <w:basedOn w:val="List3"/>
    <w:rsid w:val="00C21C69"/>
    <w:pPr>
      <w:ind w:left="1021" w:firstLine="0"/>
    </w:pPr>
  </w:style>
  <w:style w:type="paragraph" w:styleId="ListContinue4">
    <w:name w:val="List Continue 4"/>
    <w:basedOn w:val="List4"/>
    <w:rsid w:val="00C21C69"/>
    <w:pPr>
      <w:ind w:firstLine="0"/>
    </w:pPr>
  </w:style>
  <w:style w:type="paragraph" w:styleId="ListContinue5">
    <w:name w:val="List Continue 5"/>
    <w:basedOn w:val="List5"/>
    <w:rsid w:val="00C21C69"/>
    <w:pPr>
      <w:ind w:firstLine="0"/>
    </w:pPr>
  </w:style>
  <w:style w:type="paragraph" w:styleId="ListNumber3">
    <w:name w:val="List Number 3"/>
    <w:basedOn w:val="List3"/>
    <w:rsid w:val="00C21C69"/>
    <w:pPr>
      <w:numPr>
        <w:numId w:val="3"/>
      </w:numPr>
    </w:pPr>
  </w:style>
  <w:style w:type="paragraph" w:styleId="ListNumber4">
    <w:name w:val="List Number 4"/>
    <w:basedOn w:val="List4"/>
    <w:rsid w:val="00C21C69"/>
    <w:pPr>
      <w:numPr>
        <w:numId w:val="4"/>
      </w:numPr>
    </w:pPr>
  </w:style>
  <w:style w:type="paragraph" w:styleId="ListNumber5">
    <w:name w:val="List Number 5"/>
    <w:basedOn w:val="List5"/>
    <w:rsid w:val="00C21C69"/>
    <w:pPr>
      <w:numPr>
        <w:numId w:val="5"/>
      </w:numPr>
    </w:pPr>
  </w:style>
  <w:style w:type="paragraph" w:styleId="BlockText">
    <w:name w:val="Block Text"/>
    <w:basedOn w:val="Normal"/>
    <w:rsid w:val="00C21C69"/>
    <w:pPr>
      <w:spacing w:after="120"/>
      <w:ind w:left="1440" w:right="1440"/>
    </w:pPr>
  </w:style>
  <w:style w:type="character" w:customStyle="1" w:styleId="Subscript">
    <w:name w:val="Subscript"/>
    <w:basedOn w:val="DefaultParagraphFont"/>
    <w:rsid w:val="00C21C69"/>
    <w:rPr>
      <w:sz w:val="16"/>
      <w:vertAlign w:val="subscript"/>
    </w:rPr>
  </w:style>
  <w:style w:type="character" w:customStyle="1" w:styleId="Superscript">
    <w:name w:val="Superscript"/>
    <w:basedOn w:val="DefaultParagraphFont"/>
    <w:rsid w:val="00C21C69"/>
    <w:rPr>
      <w:sz w:val="16"/>
      <w:vertAlign w:val="superscript"/>
    </w:rPr>
  </w:style>
  <w:style w:type="character" w:customStyle="1" w:styleId="Symbols">
    <w:name w:val="Symbols"/>
    <w:basedOn w:val="DefaultParagraphFont"/>
    <w:rsid w:val="00C21C69"/>
    <w:rPr>
      <w:rFonts w:ascii="Symbol" w:hAnsi="Symbol"/>
    </w:rPr>
  </w:style>
  <w:style w:type="character" w:customStyle="1" w:styleId="MenuOptions">
    <w:name w:val="Menu Options"/>
    <w:basedOn w:val="DefaultParagraphFont"/>
    <w:rsid w:val="00C21C69"/>
    <w:rPr>
      <w:rFonts w:ascii="Arial Narrow" w:hAnsi="Arial Narrow"/>
      <w:smallCaps/>
    </w:rPr>
  </w:style>
  <w:style w:type="character" w:customStyle="1" w:styleId="Buttons">
    <w:name w:val="Buttons"/>
    <w:basedOn w:val="DefaultParagraphFont"/>
    <w:rsid w:val="00C21C69"/>
    <w:rPr>
      <w:b/>
    </w:rPr>
  </w:style>
  <w:style w:type="character" w:customStyle="1" w:styleId="Underlined">
    <w:name w:val="Underlined"/>
    <w:basedOn w:val="DefaultParagraphFont"/>
    <w:rsid w:val="00C21C69"/>
    <w:rPr>
      <w:u w:val="single"/>
    </w:rPr>
  </w:style>
  <w:style w:type="paragraph" w:customStyle="1" w:styleId="TableBodyTextRight">
    <w:name w:val="Table Body Text Right"/>
    <w:basedOn w:val="TableBodyText"/>
    <w:rsid w:val="00C21C69"/>
    <w:pPr>
      <w:widowControl w:val="0"/>
      <w:autoSpaceDE w:val="0"/>
      <w:autoSpaceDN w:val="0"/>
      <w:adjustRightInd w:val="0"/>
      <w:jc w:val="right"/>
    </w:pPr>
    <w:rPr>
      <w:rFonts w:cs="Arial"/>
      <w:szCs w:val="18"/>
    </w:rPr>
  </w:style>
  <w:style w:type="paragraph" w:customStyle="1" w:styleId="CopyrightText">
    <w:name w:val="Copyright Text"/>
    <w:basedOn w:val="BodyText"/>
    <w:rsid w:val="00C21C69"/>
    <w:rPr>
      <w:sz w:val="18"/>
    </w:rPr>
  </w:style>
  <w:style w:type="paragraph" w:customStyle="1" w:styleId="BodySmallRight">
    <w:name w:val="Body Small Right"/>
    <w:basedOn w:val="BodyTextRight"/>
    <w:rsid w:val="00C21C69"/>
    <w:rPr>
      <w:sz w:val="18"/>
      <w:szCs w:val="18"/>
    </w:rPr>
  </w:style>
  <w:style w:type="paragraph" w:customStyle="1" w:styleId="MarginEdition">
    <w:name w:val="Margin Edition"/>
    <w:basedOn w:val="MarginNote"/>
    <w:rsid w:val="00C21C69"/>
    <w:pPr>
      <w:spacing w:before="0" w:after="0"/>
    </w:pPr>
    <w:rPr>
      <w:rFonts w:ascii="Times New Roman" w:hAnsi="Times New Roman"/>
      <w:color w:val="999999"/>
    </w:rPr>
  </w:style>
  <w:style w:type="paragraph" w:customStyle="1" w:styleId="Spacer">
    <w:name w:val="Spacer"/>
    <w:basedOn w:val="Normal"/>
    <w:rsid w:val="00C21C69"/>
    <w:rPr>
      <w:sz w:val="2"/>
      <w:szCs w:val="2"/>
    </w:rPr>
  </w:style>
  <w:style w:type="character" w:customStyle="1" w:styleId="Small">
    <w:name w:val="Small"/>
    <w:basedOn w:val="DefaultParagraphFont"/>
    <w:rsid w:val="00C21C69"/>
    <w:rPr>
      <w:sz w:val="16"/>
    </w:rPr>
  </w:style>
  <w:style w:type="paragraph" w:customStyle="1" w:styleId="WideTable">
    <w:name w:val="Wide Table"/>
    <w:basedOn w:val="Normal"/>
    <w:rsid w:val="00C21C69"/>
    <w:pPr>
      <w:ind w:left="-1418"/>
    </w:pPr>
    <w:rPr>
      <w:sz w:val="2"/>
      <w:szCs w:val="2"/>
    </w:rPr>
  </w:style>
  <w:style w:type="character" w:styleId="PageNumber">
    <w:name w:val="page number"/>
    <w:basedOn w:val="DefaultParagraphFont"/>
    <w:rsid w:val="00C21C69"/>
  </w:style>
  <w:style w:type="paragraph" w:styleId="Quote">
    <w:name w:val="Quote"/>
    <w:basedOn w:val="Heading1"/>
    <w:link w:val="QuoteChar"/>
    <w:qFormat/>
    <w:rsid w:val="00C21C69"/>
    <w:rPr>
      <w:b w:val="0"/>
      <w:sz w:val="72"/>
      <w:szCs w:val="72"/>
      <w:lang w:val="en-NZ"/>
    </w:rPr>
  </w:style>
  <w:style w:type="character" w:customStyle="1" w:styleId="QuoteChar">
    <w:name w:val="Quote Char"/>
    <w:basedOn w:val="DefaultParagraphFont"/>
    <w:link w:val="Quote"/>
    <w:rsid w:val="00C21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C69"/>
    <w:pPr>
      <w:pageBreakBefore/>
    </w:pPr>
  </w:style>
  <w:style w:type="paragraph" w:customStyle="1" w:styleId="Border">
    <w:name w:val="Border"/>
    <w:basedOn w:val="Normal"/>
    <w:qFormat/>
    <w:rsid w:val="00C21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C69"/>
    <w:rPr>
      <w:b/>
      <w:bCs/>
      <w:i/>
      <w:iCs/>
      <w:color w:val="auto"/>
    </w:rPr>
  </w:style>
  <w:style w:type="paragraph" w:styleId="IntenseQuote">
    <w:name w:val="Intense Quote"/>
    <w:basedOn w:val="Normal"/>
    <w:next w:val="Normal"/>
    <w:link w:val="IntenseQuoteChar"/>
    <w:uiPriority w:val="30"/>
    <w:qFormat/>
    <w:rsid w:val="00C21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C69"/>
    <w:rPr>
      <w:smallCaps/>
      <w:color w:val="auto"/>
      <w:u w:val="single"/>
    </w:rPr>
  </w:style>
  <w:style w:type="character" w:styleId="IntenseReference">
    <w:name w:val="Intense Reference"/>
    <w:basedOn w:val="DefaultParagraphFont"/>
    <w:uiPriority w:val="32"/>
    <w:qFormat/>
    <w:rsid w:val="00C21C69"/>
    <w:rPr>
      <w:b/>
      <w:bCs/>
      <w:smallCaps/>
      <w:color w:val="auto"/>
      <w:spacing w:val="5"/>
      <w:u w:val="single"/>
    </w:rPr>
  </w:style>
  <w:style w:type="paragraph" w:customStyle="1" w:styleId="2ColumnHeading">
    <w:name w:val="2Column Heading"/>
    <w:basedOn w:val="BodyText"/>
    <w:qFormat/>
    <w:rsid w:val="00C21C69"/>
    <w:pPr>
      <w:spacing w:after="60"/>
      <w:ind w:left="-2268"/>
    </w:pPr>
    <w:rPr>
      <w:b/>
    </w:rPr>
  </w:style>
  <w:style w:type="paragraph" w:customStyle="1" w:styleId="Heading1TOC">
    <w:name w:val="Heading1 TOC"/>
    <w:basedOn w:val="Normal"/>
    <w:qFormat/>
    <w:rsid w:val="00C21C69"/>
    <w:pPr>
      <w:spacing w:before="240" w:after="120"/>
    </w:pPr>
    <w:rPr>
      <w:rFonts w:ascii="Times New Roman" w:hAnsi="Times New Roman"/>
      <w:b/>
      <w:sz w:val="32"/>
    </w:rPr>
  </w:style>
  <w:style w:type="paragraph" w:customStyle="1" w:styleId="Heading2TOC">
    <w:name w:val="Heading2 TOC"/>
    <w:basedOn w:val="Normal"/>
    <w:qFormat/>
    <w:rsid w:val="00C21C69"/>
    <w:pPr>
      <w:spacing w:before="240" w:after="60"/>
    </w:pPr>
    <w:rPr>
      <w:rFonts w:ascii="Times New Roman" w:hAnsi="Times New Roman"/>
      <w:b/>
      <w:sz w:val="28"/>
    </w:rPr>
  </w:style>
  <w:style w:type="character" w:customStyle="1" w:styleId="Underline">
    <w:name w:val="Underline"/>
    <w:basedOn w:val="DefaultParagraphFont"/>
    <w:qFormat/>
    <w:rsid w:val="00C21C69"/>
    <w:rPr>
      <w:u w:val="single"/>
    </w:rPr>
  </w:style>
  <w:style w:type="character" w:customStyle="1" w:styleId="BoldandItalics">
    <w:name w:val="Bold and Italics"/>
    <w:qFormat/>
    <w:rsid w:val="00C21C69"/>
    <w:rPr>
      <w:b/>
      <w:i/>
      <w:u w:val="none"/>
    </w:rPr>
  </w:style>
  <w:style w:type="paragraph" w:styleId="BalloonText">
    <w:name w:val="Balloon Text"/>
    <w:basedOn w:val="Normal"/>
    <w:link w:val="BalloonTextChar"/>
    <w:rsid w:val="00C21C69"/>
    <w:rPr>
      <w:rFonts w:ascii="Tahoma" w:hAnsi="Tahoma" w:cs="Tahoma"/>
      <w:sz w:val="16"/>
      <w:szCs w:val="16"/>
    </w:rPr>
  </w:style>
  <w:style w:type="character" w:customStyle="1" w:styleId="BalloonTextChar">
    <w:name w:val="Balloon Text Char"/>
    <w:basedOn w:val="DefaultParagraphFont"/>
    <w:link w:val="BalloonText"/>
    <w:rsid w:val="00C21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C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1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C69"/>
    <w:rPr>
      <w:b/>
      <w:color w:val="660033"/>
      <w:spacing w:val="0"/>
    </w:rPr>
  </w:style>
  <w:style w:type="paragraph" w:customStyle="1" w:styleId="Nameditemlist">
    <w:name w:val="Named item list"/>
    <w:basedOn w:val="BodyText"/>
    <w:qFormat/>
    <w:rsid w:val="00C21C69"/>
    <w:pPr>
      <w:tabs>
        <w:tab w:val="left" w:pos="2835"/>
      </w:tabs>
      <w:ind w:left="2835" w:hanging="2835"/>
    </w:pPr>
  </w:style>
  <w:style w:type="paragraph" w:customStyle="1" w:styleId="BodyTextnopadding">
    <w:name w:val="Body Text no padding"/>
    <w:basedOn w:val="BodyText"/>
    <w:qFormat/>
    <w:rsid w:val="00C21C69"/>
    <w:pPr>
      <w:spacing w:before="0" w:after="0"/>
    </w:pPr>
  </w:style>
  <w:style w:type="paragraph" w:customStyle="1" w:styleId="BodyTextBold">
    <w:name w:val="Body Text Bold"/>
    <w:basedOn w:val="BodyText"/>
    <w:qFormat/>
    <w:rsid w:val="00C21C69"/>
    <w:rPr>
      <w:b/>
    </w:rPr>
  </w:style>
  <w:style w:type="character" w:styleId="Hyperlink">
    <w:name w:val="Hyperlink"/>
    <w:basedOn w:val="DefaultParagraphFont"/>
    <w:uiPriority w:val="99"/>
    <w:unhideWhenUsed/>
    <w:rsid w:val="00AD64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1807</Words>
  <Characters>11843</Characters>
  <Application>Microsoft Office Word</Application>
  <DocSecurity>0</DocSecurity>
  <Lines>514</Lines>
  <Paragraphs>426</Paragraphs>
  <ScaleCrop>false</ScaleCrop>
  <Company>Author-it Software Corporation Ltd.</Company>
  <LinksUpToDate>false</LinksUpToDate>
  <CharactersWithSpaces>13224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UEE62520 Advanced Diploma of Air Conditioning and Refrigeration Engineering</dc:title>
  <dc:subject>Approved</dc:subject>
  <dc:creator>Australian Industry Standards</dc:creator>
  <cp:keywords>Release: 4</cp:keywords>
  <dc:description>Review Date: 12 April 2008</dc:description>
  <cp:lastModifiedBy>HSD_TPCMSd.prod</cp:lastModifiedBy>
  <cp:revision>3</cp:revision>
  <dcterms:created xsi:type="dcterms:W3CDTF">2022-12-20T04:22:00Z</dcterms:created>
  <dcterms:modified xsi:type="dcterms:W3CDTF">2022-12-20T04:22:00Z</dcterms:modified>
</cp:coreProperties>
</file>