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C38" w:rsidP="00445C38">
      <w:pPr>
        <w:pStyle w:val="Title"/>
      </w:pPr>
      <w:r>
        <w:fldChar w:fldCharType="begin"/>
      </w:r>
      <w:r>
        <w:instrText xml:space="preserve"> TITLE   \* MERGEFORMAT </w:instrText>
      </w:r>
      <w:r>
        <w:fldChar w:fldCharType="separate"/>
      </w:r>
      <w:r>
        <w:t>UEE32220 Certificate III in Air Conditioning and Refrigeration</w:t>
      </w:r>
      <w:r>
        <w:fldChar w:fldCharType="end"/>
      </w:r>
    </w:p>
    <w:p w:rsidR="00445C38" w:rsidP="00445C38">
      <w:pPr>
        <w:pStyle w:val="Version"/>
        <w:sectPr w:rsidSect="00147D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147D0C" w:rsidP="00147D0C">
      <w:pPr>
        <w:pStyle w:val="SuperHeading"/>
      </w:pPr>
      <w:r w:rsidRPr="00147D0C">
        <w:t>UEE32220 Certificate III in Air Conditioning and Refrigeration</w:t>
      </w:r>
    </w:p>
    <w:p w:rsidR="00000000" w:rsidRPr="00147D0C" w:rsidP="00147D0C">
      <w:pPr>
        <w:pStyle w:val="Heading1"/>
      </w:pPr>
      <w:bookmarkStart w:id="1" w:name="O_1273992"/>
      <w:bookmarkEnd w:id="1"/>
      <w:r w:rsidRPr="00147D0C">
        <w:t>Modification History</w:t>
      </w:r>
    </w:p>
    <w:tbl>
      <w:tblPr>
        <w:tblW w:w="9497" w:type="dxa"/>
        <w:tblLayout w:type="fixed"/>
        <w:tblCellMar>
          <w:left w:w="62" w:type="dxa"/>
          <w:right w:w="62" w:type="dxa"/>
        </w:tblCellMar>
        <w:tblLook w:val="0000"/>
      </w:tblPr>
      <w:tblGrid>
        <w:gridCol w:w="9497"/>
      </w:tblGrid>
      <w:tr w:rsidTr="00147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D0C" w:rsidP="00147D0C">
            <w:pPr>
              <w:pStyle w:val="BodyText"/>
            </w:pPr>
            <w:r w:rsidRPr="00147D0C">
              <w:t>Release 5. Updated superseded elective unit.</w:t>
            </w:r>
          </w:p>
          <w:p w:rsidR="00000000" w:rsidRPr="00147D0C" w:rsidP="00147D0C">
            <w:pPr>
              <w:pStyle w:val="BodyText"/>
            </w:pPr>
            <w:r w:rsidRPr="00147D0C">
              <w:t>Release 4. Updated elective units.</w:t>
            </w:r>
          </w:p>
          <w:p w:rsidR="00000000" w:rsidRPr="00147D0C" w:rsidP="00147D0C">
            <w:pPr>
              <w:pStyle w:val="BodyText"/>
            </w:pPr>
            <w:r w:rsidRPr="00147D0C">
              <w:t>Release 3. Updated imported elective units.</w:t>
            </w:r>
          </w:p>
          <w:p w:rsidR="00000000" w:rsidRPr="00147D0C" w:rsidP="00147D0C">
            <w:pPr>
              <w:pStyle w:val="BodyText"/>
            </w:pPr>
            <w:r w:rsidRPr="00147D0C">
              <w:t>Release 2. Two units added to general electives. Imported elective units updated.</w:t>
            </w:r>
          </w:p>
          <w:p w:rsidR="00000000" w:rsidRPr="00147D0C" w:rsidP="00147D0C">
            <w:pPr>
              <w:pStyle w:val="BodyText"/>
            </w:pPr>
            <w:r w:rsidRPr="00147D0C">
              <w:t>Release 1. This is the first release of this qualification in the UEE Electrotechnology Training Package</w:t>
            </w:r>
          </w:p>
        </w:tc>
      </w:tr>
    </w:tbl>
    <w:p w:rsidR="00000000" w:rsidRPr="00147D0C" w:rsidP="00147D0C">
      <w:pPr>
        <w:pStyle w:val="NoPaddingFontSize1"/>
      </w:pPr>
    </w:p>
    <w:p w:rsidR="00000000" w:rsidRPr="00147D0C" w:rsidP="00147D0C">
      <w:pPr>
        <w:pStyle w:val="AllowPageBreak"/>
      </w:pPr>
    </w:p>
    <w:p w:rsidR="00000000" w:rsidRPr="00147D0C" w:rsidP="00147D0C">
      <w:pPr>
        <w:pStyle w:val="Heading1"/>
      </w:pPr>
      <w:bookmarkStart w:id="2" w:name="O_1273991"/>
      <w:bookmarkEnd w:id="2"/>
      <w:r w:rsidRPr="00147D0C">
        <w:t>Qualification Description</w:t>
      </w:r>
    </w:p>
    <w:tbl>
      <w:tblPr>
        <w:tblW w:w="9497" w:type="dxa"/>
        <w:tblLayout w:type="fixed"/>
        <w:tblCellMar>
          <w:left w:w="62" w:type="dxa"/>
          <w:right w:w="62" w:type="dxa"/>
        </w:tblCellMar>
        <w:tblLook w:val="0000"/>
      </w:tblPr>
      <w:tblGrid>
        <w:gridCol w:w="9497"/>
      </w:tblGrid>
      <w:tr w:rsidTr="00147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D0C" w:rsidP="00147D0C">
            <w:pPr>
              <w:pStyle w:val="BodyText"/>
            </w:pPr>
            <w:r w:rsidRPr="00147D0C">
              <w:t>This qualification cov</w:t>
            </w:r>
            <w:r w:rsidRPr="00147D0C">
              <w:t>ers competencies to select components, install, set up, test, fault find, repair and maintain refrigeration systems and equipment that apply to food storage and preservation, and air conditioning and air distribution equipment in buildings and premises. It</w:t>
            </w:r>
            <w:r w:rsidRPr="00147D0C">
              <w:t xml:space="preserve"> includes regulatory requirements for purchasing and handling refrigerants.</w:t>
            </w:r>
          </w:p>
          <w:p w:rsidR="00000000" w:rsidRPr="00147D0C" w:rsidP="00147D0C">
            <w:pPr>
              <w:pStyle w:val="BodyText"/>
            </w:pPr>
            <w:r w:rsidRPr="00147D0C">
              <w:t>Competency development activities in this qualification are subject to regulations directly related to licencing. A relevant contract of training through an apprenticeship or relev</w:t>
            </w:r>
            <w:r w:rsidRPr="00147D0C">
              <w:t>ant employment may be required to enable the application of the required knowledge and skills to on the job work activities and environments.</w:t>
            </w:r>
          </w:p>
          <w:p w:rsidR="00000000" w:rsidRPr="00147D0C" w:rsidP="00147D0C">
            <w:pPr>
              <w:pStyle w:val="BodyText"/>
            </w:pPr>
            <w:r w:rsidRPr="00147D0C">
              <w:t>Refrigerant Handling Licence:</w:t>
            </w:r>
          </w:p>
          <w:p w:rsidR="00000000" w:rsidRPr="00147D0C" w:rsidP="00147D0C">
            <w:pPr>
              <w:pStyle w:val="BodyText"/>
            </w:pPr>
            <w:r w:rsidRPr="00147D0C">
              <w:t>The achievement of the qualification meets the training components for the full nati</w:t>
            </w:r>
            <w:r w:rsidRPr="00147D0C">
              <w:t>onal Refrigerant Handling Licence which is required to work on refrigeration and air conditioning equipment that carries the risk of a fluorocarbon refrigerant being emitted while decanting the refrigerant or manufacturing, installing, commissioning, servi</w:t>
            </w:r>
            <w:r w:rsidRPr="00147D0C">
              <w:t>cing, maintaining or decommissioning refrigeration and air conditioning equipment.</w:t>
            </w:r>
          </w:p>
          <w:p w:rsidR="00000000" w:rsidRPr="00147D0C" w:rsidP="00147D0C">
            <w:pPr>
              <w:pStyle w:val="BodyText"/>
            </w:pPr>
            <w:r w:rsidRPr="00147D0C">
              <w:t>Refrigeration and Air Conditioning Occupational Licence:</w:t>
            </w:r>
          </w:p>
          <w:p w:rsidR="00000000" w:rsidRPr="00147D0C" w:rsidP="00147D0C">
            <w:pPr>
              <w:pStyle w:val="BodyText"/>
            </w:pPr>
            <w:r w:rsidRPr="00147D0C">
              <w:t>Additional and/or other conditions may apply in some jurisdictions subject to regulations related to refrigeration/a</w:t>
            </w:r>
            <w:r w:rsidRPr="00147D0C">
              <w:t>ir conditioning work. Practice in the workplace and during training is also subject to work health and safety (WHS)/occupational health and safety (OHS) regulations.</w:t>
            </w:r>
          </w:p>
          <w:p w:rsidR="00000000" w:rsidRPr="00147D0C" w:rsidP="00147D0C">
            <w:pPr>
              <w:pStyle w:val="BodyText"/>
            </w:pPr>
            <w:r w:rsidRPr="00147D0C">
              <w:t>Electrical Occupation Licence:</w:t>
            </w:r>
          </w:p>
          <w:p w:rsidR="00000000" w:rsidRPr="00147D0C" w:rsidP="00147D0C">
            <w:pPr>
              <w:pStyle w:val="BodyText"/>
            </w:pPr>
            <w:r w:rsidRPr="00147D0C">
              <w:t>The achievement of this qualification with the core restric</w:t>
            </w:r>
            <w:r w:rsidRPr="00147D0C">
              <w:t>ted electrical units meet the electrical regulatory requirements for related restricted electrical work in most state/territories. This is required to work on electrical installations which are designed to operate at voltages greater than 50 volt (V) alter</w:t>
            </w:r>
            <w:r w:rsidRPr="00147D0C">
              <w:t xml:space="preserve">nating current (a.c.) or 120 V direct current (d.c.). </w:t>
            </w:r>
          </w:p>
        </w:tc>
      </w:tr>
    </w:tbl>
    <w:p w:rsidR="00000000" w:rsidRPr="00147D0C" w:rsidP="00147D0C">
      <w:pPr>
        <w:pStyle w:val="NoPaddingFontSize1"/>
      </w:pPr>
    </w:p>
    <w:p w:rsidR="00000000" w:rsidRPr="00147D0C" w:rsidP="00147D0C">
      <w:pPr>
        <w:pStyle w:val="AllowPageBreak"/>
      </w:pPr>
    </w:p>
    <w:p w:rsidR="00000000" w:rsidRPr="00147D0C" w:rsidP="00147D0C">
      <w:pPr>
        <w:pStyle w:val="Heading1"/>
      </w:pPr>
      <w:bookmarkStart w:id="3" w:name="O_1273990"/>
      <w:bookmarkEnd w:id="3"/>
      <w:r w:rsidRPr="00147D0C">
        <w:t>Entry Requirements</w:t>
      </w:r>
    </w:p>
    <w:tbl>
      <w:tblPr>
        <w:tblW w:w="9497" w:type="dxa"/>
        <w:tblLayout w:type="fixed"/>
        <w:tblCellMar>
          <w:left w:w="62" w:type="dxa"/>
          <w:right w:w="62" w:type="dxa"/>
        </w:tblCellMar>
        <w:tblLook w:val="0000"/>
      </w:tblPr>
      <w:tblGrid>
        <w:gridCol w:w="9497"/>
      </w:tblGrid>
      <w:tr w:rsidTr="00147D0C">
        <w:tblPrEx>
          <w:tblW w:w="9497" w:type="dxa"/>
          <w:tblLayout w:type="fixed"/>
          <w:tblCellMar>
            <w:left w:w="62" w:type="dxa"/>
            <w:right w:w="62" w:type="dxa"/>
          </w:tblCellMar>
          <w:tblLook w:val="0000"/>
        </w:tblPrEx>
        <w:trPr>
          <w:trHeight w:val="547"/>
        </w:trPr>
        <w:tc>
          <w:tcPr>
            <w:tcW w:w="9497" w:type="dxa"/>
            <w:tcBorders>
              <w:top w:val="nil"/>
              <w:left w:val="nil"/>
              <w:bottom w:val="nil"/>
              <w:right w:val="nil"/>
            </w:tcBorders>
            <w:tcMar>
              <w:top w:w="0" w:type="dxa"/>
              <w:left w:w="62" w:type="dxa"/>
              <w:bottom w:w="0" w:type="dxa"/>
              <w:right w:w="62" w:type="dxa"/>
            </w:tcMar>
          </w:tcPr>
          <w:p w:rsidR="00000000" w:rsidRPr="00147D0C" w:rsidP="00147D0C">
            <w:pPr>
              <w:pStyle w:val="BodyText"/>
            </w:pPr>
            <w:r w:rsidRPr="00147D0C">
              <w:t xml:space="preserve">There are no entry requirements for this qualification. </w:t>
            </w:r>
          </w:p>
        </w:tc>
      </w:tr>
    </w:tbl>
    <w:p w:rsidR="00000000" w:rsidRPr="00147D0C" w:rsidP="00147D0C">
      <w:pPr>
        <w:pStyle w:val="NoPaddingFontSize1"/>
      </w:pPr>
    </w:p>
    <w:p w:rsidR="00000000" w:rsidRPr="00147D0C" w:rsidP="00147D0C">
      <w:pPr>
        <w:pStyle w:val="AllowPageBreak"/>
      </w:pPr>
    </w:p>
    <w:p w:rsidR="00000000" w:rsidRPr="00147D0C" w:rsidP="00147D0C">
      <w:pPr>
        <w:pStyle w:val="Heading1"/>
      </w:pPr>
      <w:bookmarkStart w:id="4" w:name="O_1273989"/>
      <w:bookmarkEnd w:id="4"/>
      <w:r w:rsidRPr="00147D0C">
        <w:t>Packaging Rules</w:t>
      </w:r>
    </w:p>
    <w:tbl>
      <w:tblPr>
        <w:tblW w:w="9497" w:type="dxa"/>
        <w:tblLayout w:type="fixed"/>
        <w:tblCellMar>
          <w:left w:w="62" w:type="dxa"/>
          <w:right w:w="62" w:type="dxa"/>
        </w:tblCellMar>
        <w:tblLook w:val="0000"/>
      </w:tblPr>
      <w:tblGrid>
        <w:gridCol w:w="1727"/>
        <w:gridCol w:w="5713"/>
        <w:gridCol w:w="2057"/>
      </w:tblGrid>
      <w:tr w:rsidTr="00147D0C">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147D0C" w:rsidP="00147D0C">
            <w:pPr>
              <w:pStyle w:val="BodyText"/>
            </w:pPr>
            <w:r w:rsidRPr="00147D0C">
              <w:t xml:space="preserve">A total of </w:t>
            </w:r>
            <w:r w:rsidRPr="00147D0C">
              <w:rPr>
                <w:rStyle w:val="SpecialBold"/>
              </w:rPr>
              <w:t>1210 weighting points</w:t>
            </w:r>
            <w:r w:rsidRPr="00147D0C">
              <w:t xml:space="preserve"> comprising:</w:t>
            </w:r>
          </w:p>
          <w:p w:rsidR="00000000" w:rsidRPr="00147D0C" w:rsidP="00147D0C">
            <w:pPr>
              <w:pStyle w:val="BodyText"/>
            </w:pPr>
            <w:r w:rsidRPr="00147D0C">
              <w:rPr>
                <w:rStyle w:val="SpecialBold"/>
              </w:rPr>
              <w:t>1070 core weighting points</w:t>
            </w:r>
            <w:r w:rsidRPr="00147D0C">
              <w:t xml:space="preserve"> listed below;</w:t>
            </w:r>
            <w:r w:rsidRPr="00147D0C">
              <w:rPr>
                <w:rStyle w:val="SpecialBold"/>
              </w:rPr>
              <w:t xml:space="preserve"> plus</w:t>
            </w:r>
          </w:p>
          <w:p w:rsidR="00000000" w:rsidRPr="00147D0C" w:rsidP="00147D0C">
            <w:pPr>
              <w:pStyle w:val="BodyText"/>
            </w:pPr>
            <w:r w:rsidRPr="00147D0C">
              <w:rPr>
                <w:rStyle w:val="SpecialBold"/>
              </w:rPr>
              <w:t xml:space="preserve">140 general elective weighting points </w:t>
            </w:r>
            <w:r w:rsidRPr="00147D0C">
              <w:t xml:space="preserve">from the general elective units listed below. </w:t>
            </w:r>
          </w:p>
          <w:p w:rsidR="00000000" w:rsidRPr="00147D0C" w:rsidP="00147D0C">
            <w:pPr>
              <w:pStyle w:val="BodyText"/>
            </w:pPr>
            <w:r w:rsidRPr="00147D0C">
              <w:t xml:space="preserve">Choose a total of 140 </w:t>
            </w:r>
            <w:r w:rsidRPr="00147D0C">
              <w:rPr>
                <w:rStyle w:val="SpecialBold"/>
              </w:rPr>
              <w:t>weighting points</w:t>
            </w:r>
            <w:r w:rsidRPr="00147D0C">
              <w:t xml:space="preserve"> elective units from the list below, of which between 0 and 60 </w:t>
            </w:r>
            <w:r w:rsidRPr="00147D0C">
              <w:rPr>
                <w:rStyle w:val="SpecialBold"/>
              </w:rPr>
              <w:t xml:space="preserve">weighting points </w:t>
            </w:r>
            <w:r w:rsidRPr="00147D0C">
              <w:t xml:space="preserve">can be </w:t>
            </w:r>
            <w:r w:rsidRPr="00147D0C">
              <w:t>taken from Group A; and between 80 and 140</w:t>
            </w:r>
            <w:r w:rsidRPr="00147D0C">
              <w:rPr>
                <w:rStyle w:val="SpecialBold"/>
              </w:rPr>
              <w:t xml:space="preserve"> weighting points </w:t>
            </w:r>
            <w:r w:rsidRPr="00147D0C">
              <w:t xml:space="preserve">must be taken from Group B; or all electives units of 140 </w:t>
            </w:r>
            <w:r w:rsidRPr="00147D0C">
              <w:rPr>
                <w:rStyle w:val="SpecialBold"/>
              </w:rPr>
              <w:t xml:space="preserve">weighting points </w:t>
            </w:r>
            <w:r w:rsidRPr="00147D0C">
              <w:t>can be taken from Group B.</w:t>
            </w:r>
          </w:p>
          <w:p w:rsidR="00000000" w:rsidRPr="00147D0C" w:rsidP="00147D0C">
            <w:pPr>
              <w:pStyle w:val="BodyText"/>
            </w:pPr>
            <w:r w:rsidRPr="00147D0C">
              <w:rPr>
                <w:rStyle w:val="SpecialBold"/>
              </w:rPr>
              <w:t>Up to 30 weighting points of the general elective units Group A</w:t>
            </w:r>
            <w:r w:rsidRPr="00147D0C">
              <w:t>, may be selected, with appropr</w:t>
            </w:r>
            <w:r w:rsidRPr="00147D0C">
              <w:t>iate contextualisation, from any relevant nationally endorsed Training Package or accredited course, provided selected units contribute to the vocational outcome of the qualification. Previously assigned weighting points are listed in the UEE Electrotechno</w:t>
            </w:r>
            <w:r w:rsidRPr="00147D0C">
              <w:t xml:space="preserve">logy Training Package Companion Volume Implementation Guide (CVIG), if not listed weighting points will be 10 points, unless directed from the Electrotechnology Industry Reference Committee (IRC). </w:t>
            </w:r>
          </w:p>
          <w:p w:rsidR="00000000" w:rsidRPr="00147D0C" w:rsidP="00147D0C">
            <w:pPr>
              <w:pStyle w:val="BodyText"/>
            </w:pPr>
            <w:r w:rsidRPr="00147D0C">
              <w:t>There are units of competency within this qualification th</w:t>
            </w:r>
            <w:r w:rsidRPr="00147D0C">
              <w:t>at contain pre-requisites. Units of competency that have a pre-requisite requirement are identified by this symbol *. Refer directly to the units of competency to identify pre-requisite requirements to ensure all are complied with. A list of all pre-requis</w:t>
            </w:r>
            <w:r w:rsidRPr="00147D0C">
              <w:t>ites is also provided in the UEE Pre-requisites Companion Volume.</w:t>
            </w:r>
          </w:p>
          <w:p w:rsidR="00000000" w:rsidP="00147D0C">
            <w:pPr>
              <w:pStyle w:val="BodyText"/>
              <w:rPr>
                <w:lang w:val="en-NZ"/>
              </w:rPr>
            </w:pPr>
            <w:r w:rsidRPr="00147D0C">
              <w:t>Where imported units are selected, care must be taken to ensure all pre-requisite units specified are complied with.</w:t>
            </w:r>
          </w:p>
        </w:tc>
      </w:tr>
      <w:tr w:rsidTr="00147D0C">
        <w:tblPrEx>
          <w:tblW w:w="9497" w:type="dxa"/>
          <w:tblLayout w:type="fixed"/>
          <w:tblCellMar>
            <w:left w:w="62" w:type="dxa"/>
            <w:right w:w="62" w:type="dxa"/>
          </w:tblCellMar>
          <w:tblLook w:val="0000"/>
        </w:tblPrEx>
        <w:tc>
          <w:tcPr>
            <w:tcW w:w="7440" w:type="dxa"/>
            <w:gridSpan w:val="2"/>
            <w:tcBorders>
              <w:top w:val="nil"/>
              <w:left w:val="nil"/>
              <w:bottom w:val="nil"/>
              <w:right w:val="nil"/>
            </w:tcBorders>
            <w:tcMar>
              <w:top w:w="0" w:type="dxa"/>
              <w:left w:w="62" w:type="dxa"/>
              <w:bottom w:w="0" w:type="dxa"/>
              <w:right w:w="62" w:type="dxa"/>
            </w:tcMar>
          </w:tcPr>
          <w:p w:rsidR="00000000" w:rsidRPr="00147D0C" w:rsidP="00147D0C">
            <w:pPr>
              <w:pStyle w:val="BodyText"/>
            </w:pPr>
            <w:r w:rsidRPr="00147D0C">
              <w:rPr>
                <w:rStyle w:val="SpecialBold"/>
              </w:rPr>
              <w:t xml:space="preserve">Core units </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rPr>
                <w:rStyle w:val="SpecialBold"/>
              </w:rPr>
              <w:t>Weighting Points</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UEECD0007</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Apply work health a</w:t>
            </w:r>
            <w:r w:rsidRPr="00147D0C">
              <w:t>nd safety regulations, codes and practices in the workplace</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UEECD0016</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Document and apply measures to control WHS risks associated with electrotechnology work*</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UEECD0019</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Fabricate, assemble and dismantle utilities industry components*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40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UEECD0020</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Fix and secure electrotechnology equipment*</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UEECD0042</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Solve problems in ELV single path circuits*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40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UEECD0051</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Use drawings, diagrams, schedules, standards, codes and specifications*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40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UEECO0010</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Participate in refrigeration and air conditioning work and competency development activities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60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UEERA0031</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 xml:space="preserve">Diagnose and rectify faults in air conditioning and </w:t>
            </w:r>
            <w:r w:rsidRPr="00147D0C">
              <w:t>refrigeration control systems*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60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UEERA0035</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Establish the basic operating conditions of air cond</w:t>
            </w:r>
            <w:r w:rsidRPr="00147D0C">
              <w:t>itioning systems*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UEERA0036</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Establish the basic operating conditions of vapour compression systems*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60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UEERA0044</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Find and rectify faults in single phase motors and associated controls*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40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UEERA0045</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Find and rectify faults in three phase motors and associated controls*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30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UEERA0050</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Install refrigerant pipe work, flow controls and accessories*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60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UEERA0051</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Install, commission, service and maintain air conditioning systems*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80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UEERA0052</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Install, comm</w:t>
            </w:r>
            <w:r w:rsidRPr="00147D0C">
              <w:t>ission, service and maintain low temperature systems*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40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UEERA0053</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Install, commission, service and maintain medium temperature systems*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60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UEERA0059</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Prepare and connect refrigerant tubing and fittings*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40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UEERA0062</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Recover and charge refrigerants*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40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UEERA0079</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Safely handle refrigerants and lubricants*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40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UEERA0081</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Select refrigerant piping, accessories and associated controls*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40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UEERA0092</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Solve problems in low voltage refrigeration and air conditioning circuits*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40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UEERA0094</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Verify functionality and compliance of refrigeration and air conditioning installations*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40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UEERE0001</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Apply environmentally and sustainable procedures in the energy sector</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UEERL0001</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Attach cords and plugs to electrical equipment for connection to a si</w:t>
            </w:r>
            <w:r w:rsidRPr="00147D0C">
              <w:t>ngle phase 230 Volt supply*</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UEERL0002</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Attach cords, cables and plugs to electrical equipment for connection to 1000 V a.c. or 1500 V d.c.*</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UEERL0004</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Disconnect - reconnect electrical equipment connected to low voltage (LV) installation wiring*</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60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UEERL0005</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Locate and rectify faults in low voltage (LV) electrical equipment using set procedures*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7440" w:type="dxa"/>
            <w:gridSpan w:val="2"/>
            <w:tcBorders>
              <w:top w:val="nil"/>
              <w:left w:val="nil"/>
              <w:bottom w:val="nil"/>
              <w:right w:val="nil"/>
            </w:tcBorders>
            <w:tcMar>
              <w:top w:w="0" w:type="dxa"/>
              <w:left w:w="62" w:type="dxa"/>
              <w:bottom w:w="0" w:type="dxa"/>
              <w:right w:w="62" w:type="dxa"/>
            </w:tcMar>
          </w:tcPr>
          <w:p w:rsidR="00000000" w:rsidRPr="00147D0C" w:rsidP="00147D0C">
            <w:pPr>
              <w:pStyle w:val="BodyText"/>
            </w:pPr>
            <w:r w:rsidRPr="00147D0C">
              <w:rPr>
                <w:rStyle w:val="SpecialBold"/>
              </w:rPr>
              <w:t>Group A: Imported and common elective units.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rPr>
                <w:rStyle w:val="SpecialBold"/>
              </w:rPr>
              <w:t>Weighting Points</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BSBOPS203</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Deliver a service to customers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CPCWHS1001</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Prepare to work safely in the construction industry</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10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HLTAID009</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Provide cardiopulmonary resuscitation</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10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HLTAID011</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Provide First Aid</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10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ICTICT214</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Operate application software packages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UEECD0011</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Comply with scheduled and preventative maintenance program processes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UEECD0035</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Provide basic instruction in the use of electrotechnology apparatus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UEECO0002</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Maintain documentation</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UEECO0015</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Provide quotations for installation or service jobs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UEECO0017</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Source and purchase material/parts for installation or service jobs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UETDRRF004</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Perform rescue from a live LV panel*</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7440" w:type="dxa"/>
            <w:gridSpan w:val="2"/>
            <w:tcBorders>
              <w:top w:val="nil"/>
              <w:left w:val="nil"/>
              <w:bottom w:val="nil"/>
              <w:right w:val="nil"/>
            </w:tcBorders>
            <w:tcMar>
              <w:top w:w="0" w:type="dxa"/>
              <w:left w:w="62" w:type="dxa"/>
              <w:bottom w:w="0" w:type="dxa"/>
              <w:right w:w="62" w:type="dxa"/>
            </w:tcMar>
          </w:tcPr>
          <w:p w:rsidR="00000000" w:rsidRPr="00147D0C" w:rsidP="00147D0C">
            <w:pPr>
              <w:pStyle w:val="BodyText"/>
            </w:pPr>
            <w:r w:rsidRPr="00147D0C">
              <w:rPr>
                <w:rStyle w:val="SpecialBold"/>
              </w:rPr>
              <w:t>Group B: Qualification elective units.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rPr>
                <w:rStyle w:val="SpecialBold"/>
              </w:rPr>
              <w:t>Weighting Points</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UEEIC0013</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Develop, enter and verify discrete cont</w:t>
            </w:r>
            <w:r w:rsidRPr="00147D0C">
              <w:t>rol programs for programmable controllers*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60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UEERA0005</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Apply safety awareness and legal requirements for ammonia refrigerant</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10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UEERA0006</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Apply safety awareness and legal requirements for carbon dioxide refrigerant</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10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UEERA0007</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Apply safety awareness a</w:t>
            </w:r>
            <w:r w:rsidRPr="00147D0C">
              <w:t>nd legal requirements for flammable refrigerants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10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UEERA0046</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Install and commission ammonia refrigeration systems, components and associated equipment*</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UEERA0047</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Install and commission carbon dioxide refrigeration systems, components and associated e</w:t>
            </w:r>
            <w:r w:rsidRPr="00147D0C">
              <w:t>quipment*</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UEERA0048</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Install and commission flammable refrigerant air conditioning and refrigeration systems*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UEERA0054</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Maintain microbial control of refrigeration and air conditioning systems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UEERA0057</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Operate ammonia refrigeration plant*</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40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UEERA0065</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Repair and service ammonia refrigeration systems*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UEERA0066</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Repair and service carbon dioxide refrigeration systems*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UEERA0067</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Repair and service secondary refrigeration systems*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UEERA0068</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Repair and service self-contained carbon dioxide refrigeration and heat pump systems*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UEERA0069</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Resolve problems in beverage dispensers*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40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UEERA0070</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Resolve problems in central plant air conditioning systems*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40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UEERA0071</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Resolve problems in dairy r</w:t>
            </w:r>
            <w:r w:rsidRPr="00147D0C">
              <w:t>efrigeration systems*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UEERA0072</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Resolve problems in hydronic systems*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40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UEERA0073</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Resolve problems in ice making systems*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UEERA0074</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Resolve problems in industrial refrigeration systems*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UEERA0075</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Resolve problems in post-mix refrigeratio</w:t>
            </w:r>
            <w:r w:rsidRPr="00147D0C">
              <w:t>n systems*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UEERA0076</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Resolve problems in refrigerated beverage vending cabinets*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UEERA0077</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Resolve problems in transport refrigeration systems*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UEERA0078</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Resolve problems in ultra-low temperature refrigeration systems*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UEERA0084</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 xml:space="preserve">Service and repair self-contained flammable refrigerants air </w:t>
            </w:r>
            <w:r w:rsidRPr="00147D0C">
              <w:t>conditioning and refrigeration systems*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20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UEERA0097</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Install, commission, service and maintain variable refrigerant flow air conditioning systems*</w:t>
            </w:r>
          </w:p>
        </w:tc>
        <w:tc>
          <w:tcPr>
            <w:tcW w:w="205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40</w:t>
            </w:r>
          </w:p>
        </w:tc>
      </w:tr>
      <w:tr w:rsidTr="00147D0C">
        <w:tblPrEx>
          <w:tblW w:w="9497" w:type="dxa"/>
          <w:tblLayout w:type="fixed"/>
          <w:tblCellMar>
            <w:left w:w="62" w:type="dxa"/>
            <w:right w:w="62" w:type="dxa"/>
          </w:tblCellMar>
          <w:tblLook w:val="0000"/>
        </w:tblPrEx>
        <w:tc>
          <w:tcPr>
            <w:tcW w:w="1727"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UEERA0098</w:t>
            </w:r>
          </w:p>
        </w:tc>
        <w:tc>
          <w:tcPr>
            <w:tcW w:w="5713" w:type="dxa"/>
            <w:tcBorders>
              <w:top w:val="nil"/>
              <w:left w:val="nil"/>
              <w:bottom w:val="nil"/>
              <w:right w:val="nil"/>
            </w:tcBorders>
            <w:tcMar>
              <w:top w:w="0" w:type="dxa"/>
              <w:left w:w="62" w:type="dxa"/>
              <w:bottom w:w="0" w:type="dxa"/>
              <w:right w:w="62" w:type="dxa"/>
            </w:tcMar>
          </w:tcPr>
          <w:p w:rsidR="00000000" w:rsidP="00147D0C">
            <w:pPr>
              <w:pStyle w:val="BodyText"/>
              <w:rPr>
                <w:lang w:val="en-NZ"/>
              </w:rPr>
            </w:pPr>
            <w:r w:rsidRPr="00147D0C">
              <w:t>Inspect, test and repair fire and</w:t>
            </w:r>
            <w:r w:rsidRPr="00147D0C">
              <w:t xml:space="preserve"> smoke control features of mechanical services systems*</w:t>
            </w:r>
          </w:p>
        </w:tc>
        <w:tc>
          <w:tcPr>
            <w:tcW w:w="2057" w:type="dxa"/>
            <w:tcBorders>
              <w:top w:val="nil"/>
              <w:left w:val="nil"/>
              <w:bottom w:val="nil"/>
              <w:right w:val="nil"/>
            </w:tcBorders>
            <w:tcMar>
              <w:top w:w="0" w:type="dxa"/>
              <w:left w:w="62" w:type="dxa"/>
              <w:bottom w:w="0" w:type="dxa"/>
              <w:right w:w="62" w:type="dxa"/>
            </w:tcMar>
          </w:tcPr>
          <w:p w:rsidR="00000000" w:rsidRPr="00147D0C" w:rsidP="00147D0C">
            <w:pPr>
              <w:pStyle w:val="BodyText"/>
            </w:pPr>
            <w:r w:rsidRPr="00147D0C">
              <w:t>80</w:t>
            </w:r>
          </w:p>
        </w:tc>
      </w:tr>
    </w:tbl>
    <w:p w:rsidR="00000000" w:rsidRPr="00147D0C" w:rsidP="00147D0C">
      <w:pPr>
        <w:pStyle w:val="NoPaddingFontSize1"/>
      </w:pPr>
    </w:p>
    <w:p w:rsidR="00000000" w:rsidRPr="00147D0C" w:rsidP="00147D0C">
      <w:pPr>
        <w:pStyle w:val="AllowPageBreak"/>
      </w:pPr>
    </w:p>
    <w:p w:rsidR="00000000" w:rsidRPr="00147D0C" w:rsidP="00147D0C">
      <w:pPr>
        <w:pStyle w:val="Heading1"/>
      </w:pPr>
      <w:bookmarkStart w:id="5" w:name="O_1273987"/>
      <w:bookmarkEnd w:id="5"/>
      <w:r w:rsidRPr="00147D0C">
        <w:t>Qualification Mapping Information</w:t>
      </w:r>
    </w:p>
    <w:tbl>
      <w:tblPr>
        <w:tblW w:w="9497" w:type="dxa"/>
        <w:tblLayout w:type="fixed"/>
        <w:tblCellMar>
          <w:left w:w="62" w:type="dxa"/>
          <w:right w:w="62" w:type="dxa"/>
        </w:tblCellMar>
        <w:tblLook w:val="0000"/>
      </w:tblPr>
      <w:tblGrid>
        <w:gridCol w:w="9497"/>
      </w:tblGrid>
      <w:tr w:rsidTr="00147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7D0C" w:rsidP="00147D0C">
            <w:pPr>
              <w:pStyle w:val="BodyText"/>
            </w:pPr>
            <w:r w:rsidRPr="00147D0C">
              <w:t>This qualification replaces and is not equivalent to UEE32211 Certificate III in Air-conditioning and Refrigeration</w:t>
            </w:r>
          </w:p>
        </w:tc>
      </w:tr>
    </w:tbl>
    <w:p w:rsidR="00000000" w:rsidRPr="00147D0C" w:rsidP="00147D0C">
      <w:pPr>
        <w:pStyle w:val="NoPaddingFontSize1"/>
      </w:pPr>
    </w:p>
    <w:p w:rsidR="00000000" w:rsidRPr="00147D0C" w:rsidP="00147D0C">
      <w:pPr>
        <w:pStyle w:val="AllowPageBreak"/>
      </w:pPr>
    </w:p>
    <w:p w:rsidR="00000000" w:rsidRPr="00147D0C" w:rsidP="00147D0C">
      <w:pPr>
        <w:pStyle w:val="Heading1"/>
      </w:pPr>
      <w:bookmarkStart w:id="6" w:name="O_1273994"/>
      <w:bookmarkEnd w:id="6"/>
      <w:r w:rsidRPr="00147D0C">
        <w:t>Links</w:t>
      </w:r>
    </w:p>
    <w:p w:rsidR="00000000" w:rsidRPr="00147D0C" w:rsidP="00445C38">
      <w:pPr>
        <w:pStyle w:val="BodyText"/>
      </w:pPr>
      <w:r w:rsidRPr="00147D0C">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DC3AC3">
        <w:rPr>
          <w:rStyle w:val="Hyperlink"/>
        </w:rPr>
        <w:t>https://vetnet.gov.au/Pages/TrainingDocs.aspx?q=b8a8f136-5421-4ce1-92e0-2b50341431b6</w:t>
      </w:r>
      <w:r>
        <w:fldChar w:fldCharType="end"/>
      </w:r>
    </w:p>
    <w:p w:rsidR="00000000" w:rsidRPr="00147D0C" w:rsidP="00147D0C"/>
    <w:sectPr w:rsidSect="00147D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D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D0C" w:rsidRPr="00445C38" w:rsidP="00445C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D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C38" w:rsidP="00147D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45C38" w:rsidP="00147D0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45C38" w:rsidP="00147D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D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C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7D0C" w:rsidRPr="00445C38" w:rsidP="00445C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D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C38" w:rsidRPr="002D2AF8" w:rsidP="00147D0C">
    <w:pPr>
      <w:pStyle w:val="Header"/>
      <w:framePr w:wrap="around"/>
    </w:pPr>
    <w:r>
      <w:fldChar w:fldCharType="begin"/>
    </w:r>
    <w:r>
      <w:instrText xml:space="preserve"> TITLE   \* MERGEFORMAT </w:instrText>
    </w:r>
    <w:r>
      <w:fldChar w:fldCharType="separate"/>
    </w:r>
    <w:r>
      <w:t>UEE32220 Certificate III in Air Conditioning and Refrigeration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445C38" w:rsidP="00147D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D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7D0C"/>
    <w:pPr>
      <w:spacing w:before="360" w:after="60"/>
      <w:outlineLvl w:val="0"/>
    </w:pPr>
    <w:rPr>
      <w:sz w:val="32"/>
    </w:rPr>
  </w:style>
  <w:style w:type="paragraph" w:styleId="Heading2">
    <w:name w:val="heading 2"/>
    <w:basedOn w:val="HeadingBase"/>
    <w:next w:val="BodyText"/>
    <w:link w:val="Heading2Char"/>
    <w:qFormat/>
    <w:rsid w:val="00147D0C"/>
    <w:pPr>
      <w:keepLines/>
      <w:spacing w:before="240" w:after="120"/>
      <w:outlineLvl w:val="1"/>
    </w:pPr>
    <w:rPr>
      <w:sz w:val="28"/>
      <w:szCs w:val="40"/>
    </w:rPr>
  </w:style>
  <w:style w:type="paragraph" w:styleId="Heading3">
    <w:name w:val="heading 3"/>
    <w:basedOn w:val="HeadingBase"/>
    <w:next w:val="BodyText"/>
    <w:link w:val="Heading3Char"/>
    <w:qFormat/>
    <w:rsid w:val="00147D0C"/>
    <w:pPr>
      <w:spacing w:before="180" w:after="120"/>
      <w:outlineLvl w:val="2"/>
    </w:pPr>
    <w:rPr>
      <w:spacing w:val="-10"/>
      <w:kern w:val="32"/>
    </w:rPr>
  </w:style>
  <w:style w:type="paragraph" w:styleId="Heading4">
    <w:name w:val="heading 4"/>
    <w:basedOn w:val="HeadingBase"/>
    <w:next w:val="BodyText"/>
    <w:link w:val="Heading4Char"/>
    <w:qFormat/>
    <w:rsid w:val="00147D0C"/>
    <w:pPr>
      <w:spacing w:before="160" w:after="120"/>
      <w:outlineLvl w:val="3"/>
    </w:pPr>
    <w:rPr>
      <w:sz w:val="22"/>
    </w:rPr>
  </w:style>
  <w:style w:type="paragraph" w:styleId="Heading5">
    <w:name w:val="heading 5"/>
    <w:basedOn w:val="HeadingBase"/>
    <w:next w:val="Normal"/>
    <w:link w:val="Heading5Char"/>
    <w:qFormat/>
    <w:rsid w:val="00147D0C"/>
    <w:pPr>
      <w:spacing w:before="80"/>
      <w:outlineLvl w:val="4"/>
    </w:pPr>
    <w:rPr>
      <w:color w:val="918585"/>
      <w:sz w:val="20"/>
    </w:rPr>
  </w:style>
  <w:style w:type="paragraph" w:styleId="Heading6">
    <w:name w:val="heading 6"/>
    <w:basedOn w:val="HeadingBase"/>
    <w:next w:val="Normal"/>
    <w:link w:val="Heading6Char"/>
    <w:qFormat/>
    <w:rsid w:val="00147D0C"/>
    <w:pPr>
      <w:spacing w:before="60"/>
      <w:outlineLvl w:val="5"/>
    </w:pPr>
    <w:rPr>
      <w:color w:val="918585"/>
      <w:sz w:val="20"/>
    </w:rPr>
  </w:style>
  <w:style w:type="paragraph" w:styleId="Heading7">
    <w:name w:val="heading 7"/>
    <w:basedOn w:val="Normal"/>
    <w:next w:val="Normal"/>
    <w:link w:val="Heading7Char"/>
    <w:qFormat/>
    <w:rsid w:val="00147D0C"/>
    <w:pPr>
      <w:ind w:left="720"/>
      <w:outlineLvl w:val="6"/>
    </w:pPr>
    <w:rPr>
      <w:i/>
    </w:rPr>
  </w:style>
  <w:style w:type="paragraph" w:styleId="Heading8">
    <w:name w:val="heading 8"/>
    <w:basedOn w:val="Normal"/>
    <w:next w:val="Normal"/>
    <w:link w:val="Heading8Char"/>
    <w:qFormat/>
    <w:rsid w:val="00147D0C"/>
    <w:pPr>
      <w:ind w:left="720"/>
      <w:outlineLvl w:val="7"/>
    </w:pPr>
    <w:rPr>
      <w:i/>
    </w:rPr>
  </w:style>
  <w:style w:type="paragraph" w:styleId="Heading9">
    <w:name w:val="heading 9"/>
    <w:basedOn w:val="Normal"/>
    <w:next w:val="Normal"/>
    <w:link w:val="Heading9Char"/>
    <w:qFormat/>
    <w:rsid w:val="00147D0C"/>
    <w:pPr>
      <w:ind w:left="720"/>
      <w:outlineLvl w:val="8"/>
    </w:pPr>
    <w:rPr>
      <w:i/>
    </w:rPr>
  </w:style>
  <w:style w:type="character" w:default="1" w:styleId="DefaultParagraphFont">
    <w:name w:val="Default Paragraph Font"/>
    <w:uiPriority w:val="1"/>
    <w:unhideWhenUsed/>
    <w:rsid w:val="00147D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D0C"/>
  </w:style>
  <w:style w:type="character" w:customStyle="1" w:styleId="Heading1Char">
    <w:name w:val="Heading 1 Char"/>
    <w:basedOn w:val="DefaultParagraphFont"/>
    <w:link w:val="Heading1"/>
    <w:rsid w:val="00147D0C"/>
    <w:rPr>
      <w:rFonts w:ascii="Times New Roman" w:eastAsia="Times New Roman" w:hAnsi="Times New Roman" w:cs="Times New Roman"/>
      <w:b/>
      <w:sz w:val="32"/>
      <w:szCs w:val="20"/>
      <w:lang w:eastAsia="en-US"/>
    </w:rPr>
  </w:style>
  <w:style w:type="paragraph" w:styleId="BodyText">
    <w:name w:val="Body Text"/>
    <w:basedOn w:val="Normal"/>
    <w:link w:val="BodyTextChar"/>
    <w:rsid w:val="00147D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7D0C"/>
    <w:rPr>
      <w:rFonts w:ascii="Times New Roman" w:eastAsia="Times New Roman" w:hAnsi="Times New Roman" w:cs="Times New Roman"/>
      <w:sz w:val="24"/>
      <w:lang w:eastAsia="en-US"/>
    </w:rPr>
  </w:style>
  <w:style w:type="character" w:customStyle="1" w:styleId="SpecialBold">
    <w:name w:val="Special Bold"/>
    <w:basedOn w:val="DefaultParagraphFont"/>
    <w:rsid w:val="00147D0C"/>
    <w:rPr>
      <w:b/>
      <w:spacing w:val="0"/>
    </w:rPr>
  </w:style>
  <w:style w:type="paragraph" w:customStyle="1" w:styleId="SuperHeading">
    <w:name w:val="SuperHeading"/>
    <w:basedOn w:val="Normal"/>
    <w:rsid w:val="00147D0C"/>
    <w:pPr>
      <w:spacing w:before="240" w:after="120"/>
      <w:outlineLvl w:val="0"/>
    </w:pPr>
    <w:rPr>
      <w:rFonts w:ascii="Times New Roman" w:hAnsi="Times New Roman"/>
      <w:b/>
      <w:sz w:val="32"/>
    </w:rPr>
  </w:style>
  <w:style w:type="paragraph" w:customStyle="1" w:styleId="AllowPageBreak">
    <w:name w:val="AllowPageBreak"/>
    <w:rsid w:val="00147D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7D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D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7D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7D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D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D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7D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7D0C"/>
    <w:rPr>
      <w:rFonts w:ascii="Courier New" w:eastAsia="Times New Roman" w:hAnsi="Courier New" w:cs="Times New Roman"/>
      <w:i/>
      <w:szCs w:val="20"/>
      <w:lang w:eastAsia="en-US"/>
    </w:rPr>
  </w:style>
  <w:style w:type="paragraph" w:customStyle="1" w:styleId="HeadingBase">
    <w:name w:val="Heading Base"/>
    <w:rsid w:val="00147D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D0C"/>
    <w:pPr>
      <w:tabs>
        <w:tab w:val="right" w:leader="dot" w:pos="9072"/>
      </w:tabs>
      <w:ind w:left="567"/>
    </w:pPr>
    <w:rPr>
      <w:szCs w:val="22"/>
    </w:rPr>
  </w:style>
  <w:style w:type="paragraph" w:customStyle="1" w:styleId="TOCBase">
    <w:name w:val="TOC Base"/>
    <w:rsid w:val="00147D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D0C"/>
    <w:pPr>
      <w:tabs>
        <w:tab w:val="right" w:leader="dot" w:pos="9072"/>
      </w:tabs>
      <w:spacing w:before="40" w:after="40"/>
      <w:ind w:left="284"/>
    </w:pPr>
    <w:rPr>
      <w:rFonts w:ascii="Times New Roman" w:hAnsi="Times New Roman"/>
    </w:rPr>
  </w:style>
  <w:style w:type="paragraph" w:styleId="TOC1">
    <w:name w:val="toc 1"/>
    <w:basedOn w:val="TOCBase"/>
    <w:next w:val="Normal"/>
    <w:rsid w:val="00147D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7D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D0C"/>
    <w:rPr>
      <w:rFonts w:ascii="Times New Roman" w:eastAsia="Times New Roman" w:hAnsi="Times New Roman" w:cs="Times New Roman"/>
      <w:sz w:val="16"/>
      <w:lang w:eastAsia="en-US"/>
    </w:rPr>
  </w:style>
  <w:style w:type="paragraph" w:styleId="Title">
    <w:name w:val="Title"/>
    <w:basedOn w:val="HeadingBase"/>
    <w:link w:val="TitleChar"/>
    <w:qFormat/>
    <w:rsid w:val="00147D0C"/>
    <w:pPr>
      <w:spacing w:before="5040"/>
      <w:jc w:val="center"/>
    </w:pPr>
    <w:rPr>
      <w:sz w:val="48"/>
      <w:szCs w:val="72"/>
      <w:lang w:val="en-US"/>
    </w:rPr>
  </w:style>
  <w:style w:type="character" w:customStyle="1" w:styleId="TitleChar">
    <w:name w:val="Title Char"/>
    <w:basedOn w:val="DefaultParagraphFont"/>
    <w:link w:val="Title"/>
    <w:rsid w:val="00147D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D0C"/>
    <w:pPr>
      <w:tabs>
        <w:tab w:val="left" w:pos="3600"/>
        <w:tab w:val="left" w:pos="3958"/>
      </w:tabs>
    </w:pPr>
  </w:style>
  <w:style w:type="paragraph" w:styleId="List">
    <w:name w:val="List"/>
    <w:basedOn w:val="BodyText"/>
    <w:next w:val="BodyText"/>
    <w:rsid w:val="00147D0C"/>
    <w:pPr>
      <w:tabs>
        <w:tab w:val="left" w:pos="340"/>
      </w:tabs>
      <w:spacing w:before="60" w:after="60"/>
      <w:ind w:left="340" w:hanging="340"/>
    </w:pPr>
  </w:style>
  <w:style w:type="paragraph" w:styleId="ListBullet">
    <w:name w:val="List Bullet"/>
    <w:basedOn w:val="List"/>
    <w:rsid w:val="00147D0C"/>
    <w:pPr>
      <w:numPr>
        <w:numId w:val="10"/>
      </w:numPr>
      <w:tabs>
        <w:tab w:val="clear" w:pos="340"/>
      </w:tabs>
      <w:spacing w:before="40" w:after="40"/>
    </w:pPr>
  </w:style>
  <w:style w:type="paragraph" w:customStyle="1" w:styleId="Note">
    <w:name w:val="Note"/>
    <w:basedOn w:val="BodyText"/>
    <w:rsid w:val="00147D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7D0C"/>
    <w:pPr>
      <w:framePr w:wrap="auto" w:hAnchor="text" w:y="6049"/>
    </w:pPr>
    <w:rPr>
      <w:color w:val="000000"/>
      <w:sz w:val="40"/>
    </w:rPr>
  </w:style>
  <w:style w:type="paragraph" w:customStyle="1" w:styleId="TOCTitle">
    <w:name w:val="TOCTitle"/>
    <w:basedOn w:val="Heading1"/>
    <w:rsid w:val="00147D0C"/>
    <w:pPr>
      <w:spacing w:after="240"/>
      <w:jc w:val="center"/>
      <w:outlineLvl w:val="9"/>
    </w:pPr>
    <w:rPr>
      <w:caps/>
    </w:rPr>
  </w:style>
  <w:style w:type="paragraph" w:customStyle="1" w:styleId="Version">
    <w:name w:val="Version"/>
    <w:rsid w:val="00147D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7D0C"/>
    <w:pPr>
      <w:numPr>
        <w:numId w:val="11"/>
      </w:numPr>
      <w:tabs>
        <w:tab w:val="clear" w:pos="680"/>
      </w:tabs>
    </w:pPr>
  </w:style>
  <w:style w:type="paragraph" w:styleId="Index1">
    <w:name w:val="index 1"/>
    <w:basedOn w:val="Normal"/>
    <w:next w:val="Normal"/>
    <w:semiHidden/>
    <w:rsid w:val="00147D0C"/>
    <w:pPr>
      <w:keepNext w:val="0"/>
      <w:tabs>
        <w:tab w:val="right" w:pos="4176"/>
      </w:tabs>
      <w:ind w:left="198" w:hanging="198"/>
    </w:pPr>
    <w:rPr>
      <w:rFonts w:ascii="Garamond" w:hAnsi="Garamond"/>
    </w:rPr>
  </w:style>
  <w:style w:type="paragraph" w:styleId="IndexHeading">
    <w:name w:val="index heading"/>
    <w:basedOn w:val="Normal"/>
    <w:next w:val="Index1"/>
    <w:semiHidden/>
    <w:rsid w:val="00147D0C"/>
    <w:pPr>
      <w:spacing w:before="120" w:after="120"/>
    </w:pPr>
    <w:rPr>
      <w:rFonts w:ascii="Arial" w:hAnsi="Arial"/>
      <w:b/>
      <w:color w:val="918585"/>
      <w:sz w:val="24"/>
    </w:rPr>
  </w:style>
  <w:style w:type="paragraph" w:styleId="Header">
    <w:name w:val="header"/>
    <w:basedOn w:val="Normal"/>
    <w:link w:val="HeaderChar"/>
    <w:rsid w:val="00147D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D0C"/>
    <w:rPr>
      <w:rFonts w:ascii="Times New Roman" w:eastAsia="Times New Roman" w:hAnsi="Times New Roman" w:cs="Times New Roman"/>
      <w:sz w:val="16"/>
      <w:szCs w:val="20"/>
      <w:lang w:val="en-GB" w:eastAsia="en-US"/>
    </w:rPr>
  </w:style>
  <w:style w:type="paragraph" w:customStyle="1" w:styleId="Chapter">
    <w:name w:val="Chapter"/>
    <w:basedOn w:val="Normal"/>
    <w:rsid w:val="00147D0C"/>
    <w:pPr>
      <w:spacing w:before="240"/>
    </w:pPr>
    <w:rPr>
      <w:rFonts w:ascii="Times New Roman" w:hAnsi="Times New Roman"/>
      <w:smallCaps/>
      <w:spacing w:val="80"/>
      <w:sz w:val="28"/>
    </w:rPr>
  </w:style>
  <w:style w:type="paragraph" w:customStyle="1" w:styleId="InChapter">
    <w:name w:val="InChapter"/>
    <w:basedOn w:val="Heading3"/>
    <w:rsid w:val="00147D0C"/>
    <w:pPr>
      <w:spacing w:after="240"/>
      <w:outlineLvl w:val="9"/>
    </w:pPr>
    <w:rPr>
      <w:noProof/>
    </w:rPr>
  </w:style>
  <w:style w:type="paragraph" w:styleId="Index2">
    <w:name w:val="index 2"/>
    <w:basedOn w:val="Normal"/>
    <w:next w:val="Normal"/>
    <w:semiHidden/>
    <w:rsid w:val="00147D0C"/>
    <w:pPr>
      <w:tabs>
        <w:tab w:val="right" w:pos="4176"/>
      </w:tabs>
      <w:ind w:left="568" w:hanging="284"/>
    </w:pPr>
    <w:rPr>
      <w:rFonts w:ascii="Garamond" w:hAnsi="Garamond"/>
    </w:rPr>
  </w:style>
  <w:style w:type="paragraph" w:customStyle="1" w:styleId="Byline">
    <w:name w:val="Byline"/>
    <w:rsid w:val="00147D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D0C"/>
    <w:pPr>
      <w:tabs>
        <w:tab w:val="clear" w:pos="3600"/>
        <w:tab w:val="clear" w:pos="3958"/>
      </w:tabs>
      <w:jc w:val="right"/>
    </w:pPr>
  </w:style>
  <w:style w:type="character" w:styleId="Emphasis">
    <w:name w:val="Emphasis"/>
    <w:basedOn w:val="DefaultParagraphFont"/>
    <w:qFormat/>
    <w:rsid w:val="00147D0C"/>
    <w:rPr>
      <w:i/>
    </w:rPr>
  </w:style>
  <w:style w:type="paragraph" w:styleId="Caption">
    <w:name w:val="caption"/>
    <w:basedOn w:val="BodyText"/>
    <w:next w:val="Normal"/>
    <w:qFormat/>
    <w:rsid w:val="00147D0C"/>
    <w:pPr>
      <w:framePr w:w="2268" w:hSpace="181" w:vSpace="181" w:wrap="around" w:vAnchor="text" w:hAnchor="page" w:x="1135" w:y="285" w:anchorLock="1"/>
    </w:pPr>
    <w:rPr>
      <w:i/>
    </w:rPr>
  </w:style>
  <w:style w:type="paragraph" w:customStyle="1" w:styleId="MiniTOCTitle">
    <w:name w:val="MiniTOCTitle"/>
    <w:basedOn w:val="Heading4"/>
    <w:rsid w:val="00147D0C"/>
    <w:pPr>
      <w:spacing w:before="240"/>
      <w:outlineLvl w:val="9"/>
    </w:pPr>
    <w:rPr>
      <w:noProof/>
      <w:sz w:val="24"/>
    </w:rPr>
  </w:style>
  <w:style w:type="paragraph" w:customStyle="1" w:styleId="MiniTOCItem">
    <w:name w:val="MiniTOCItem"/>
    <w:basedOn w:val="ListBullet"/>
    <w:rsid w:val="00147D0C"/>
    <w:pPr>
      <w:numPr>
        <w:numId w:val="0"/>
      </w:numPr>
      <w:tabs>
        <w:tab w:val="right" w:leader="dot" w:pos="6521"/>
      </w:tabs>
      <w:spacing w:before="0" w:after="0"/>
    </w:pPr>
  </w:style>
  <w:style w:type="paragraph" w:customStyle="1" w:styleId="TOFTitle">
    <w:name w:val="TOFTitle"/>
    <w:basedOn w:val="TOCTitle"/>
    <w:rsid w:val="00147D0C"/>
  </w:style>
  <w:style w:type="paragraph" w:styleId="TableofFigures">
    <w:name w:val="table of figures"/>
    <w:basedOn w:val="Normal"/>
    <w:next w:val="Normal"/>
    <w:semiHidden/>
    <w:rsid w:val="00147D0C"/>
    <w:pPr>
      <w:tabs>
        <w:tab w:val="right" w:leader="dot" w:pos="9072"/>
      </w:tabs>
      <w:ind w:left="970" w:hanging="403"/>
    </w:pPr>
    <w:rPr>
      <w:rFonts w:ascii="Times New Roman" w:hAnsi="Times New Roman"/>
      <w:b/>
    </w:rPr>
  </w:style>
  <w:style w:type="paragraph" w:styleId="ListNumber">
    <w:name w:val="List Number"/>
    <w:basedOn w:val="List"/>
    <w:rsid w:val="00147D0C"/>
    <w:pPr>
      <w:numPr>
        <w:numId w:val="13"/>
      </w:numPr>
      <w:tabs>
        <w:tab w:val="clear" w:pos="340"/>
      </w:tabs>
    </w:pPr>
  </w:style>
  <w:style w:type="character" w:customStyle="1" w:styleId="WingdingSymbols">
    <w:name w:val="Wingding Symbols"/>
    <w:rsid w:val="00147D0C"/>
    <w:rPr>
      <w:rFonts w:ascii="Wingdings" w:hAnsi="Wingdings"/>
    </w:rPr>
  </w:style>
  <w:style w:type="paragraph" w:customStyle="1" w:styleId="TableHeading">
    <w:name w:val="Table Heading"/>
    <w:basedOn w:val="HeadingBase"/>
    <w:rsid w:val="00147D0C"/>
    <w:pPr>
      <w:keepLines/>
      <w:pBdr>
        <w:bottom w:val="single" w:sz="6" w:space="1" w:color="918585"/>
      </w:pBdr>
      <w:spacing w:before="240"/>
    </w:pPr>
  </w:style>
  <w:style w:type="character" w:customStyle="1" w:styleId="HotSpot">
    <w:name w:val="HotSpot"/>
    <w:rsid w:val="00147D0C"/>
    <w:rPr>
      <w:color w:val="0033CC"/>
      <w:u w:val="none"/>
    </w:rPr>
  </w:style>
  <w:style w:type="paragraph" w:customStyle="1" w:styleId="BodyTextRight">
    <w:name w:val="Body Text Right"/>
    <w:basedOn w:val="BodyText"/>
    <w:rsid w:val="00147D0C"/>
    <w:pPr>
      <w:spacing w:before="0" w:after="0"/>
      <w:jc w:val="right"/>
    </w:pPr>
  </w:style>
  <w:style w:type="paragraph" w:styleId="Index3">
    <w:name w:val="index 3"/>
    <w:basedOn w:val="ListNumber2"/>
    <w:next w:val="Normal"/>
    <w:semiHidden/>
    <w:rsid w:val="00147D0C"/>
    <w:pPr>
      <w:numPr>
        <w:numId w:val="0"/>
      </w:numPr>
      <w:tabs>
        <w:tab w:val="right" w:leader="dot" w:pos="4176"/>
      </w:tabs>
    </w:pPr>
  </w:style>
  <w:style w:type="paragraph" w:styleId="ListNumber2">
    <w:name w:val="List Number 2"/>
    <w:basedOn w:val="List2"/>
    <w:rsid w:val="00147D0C"/>
    <w:pPr>
      <w:numPr>
        <w:numId w:val="8"/>
      </w:numPr>
      <w:tabs>
        <w:tab w:val="clear" w:pos="1060"/>
      </w:tabs>
    </w:pPr>
  </w:style>
  <w:style w:type="paragraph" w:customStyle="1" w:styleId="MarginNote">
    <w:name w:val="Margin Note"/>
    <w:basedOn w:val="BodyText"/>
    <w:rsid w:val="00147D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D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D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7D0C"/>
    <w:rPr>
      <w:sz w:val="32"/>
    </w:rPr>
  </w:style>
  <w:style w:type="paragraph" w:customStyle="1" w:styleId="HeadingProcedure">
    <w:name w:val="Heading Procedure"/>
    <w:basedOn w:val="HeadingBase"/>
    <w:next w:val="Normal"/>
    <w:rsid w:val="00147D0C"/>
    <w:pPr>
      <w:tabs>
        <w:tab w:val="left" w:pos="0"/>
      </w:tabs>
      <w:spacing w:before="120" w:after="60"/>
    </w:pPr>
    <w:rPr>
      <w:i/>
      <w:color w:val="918585"/>
      <w:sz w:val="22"/>
    </w:rPr>
  </w:style>
  <w:style w:type="paragraph" w:customStyle="1" w:styleId="TableBodyText">
    <w:name w:val="Table Body Text"/>
    <w:basedOn w:val="BodyText"/>
    <w:rsid w:val="00147D0C"/>
    <w:pPr>
      <w:spacing w:before="60" w:after="60"/>
    </w:pPr>
  </w:style>
  <w:style w:type="paragraph" w:styleId="ListContinue">
    <w:name w:val="List Continue"/>
    <w:basedOn w:val="List"/>
    <w:rsid w:val="00147D0C"/>
    <w:pPr>
      <w:ind w:firstLine="0"/>
    </w:pPr>
  </w:style>
  <w:style w:type="paragraph" w:customStyle="1" w:styleId="ListNote">
    <w:name w:val="List Note"/>
    <w:basedOn w:val="List"/>
    <w:rsid w:val="00147D0C"/>
    <w:pPr>
      <w:pBdr>
        <w:top w:val="single" w:sz="6" w:space="2" w:color="918585"/>
        <w:bottom w:val="single" w:sz="6" w:space="2" w:color="918585"/>
      </w:pBdr>
      <w:tabs>
        <w:tab w:val="left" w:pos="1021"/>
      </w:tabs>
      <w:ind w:firstLine="0"/>
    </w:pPr>
  </w:style>
  <w:style w:type="paragraph" w:customStyle="1" w:styleId="Warning">
    <w:name w:val="Warning"/>
    <w:basedOn w:val="BodyText"/>
    <w:rsid w:val="00147D0C"/>
    <w:pPr>
      <w:shd w:val="clear" w:color="auto" w:fill="D9D9D9"/>
      <w:tabs>
        <w:tab w:val="left" w:pos="992"/>
      </w:tabs>
      <w:ind w:left="119" w:right="119"/>
    </w:pPr>
    <w:rPr>
      <w:sz w:val="20"/>
    </w:rPr>
  </w:style>
  <w:style w:type="paragraph" w:customStyle="1" w:styleId="MarginIcons">
    <w:name w:val="Margin Icons"/>
    <w:basedOn w:val="BodyText"/>
    <w:rsid w:val="00147D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D0C"/>
    <w:rPr>
      <w:rFonts w:ascii="Courier New" w:hAnsi="Courier New"/>
    </w:rPr>
  </w:style>
  <w:style w:type="paragraph" w:customStyle="1" w:styleId="NoteBullet">
    <w:name w:val="Note Bullet"/>
    <w:basedOn w:val="Note"/>
    <w:rsid w:val="00147D0C"/>
    <w:pPr>
      <w:tabs>
        <w:tab w:val="clear" w:pos="680"/>
      </w:tabs>
      <w:spacing w:before="60" w:after="60"/>
    </w:pPr>
  </w:style>
  <w:style w:type="paragraph" w:customStyle="1" w:styleId="SubHeading2">
    <w:name w:val="SubHeading2"/>
    <w:basedOn w:val="HeadingBase"/>
    <w:rsid w:val="00147D0C"/>
    <w:pPr>
      <w:spacing w:before="240" w:after="60"/>
    </w:pPr>
    <w:rPr>
      <w:sz w:val="20"/>
    </w:rPr>
  </w:style>
  <w:style w:type="paragraph" w:customStyle="1" w:styleId="SubHeading1">
    <w:name w:val="SubHeading1"/>
    <w:basedOn w:val="HeadingBase"/>
    <w:rsid w:val="00147D0C"/>
    <w:pPr>
      <w:spacing w:before="240" w:after="60"/>
    </w:pPr>
    <w:rPr>
      <w:color w:val="918585"/>
      <w:sz w:val="22"/>
    </w:rPr>
  </w:style>
  <w:style w:type="paragraph" w:customStyle="1" w:styleId="SideHeading">
    <w:name w:val="Side Heading"/>
    <w:basedOn w:val="HeadingBase"/>
    <w:rsid w:val="00147D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D0C"/>
    <w:pPr>
      <w:numPr>
        <w:numId w:val="9"/>
      </w:numPr>
    </w:pPr>
  </w:style>
  <w:style w:type="paragraph" w:styleId="PlainText">
    <w:name w:val="Plain Text"/>
    <w:basedOn w:val="Normal"/>
    <w:link w:val="PlainTextChar"/>
    <w:rsid w:val="00147D0C"/>
    <w:rPr>
      <w:sz w:val="20"/>
    </w:rPr>
  </w:style>
  <w:style w:type="character" w:customStyle="1" w:styleId="PlainTextChar">
    <w:name w:val="Plain Text Char"/>
    <w:basedOn w:val="DefaultParagraphFont"/>
    <w:link w:val="PlainText"/>
    <w:rsid w:val="00147D0C"/>
    <w:rPr>
      <w:rFonts w:ascii="Courier New" w:eastAsia="Times New Roman" w:hAnsi="Courier New" w:cs="Times New Roman"/>
      <w:sz w:val="20"/>
      <w:szCs w:val="20"/>
      <w:lang w:eastAsia="en-US"/>
    </w:rPr>
  </w:style>
  <w:style w:type="character" w:customStyle="1" w:styleId="MenuOption">
    <w:name w:val="Menu Option"/>
    <w:basedOn w:val="DefaultParagraphFont"/>
    <w:rsid w:val="00147D0C"/>
    <w:rPr>
      <w:b/>
      <w:smallCaps/>
    </w:rPr>
  </w:style>
  <w:style w:type="paragraph" w:customStyle="1" w:styleId="TableListNumber">
    <w:name w:val="Table List Number"/>
    <w:basedOn w:val="ListNumber"/>
    <w:rsid w:val="00147D0C"/>
    <w:pPr>
      <w:numPr>
        <w:numId w:val="0"/>
      </w:numPr>
    </w:pPr>
  </w:style>
  <w:style w:type="paragraph" w:styleId="TOC4">
    <w:name w:val="toc 4"/>
    <w:basedOn w:val="TOCBase"/>
    <w:next w:val="Normal"/>
    <w:semiHidden/>
    <w:rsid w:val="00147D0C"/>
    <w:pPr>
      <w:tabs>
        <w:tab w:val="right" w:leader="dot" w:pos="9071"/>
      </w:tabs>
      <w:ind w:left="1701"/>
    </w:pPr>
  </w:style>
  <w:style w:type="paragraph" w:customStyle="1" w:styleId="ListAlpha">
    <w:name w:val="List Alpha"/>
    <w:basedOn w:val="List"/>
    <w:rsid w:val="00147D0C"/>
    <w:pPr>
      <w:numPr>
        <w:numId w:val="7"/>
      </w:numPr>
    </w:pPr>
  </w:style>
  <w:style w:type="paragraph" w:customStyle="1" w:styleId="ListAlpha2">
    <w:name w:val="List Alpha 2"/>
    <w:basedOn w:val="List2"/>
    <w:rsid w:val="00147D0C"/>
    <w:pPr>
      <w:numPr>
        <w:numId w:val="6"/>
      </w:numPr>
    </w:pPr>
  </w:style>
  <w:style w:type="paragraph" w:styleId="List2">
    <w:name w:val="List 2"/>
    <w:basedOn w:val="BodyText"/>
    <w:rsid w:val="00147D0C"/>
    <w:pPr>
      <w:tabs>
        <w:tab w:val="left" w:pos="680"/>
      </w:tabs>
      <w:spacing w:before="60" w:after="60"/>
      <w:ind w:left="680" w:hanging="340"/>
    </w:pPr>
  </w:style>
  <w:style w:type="paragraph" w:styleId="List3">
    <w:name w:val="List 3"/>
    <w:basedOn w:val="BodyText"/>
    <w:rsid w:val="00147D0C"/>
    <w:pPr>
      <w:tabs>
        <w:tab w:val="left" w:pos="1021"/>
      </w:tabs>
      <w:spacing w:before="60" w:after="60"/>
      <w:ind w:left="1020" w:hanging="340"/>
    </w:pPr>
  </w:style>
  <w:style w:type="paragraph" w:styleId="List4">
    <w:name w:val="List 4"/>
    <w:basedOn w:val="BodyText"/>
    <w:rsid w:val="00147D0C"/>
    <w:pPr>
      <w:tabs>
        <w:tab w:val="left" w:pos="1361"/>
      </w:tabs>
      <w:spacing w:before="60" w:after="60"/>
      <w:ind w:left="1361" w:hanging="340"/>
    </w:pPr>
  </w:style>
  <w:style w:type="paragraph" w:styleId="List5">
    <w:name w:val="List 5"/>
    <w:basedOn w:val="BodyText"/>
    <w:rsid w:val="00147D0C"/>
    <w:pPr>
      <w:tabs>
        <w:tab w:val="left" w:pos="1701"/>
      </w:tabs>
      <w:spacing w:before="60" w:after="60"/>
      <w:ind w:left="1701" w:hanging="340"/>
    </w:pPr>
  </w:style>
  <w:style w:type="paragraph" w:styleId="ListBullet3">
    <w:name w:val="List Bullet 3"/>
    <w:basedOn w:val="List3"/>
    <w:rsid w:val="00147D0C"/>
    <w:pPr>
      <w:numPr>
        <w:numId w:val="12"/>
      </w:numPr>
      <w:tabs>
        <w:tab w:val="clear" w:pos="1021"/>
      </w:tabs>
      <w:ind w:left="1037" w:hanging="357"/>
    </w:pPr>
  </w:style>
  <w:style w:type="paragraph" w:styleId="ListBullet4">
    <w:name w:val="List Bullet 4"/>
    <w:basedOn w:val="List4"/>
    <w:rsid w:val="00147D0C"/>
    <w:pPr>
      <w:numPr>
        <w:numId w:val="1"/>
      </w:numPr>
      <w:tabs>
        <w:tab w:val="clear" w:pos="1361"/>
      </w:tabs>
    </w:pPr>
  </w:style>
  <w:style w:type="paragraph" w:styleId="ListBullet5">
    <w:name w:val="List Bullet 5"/>
    <w:basedOn w:val="List5"/>
    <w:rsid w:val="00147D0C"/>
    <w:pPr>
      <w:numPr>
        <w:numId w:val="2"/>
      </w:numPr>
    </w:pPr>
  </w:style>
  <w:style w:type="paragraph" w:styleId="ListContinue2">
    <w:name w:val="List Continue 2"/>
    <w:basedOn w:val="List2"/>
    <w:rsid w:val="00147D0C"/>
    <w:pPr>
      <w:ind w:firstLine="0"/>
    </w:pPr>
  </w:style>
  <w:style w:type="paragraph" w:styleId="ListContinue3">
    <w:name w:val="List Continue 3"/>
    <w:basedOn w:val="List3"/>
    <w:rsid w:val="00147D0C"/>
    <w:pPr>
      <w:ind w:left="1021" w:firstLine="0"/>
    </w:pPr>
  </w:style>
  <w:style w:type="paragraph" w:styleId="ListContinue4">
    <w:name w:val="List Continue 4"/>
    <w:basedOn w:val="List4"/>
    <w:rsid w:val="00147D0C"/>
    <w:pPr>
      <w:ind w:firstLine="0"/>
    </w:pPr>
  </w:style>
  <w:style w:type="paragraph" w:styleId="ListContinue5">
    <w:name w:val="List Continue 5"/>
    <w:basedOn w:val="List5"/>
    <w:rsid w:val="00147D0C"/>
    <w:pPr>
      <w:ind w:firstLine="0"/>
    </w:pPr>
  </w:style>
  <w:style w:type="paragraph" w:styleId="ListNumber3">
    <w:name w:val="List Number 3"/>
    <w:basedOn w:val="List3"/>
    <w:rsid w:val="00147D0C"/>
    <w:pPr>
      <w:numPr>
        <w:numId w:val="3"/>
      </w:numPr>
    </w:pPr>
  </w:style>
  <w:style w:type="paragraph" w:styleId="ListNumber4">
    <w:name w:val="List Number 4"/>
    <w:basedOn w:val="List4"/>
    <w:rsid w:val="00147D0C"/>
    <w:pPr>
      <w:numPr>
        <w:numId w:val="4"/>
      </w:numPr>
    </w:pPr>
  </w:style>
  <w:style w:type="paragraph" w:styleId="ListNumber5">
    <w:name w:val="List Number 5"/>
    <w:basedOn w:val="List5"/>
    <w:rsid w:val="00147D0C"/>
    <w:pPr>
      <w:numPr>
        <w:numId w:val="5"/>
      </w:numPr>
    </w:pPr>
  </w:style>
  <w:style w:type="paragraph" w:styleId="BlockText">
    <w:name w:val="Block Text"/>
    <w:basedOn w:val="Normal"/>
    <w:rsid w:val="00147D0C"/>
    <w:pPr>
      <w:spacing w:after="120"/>
      <w:ind w:left="1440" w:right="1440"/>
    </w:pPr>
  </w:style>
  <w:style w:type="character" w:customStyle="1" w:styleId="Subscript">
    <w:name w:val="Subscript"/>
    <w:basedOn w:val="DefaultParagraphFont"/>
    <w:rsid w:val="00147D0C"/>
    <w:rPr>
      <w:sz w:val="16"/>
      <w:vertAlign w:val="subscript"/>
    </w:rPr>
  </w:style>
  <w:style w:type="character" w:customStyle="1" w:styleId="Superscript">
    <w:name w:val="Superscript"/>
    <w:basedOn w:val="DefaultParagraphFont"/>
    <w:rsid w:val="00147D0C"/>
    <w:rPr>
      <w:sz w:val="16"/>
      <w:vertAlign w:val="superscript"/>
    </w:rPr>
  </w:style>
  <w:style w:type="character" w:customStyle="1" w:styleId="Symbols">
    <w:name w:val="Symbols"/>
    <w:basedOn w:val="DefaultParagraphFont"/>
    <w:rsid w:val="00147D0C"/>
    <w:rPr>
      <w:rFonts w:ascii="Symbol" w:hAnsi="Symbol"/>
    </w:rPr>
  </w:style>
  <w:style w:type="character" w:customStyle="1" w:styleId="MenuOptions">
    <w:name w:val="Menu Options"/>
    <w:basedOn w:val="DefaultParagraphFont"/>
    <w:rsid w:val="00147D0C"/>
    <w:rPr>
      <w:rFonts w:ascii="Arial Narrow" w:hAnsi="Arial Narrow"/>
      <w:smallCaps/>
    </w:rPr>
  </w:style>
  <w:style w:type="character" w:customStyle="1" w:styleId="Buttons">
    <w:name w:val="Buttons"/>
    <w:basedOn w:val="DefaultParagraphFont"/>
    <w:rsid w:val="00147D0C"/>
    <w:rPr>
      <w:b/>
    </w:rPr>
  </w:style>
  <w:style w:type="character" w:customStyle="1" w:styleId="Underlined">
    <w:name w:val="Underlined"/>
    <w:basedOn w:val="DefaultParagraphFont"/>
    <w:rsid w:val="00147D0C"/>
    <w:rPr>
      <w:u w:val="single"/>
    </w:rPr>
  </w:style>
  <w:style w:type="paragraph" w:customStyle="1" w:styleId="TableBodyTextRight">
    <w:name w:val="Table Body Text Right"/>
    <w:basedOn w:val="TableBodyText"/>
    <w:rsid w:val="00147D0C"/>
    <w:pPr>
      <w:widowControl w:val="0"/>
      <w:autoSpaceDE w:val="0"/>
      <w:autoSpaceDN w:val="0"/>
      <w:adjustRightInd w:val="0"/>
      <w:jc w:val="right"/>
    </w:pPr>
    <w:rPr>
      <w:rFonts w:cs="Arial"/>
      <w:szCs w:val="18"/>
    </w:rPr>
  </w:style>
  <w:style w:type="paragraph" w:customStyle="1" w:styleId="CopyrightText">
    <w:name w:val="Copyright Text"/>
    <w:basedOn w:val="BodyText"/>
    <w:rsid w:val="00147D0C"/>
    <w:rPr>
      <w:sz w:val="18"/>
    </w:rPr>
  </w:style>
  <w:style w:type="paragraph" w:customStyle="1" w:styleId="BodySmallRight">
    <w:name w:val="Body Small Right"/>
    <w:basedOn w:val="BodyTextRight"/>
    <w:rsid w:val="00147D0C"/>
    <w:rPr>
      <w:sz w:val="18"/>
      <w:szCs w:val="18"/>
    </w:rPr>
  </w:style>
  <w:style w:type="paragraph" w:customStyle="1" w:styleId="MarginEdition">
    <w:name w:val="Margin Edition"/>
    <w:basedOn w:val="MarginNote"/>
    <w:rsid w:val="00147D0C"/>
    <w:pPr>
      <w:spacing w:before="0" w:after="0"/>
    </w:pPr>
    <w:rPr>
      <w:rFonts w:ascii="Times New Roman" w:hAnsi="Times New Roman"/>
      <w:color w:val="999999"/>
    </w:rPr>
  </w:style>
  <w:style w:type="paragraph" w:customStyle="1" w:styleId="Spacer">
    <w:name w:val="Spacer"/>
    <w:basedOn w:val="Normal"/>
    <w:rsid w:val="00147D0C"/>
    <w:rPr>
      <w:sz w:val="2"/>
      <w:szCs w:val="2"/>
    </w:rPr>
  </w:style>
  <w:style w:type="character" w:customStyle="1" w:styleId="Small">
    <w:name w:val="Small"/>
    <w:basedOn w:val="DefaultParagraphFont"/>
    <w:rsid w:val="00147D0C"/>
    <w:rPr>
      <w:sz w:val="16"/>
    </w:rPr>
  </w:style>
  <w:style w:type="paragraph" w:customStyle="1" w:styleId="WideTable">
    <w:name w:val="Wide Table"/>
    <w:basedOn w:val="Normal"/>
    <w:rsid w:val="00147D0C"/>
    <w:pPr>
      <w:ind w:left="-1418"/>
    </w:pPr>
    <w:rPr>
      <w:sz w:val="2"/>
      <w:szCs w:val="2"/>
    </w:rPr>
  </w:style>
  <w:style w:type="character" w:styleId="PageNumber">
    <w:name w:val="page number"/>
    <w:basedOn w:val="DefaultParagraphFont"/>
    <w:rsid w:val="00147D0C"/>
  </w:style>
  <w:style w:type="paragraph" w:styleId="Quote">
    <w:name w:val="Quote"/>
    <w:basedOn w:val="Heading1"/>
    <w:link w:val="QuoteChar"/>
    <w:qFormat/>
    <w:rsid w:val="00147D0C"/>
    <w:rPr>
      <w:b w:val="0"/>
      <w:sz w:val="72"/>
      <w:szCs w:val="72"/>
      <w:lang w:val="en-NZ"/>
    </w:rPr>
  </w:style>
  <w:style w:type="character" w:customStyle="1" w:styleId="QuoteChar">
    <w:name w:val="Quote Char"/>
    <w:basedOn w:val="DefaultParagraphFont"/>
    <w:link w:val="Quote"/>
    <w:rsid w:val="00147D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D0C"/>
    <w:pPr>
      <w:pageBreakBefore/>
    </w:pPr>
  </w:style>
  <w:style w:type="paragraph" w:customStyle="1" w:styleId="Border">
    <w:name w:val="Border"/>
    <w:basedOn w:val="Normal"/>
    <w:qFormat/>
    <w:rsid w:val="00147D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D0C"/>
    <w:rPr>
      <w:b/>
      <w:bCs/>
      <w:i/>
      <w:iCs/>
      <w:color w:val="auto"/>
    </w:rPr>
  </w:style>
  <w:style w:type="paragraph" w:styleId="IntenseQuote">
    <w:name w:val="Intense Quote"/>
    <w:basedOn w:val="Normal"/>
    <w:next w:val="Normal"/>
    <w:link w:val="IntenseQuoteChar"/>
    <w:uiPriority w:val="30"/>
    <w:qFormat/>
    <w:rsid w:val="00147D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D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7D0C"/>
    <w:rPr>
      <w:smallCaps/>
      <w:color w:val="auto"/>
      <w:u w:val="single"/>
    </w:rPr>
  </w:style>
  <w:style w:type="character" w:styleId="IntenseReference">
    <w:name w:val="Intense Reference"/>
    <w:basedOn w:val="DefaultParagraphFont"/>
    <w:uiPriority w:val="32"/>
    <w:qFormat/>
    <w:rsid w:val="00147D0C"/>
    <w:rPr>
      <w:b/>
      <w:bCs/>
      <w:smallCaps/>
      <w:color w:val="auto"/>
      <w:spacing w:val="5"/>
      <w:u w:val="single"/>
    </w:rPr>
  </w:style>
  <w:style w:type="paragraph" w:customStyle="1" w:styleId="2ColumnHeading">
    <w:name w:val="2Column Heading"/>
    <w:basedOn w:val="BodyText"/>
    <w:qFormat/>
    <w:rsid w:val="00147D0C"/>
    <w:pPr>
      <w:spacing w:after="60"/>
      <w:ind w:left="-2268"/>
    </w:pPr>
    <w:rPr>
      <w:b/>
    </w:rPr>
  </w:style>
  <w:style w:type="paragraph" w:customStyle="1" w:styleId="Heading1TOC">
    <w:name w:val="Heading1 TOC"/>
    <w:basedOn w:val="Normal"/>
    <w:qFormat/>
    <w:rsid w:val="00147D0C"/>
    <w:pPr>
      <w:spacing w:before="240" w:after="120"/>
    </w:pPr>
    <w:rPr>
      <w:rFonts w:ascii="Times New Roman" w:hAnsi="Times New Roman"/>
      <w:b/>
      <w:sz w:val="32"/>
    </w:rPr>
  </w:style>
  <w:style w:type="paragraph" w:customStyle="1" w:styleId="Heading2TOC">
    <w:name w:val="Heading2 TOC"/>
    <w:basedOn w:val="Normal"/>
    <w:qFormat/>
    <w:rsid w:val="00147D0C"/>
    <w:pPr>
      <w:spacing w:before="240" w:after="60"/>
    </w:pPr>
    <w:rPr>
      <w:rFonts w:ascii="Times New Roman" w:hAnsi="Times New Roman"/>
      <w:b/>
      <w:sz w:val="28"/>
    </w:rPr>
  </w:style>
  <w:style w:type="character" w:customStyle="1" w:styleId="Underline">
    <w:name w:val="Underline"/>
    <w:basedOn w:val="DefaultParagraphFont"/>
    <w:qFormat/>
    <w:rsid w:val="00147D0C"/>
    <w:rPr>
      <w:u w:val="single"/>
    </w:rPr>
  </w:style>
  <w:style w:type="character" w:customStyle="1" w:styleId="BoldandItalics">
    <w:name w:val="Bold and Italics"/>
    <w:qFormat/>
    <w:rsid w:val="00147D0C"/>
    <w:rPr>
      <w:b/>
      <w:i/>
      <w:u w:val="none"/>
    </w:rPr>
  </w:style>
  <w:style w:type="paragraph" w:styleId="BalloonText">
    <w:name w:val="Balloon Text"/>
    <w:basedOn w:val="Normal"/>
    <w:link w:val="BalloonTextChar"/>
    <w:rsid w:val="00147D0C"/>
    <w:rPr>
      <w:rFonts w:ascii="Tahoma" w:hAnsi="Tahoma" w:cs="Tahoma"/>
      <w:sz w:val="16"/>
      <w:szCs w:val="16"/>
    </w:rPr>
  </w:style>
  <w:style w:type="character" w:customStyle="1" w:styleId="BalloonTextChar">
    <w:name w:val="Balloon Text Char"/>
    <w:basedOn w:val="DefaultParagraphFont"/>
    <w:link w:val="BalloonText"/>
    <w:rsid w:val="00147D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7D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7D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7D0C"/>
    <w:rPr>
      <w:b/>
      <w:color w:val="660033"/>
      <w:spacing w:val="0"/>
    </w:rPr>
  </w:style>
  <w:style w:type="paragraph" w:customStyle="1" w:styleId="Nameditemlist">
    <w:name w:val="Named item list"/>
    <w:basedOn w:val="BodyText"/>
    <w:qFormat/>
    <w:rsid w:val="00147D0C"/>
    <w:pPr>
      <w:tabs>
        <w:tab w:val="left" w:pos="2835"/>
      </w:tabs>
      <w:ind w:left="2835" w:hanging="2835"/>
    </w:pPr>
  </w:style>
  <w:style w:type="paragraph" w:customStyle="1" w:styleId="BodyTextnopadding">
    <w:name w:val="Body Text no padding"/>
    <w:basedOn w:val="BodyText"/>
    <w:qFormat/>
    <w:rsid w:val="00147D0C"/>
    <w:pPr>
      <w:spacing w:before="0" w:after="0"/>
    </w:pPr>
  </w:style>
  <w:style w:type="paragraph" w:customStyle="1" w:styleId="BodyTextBold">
    <w:name w:val="Body Text Bold"/>
    <w:basedOn w:val="BodyText"/>
    <w:qFormat/>
    <w:rsid w:val="00147D0C"/>
    <w:rPr>
      <w:b/>
    </w:rPr>
  </w:style>
  <w:style w:type="character" w:styleId="Hyperlink">
    <w:name w:val="Hyperlink"/>
    <w:basedOn w:val="DefaultParagraphFont"/>
    <w:uiPriority w:val="99"/>
    <w:unhideWhenUsed/>
    <w:rsid w:val="00445C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1299</Words>
  <Characters>8355</Characters>
  <Application>Microsoft Office Word</Application>
  <DocSecurity>0</DocSecurity>
  <Lines>334</Lines>
  <Paragraphs>268</Paragraphs>
  <ScaleCrop>false</ScaleCrop>
  <Company>Author-it Software Corporation Ltd.</Company>
  <LinksUpToDate>false</LinksUpToDate>
  <CharactersWithSpaces>9386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UEE32220 Certificate III in Air Conditioning and Refrigeration</dc:title>
  <dc:subject>Approved</dc:subject>
  <dc:creator>Australian Industry Standards</dc:creator>
  <cp:keywords>Release 5</cp:keywords>
  <dc:description>Review Date: 12 April 2008</dc:description>
  <cp:lastModifiedBy>HSD_TPCMSd.prod</cp:lastModifiedBy>
  <cp:revision>3</cp:revision>
  <dcterms:created xsi:type="dcterms:W3CDTF">2022-12-20T13:23:54Z</dcterms:created>
  <dcterms:modified xsi:type="dcterms:W3CDTF">2022-11-17T05:16:00Z</dcterms:modified>
</cp:coreProperties>
</file>