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0AE" w:rsidP="007F20AE">
      <w:pPr>
        <w:pStyle w:val="Title"/>
      </w:pPr>
      <w:r>
        <w:fldChar w:fldCharType="begin"/>
      </w:r>
      <w:r>
        <w:instrText xml:space="preserve"> TITLE   \* MERGEFORMAT </w:instrText>
      </w:r>
      <w:r>
        <w:fldChar w:fldCharType="separate"/>
      </w:r>
      <w:r>
        <w:t>UEE32020 Certificate III in Renewable Energy - ELV</w:t>
      </w:r>
      <w:r>
        <w:fldChar w:fldCharType="end"/>
      </w:r>
    </w:p>
    <w:p w:rsidR="007F20AE" w:rsidP="007F20AE">
      <w:pPr>
        <w:pStyle w:val="Version"/>
        <w:sectPr w:rsidSect="00D711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11F1" w:rsidP="00D711F1">
      <w:pPr>
        <w:pStyle w:val="SuperHeading"/>
      </w:pPr>
      <w:r w:rsidRPr="00D711F1">
        <w:t>UEE32020 Certificate III in Renewable Energy - ELV</w:t>
      </w:r>
    </w:p>
    <w:p w:rsidR="00000000" w:rsidRPr="00D711F1" w:rsidP="00D711F1">
      <w:pPr>
        <w:pStyle w:val="Heading1"/>
      </w:pPr>
      <w:bookmarkStart w:id="1" w:name="O_1223543"/>
      <w:bookmarkEnd w:id="1"/>
      <w:r w:rsidRPr="00D711F1">
        <w:t>Modification History</w:t>
      </w:r>
    </w:p>
    <w:tbl>
      <w:tblPr>
        <w:tblW w:w="9497" w:type="dxa"/>
        <w:tblLayout w:type="fixed"/>
        <w:tblCellMar>
          <w:left w:w="62" w:type="dxa"/>
          <w:right w:w="62" w:type="dxa"/>
        </w:tblCellMar>
        <w:tblLook w:val="0000"/>
      </w:tblPr>
      <w:tblGrid>
        <w:gridCol w:w="9497"/>
      </w:tblGrid>
      <w:tr w:rsidTr="00D711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1F1" w:rsidP="00D711F1">
            <w:pPr>
              <w:pStyle w:val="BodyText"/>
            </w:pPr>
            <w:r w:rsidRPr="00D711F1">
              <w:t xml:space="preserve">Release 2. Updated superseded HLT, BSB and ICT elective units. </w:t>
            </w:r>
          </w:p>
          <w:p w:rsidR="00000000" w:rsidRPr="00D711F1" w:rsidP="00D711F1">
            <w:pPr>
              <w:pStyle w:val="BodyText"/>
            </w:pPr>
            <w:r w:rsidRPr="00D711F1">
              <w:t>Release 1. This is the first release of this qualification in the UEE Electrotechnology Training Package</w:t>
            </w:r>
          </w:p>
        </w:tc>
      </w:tr>
    </w:tbl>
    <w:p w:rsidR="00000000" w:rsidRPr="00D711F1" w:rsidP="00D711F1">
      <w:pPr>
        <w:pStyle w:val="NoPaddingFontSize1"/>
      </w:pPr>
    </w:p>
    <w:p w:rsidR="00000000" w:rsidRPr="00D711F1" w:rsidP="00D711F1">
      <w:pPr>
        <w:pStyle w:val="AllowPageBreak"/>
      </w:pPr>
    </w:p>
    <w:p w:rsidR="00000000" w:rsidRPr="00D711F1" w:rsidP="00D711F1">
      <w:pPr>
        <w:pStyle w:val="Heading1"/>
      </w:pPr>
      <w:bookmarkStart w:id="2" w:name="O_1223542"/>
      <w:bookmarkEnd w:id="2"/>
      <w:r w:rsidRPr="00D711F1">
        <w:t>Qualification Description</w:t>
      </w:r>
    </w:p>
    <w:tbl>
      <w:tblPr>
        <w:tblW w:w="9497" w:type="dxa"/>
        <w:tblLayout w:type="fixed"/>
        <w:tblCellMar>
          <w:left w:w="62" w:type="dxa"/>
          <w:right w:w="62" w:type="dxa"/>
        </w:tblCellMar>
        <w:tblLook w:val="0000"/>
      </w:tblPr>
      <w:tblGrid>
        <w:gridCol w:w="9497"/>
      </w:tblGrid>
      <w:tr w:rsidTr="00D711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1F1" w:rsidP="00D711F1">
            <w:pPr>
              <w:pStyle w:val="BodyText"/>
            </w:pPr>
            <w:r w:rsidRPr="00D711F1">
              <w:t>This quali</w:t>
            </w:r>
            <w:r w:rsidRPr="00D711F1">
              <w:t xml:space="preserve">fication covers competencies to select, install, set up, test, fault find, repair and maintain renewable energy (RE) equipment and systems.  </w:t>
            </w:r>
          </w:p>
          <w:p w:rsidR="00000000" w:rsidRPr="00D711F1" w:rsidP="00D711F1">
            <w:pPr>
              <w:pStyle w:val="BodyText"/>
            </w:pPr>
            <w:r w:rsidRPr="00D711F1">
              <w:t>It does not include electrical work covered by licensing requirements declared by the Electrical Regulators Adviso</w:t>
            </w:r>
            <w:r w:rsidRPr="00D711F1">
              <w:t>ry Council (ERAC) for an ‘Electrician’s licence’.</w:t>
            </w:r>
          </w:p>
          <w:p w:rsidR="00000000" w:rsidRPr="00D711F1" w:rsidP="00D711F1">
            <w:pPr>
              <w:pStyle w:val="BodyText"/>
            </w:pPr>
            <w:r w:rsidRPr="00D711F1">
              <w:t>No licensing, legislative or certification requirements apply to this qualification at the time of publication.</w:t>
            </w:r>
          </w:p>
        </w:tc>
      </w:tr>
    </w:tbl>
    <w:p w:rsidR="00000000" w:rsidRPr="00D711F1" w:rsidP="00D711F1">
      <w:pPr>
        <w:pStyle w:val="NoPaddingFontSize1"/>
      </w:pPr>
    </w:p>
    <w:p w:rsidR="00000000" w:rsidRPr="00D711F1" w:rsidP="00D711F1">
      <w:pPr>
        <w:pStyle w:val="AllowPageBreak"/>
      </w:pPr>
    </w:p>
    <w:p w:rsidR="00000000" w:rsidRPr="00D711F1" w:rsidP="00D711F1">
      <w:pPr>
        <w:pStyle w:val="Heading1"/>
      </w:pPr>
      <w:bookmarkStart w:id="3" w:name="O_1223541"/>
      <w:bookmarkEnd w:id="3"/>
      <w:r w:rsidRPr="00D711F1">
        <w:t>Entry Requirements</w:t>
      </w:r>
    </w:p>
    <w:tbl>
      <w:tblPr>
        <w:tblW w:w="9497" w:type="dxa"/>
        <w:tblLayout w:type="fixed"/>
        <w:tblCellMar>
          <w:left w:w="62" w:type="dxa"/>
          <w:right w:w="62" w:type="dxa"/>
        </w:tblCellMar>
        <w:tblLook w:val="0000"/>
      </w:tblPr>
      <w:tblGrid>
        <w:gridCol w:w="9497"/>
      </w:tblGrid>
      <w:tr w:rsidTr="00D711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1F1" w:rsidP="00D711F1">
            <w:pPr>
              <w:pStyle w:val="BodyText"/>
            </w:pPr>
            <w:r w:rsidRPr="00D711F1">
              <w:t>There are no entry requirements for this qualification</w:t>
            </w:r>
            <w:r w:rsidRPr="00D711F1">
              <w:t>.</w:t>
            </w:r>
          </w:p>
        </w:tc>
      </w:tr>
    </w:tbl>
    <w:p w:rsidR="00000000" w:rsidRPr="00D711F1" w:rsidP="00D711F1">
      <w:pPr>
        <w:pStyle w:val="NoPaddingFontSize1"/>
      </w:pPr>
    </w:p>
    <w:p w:rsidR="00000000" w:rsidRPr="00D711F1" w:rsidP="00D711F1">
      <w:pPr>
        <w:pStyle w:val="AllowPageBreak"/>
      </w:pPr>
    </w:p>
    <w:p w:rsidR="00000000" w:rsidRPr="00D711F1" w:rsidP="00D711F1">
      <w:pPr>
        <w:pStyle w:val="Heading1"/>
      </w:pPr>
      <w:bookmarkStart w:id="4" w:name="O_1223540"/>
      <w:bookmarkEnd w:id="4"/>
      <w:r w:rsidRPr="00D711F1">
        <w:t>Packaging Rules</w:t>
      </w:r>
    </w:p>
    <w:tbl>
      <w:tblPr>
        <w:tblW w:w="9497" w:type="dxa"/>
        <w:tblLayout w:type="fixed"/>
        <w:tblCellMar>
          <w:left w:w="62" w:type="dxa"/>
          <w:right w:w="62" w:type="dxa"/>
        </w:tblCellMar>
        <w:tblLook w:val="0000"/>
      </w:tblPr>
      <w:tblGrid>
        <w:gridCol w:w="3307"/>
        <w:gridCol w:w="4407"/>
        <w:gridCol w:w="1783"/>
      </w:tblGrid>
      <w:tr w:rsidTr="00D711F1">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D711F1" w:rsidP="00D711F1">
            <w:pPr>
              <w:pStyle w:val="BodyText"/>
            </w:pPr>
            <w:r w:rsidRPr="00D711F1">
              <w:t xml:space="preserve">A total of </w:t>
            </w:r>
            <w:r w:rsidRPr="00D711F1">
              <w:rPr>
                <w:rStyle w:val="SpecialBold"/>
              </w:rPr>
              <w:t>1060 weighting points</w:t>
            </w:r>
            <w:r w:rsidRPr="00D711F1">
              <w:t xml:space="preserve"> comprising:</w:t>
            </w:r>
          </w:p>
          <w:p w:rsidR="00000000" w:rsidRPr="00D711F1" w:rsidP="00D711F1">
            <w:pPr>
              <w:pStyle w:val="BodyText"/>
            </w:pPr>
            <w:r w:rsidRPr="00D711F1">
              <w:rPr>
                <w:rStyle w:val="SpecialBold"/>
              </w:rPr>
              <w:t xml:space="preserve">700 core weighting points </w:t>
            </w:r>
            <w:r w:rsidRPr="00D711F1">
              <w:t xml:space="preserve">listed below; </w:t>
            </w:r>
            <w:r w:rsidRPr="00D711F1">
              <w:rPr>
                <w:rStyle w:val="SpecialBold"/>
              </w:rPr>
              <w:t>plus</w:t>
            </w:r>
          </w:p>
          <w:p w:rsidR="00000000" w:rsidRPr="00D711F1" w:rsidP="00D711F1">
            <w:pPr>
              <w:pStyle w:val="BodyText"/>
            </w:pPr>
            <w:r w:rsidRPr="00D711F1">
              <w:rPr>
                <w:rStyle w:val="SpecialBold"/>
              </w:rPr>
              <w:t xml:space="preserve">360 general elective weighting points </w:t>
            </w:r>
            <w:r w:rsidRPr="00D711F1">
              <w:t xml:space="preserve">from the general elective units listed below. </w:t>
            </w:r>
          </w:p>
          <w:p w:rsidR="00000000" w:rsidRPr="00D711F1" w:rsidP="00D711F1">
            <w:pPr>
              <w:pStyle w:val="BodyText"/>
            </w:pPr>
            <w:r w:rsidRPr="00D711F1">
              <w:t xml:space="preserve">Choose a total of 360 </w:t>
            </w:r>
            <w:r w:rsidRPr="00D711F1">
              <w:rPr>
                <w:rStyle w:val="SpecialBold"/>
              </w:rPr>
              <w:t>weighting points</w:t>
            </w:r>
            <w:r w:rsidRPr="00D711F1">
              <w:t xml:space="preserve"> elective units from the list below, of which between 0 and 170 </w:t>
            </w:r>
            <w:r w:rsidRPr="00D711F1">
              <w:rPr>
                <w:rStyle w:val="SpecialBold"/>
              </w:rPr>
              <w:t>weighting points</w:t>
            </w:r>
            <w:r w:rsidRPr="00D711F1">
              <w:t xml:space="preserve"> can be taken from Group A; and between 190 and 360</w:t>
            </w:r>
            <w:r w:rsidRPr="00D711F1">
              <w:rPr>
                <w:rStyle w:val="SpecialBold"/>
              </w:rPr>
              <w:t xml:space="preserve"> weighting points </w:t>
            </w:r>
            <w:r w:rsidRPr="00D711F1">
              <w:t>can be taken from Group B; or all electives units of 360</w:t>
            </w:r>
            <w:r w:rsidRPr="00D711F1">
              <w:rPr>
                <w:rStyle w:val="SpecialBold"/>
              </w:rPr>
              <w:t xml:space="preserve"> weighting points</w:t>
            </w:r>
            <w:r w:rsidRPr="00D711F1">
              <w:t xml:space="preserve"> can be taken from Group B.</w:t>
            </w:r>
          </w:p>
          <w:p w:rsidR="00000000" w:rsidRPr="00D711F1" w:rsidP="00D711F1">
            <w:pPr>
              <w:pStyle w:val="BodyText"/>
            </w:pPr>
            <w:r w:rsidRPr="00D711F1">
              <w:rPr>
                <w:rStyle w:val="SpecialBold"/>
              </w:rPr>
              <w:t xml:space="preserve">Up to </w:t>
            </w:r>
            <w:r w:rsidRPr="00D711F1">
              <w:rPr>
                <w:rStyle w:val="SpecialBold"/>
              </w:rPr>
              <w:t>170 weighting points of the general elective units Group A</w:t>
            </w:r>
            <w:r w:rsidRPr="00D711F1">
              <w:t xml:space="preserve">, may be selected, with appropriate contextualisation, from any relevant nationally endorsed Training Package or accredited course, provided that selected units contribute to the vocational outcome </w:t>
            </w:r>
            <w:r w:rsidRPr="00D711F1">
              <w:t>of the qualification. Previously assigned weighting points are listed in the UEE Electrotechnology Training Package Companion Volume Implementation Guide (CVIG), if not listed weighting points will be 10 points unless, directed from the Electrotechnology I</w:t>
            </w:r>
            <w:r w:rsidRPr="00D711F1">
              <w:t xml:space="preserve">ndustry Reference Committee (IRC). </w:t>
            </w:r>
          </w:p>
          <w:p w:rsidR="00000000" w:rsidRPr="00D711F1" w:rsidP="00D711F1">
            <w:pPr>
              <w:pStyle w:val="BodyText"/>
            </w:pPr>
            <w:r w:rsidRPr="00D711F1">
              <w:t>There are units of competency within this qualification that contain pre-requisites. Units of competency that have a pre-requisite requirement are identified by this symbol *. Refer directly to the units of competency to</w:t>
            </w:r>
            <w:r w:rsidRPr="00D711F1">
              <w:t xml:space="preserve"> identify pre-requisite requirements to ensure all are complied with. </w:t>
            </w:r>
            <w:r w:rsidRPr="00D711F1">
              <w:t>A list of all pre-requisites is also provided in the UEE Pre-requisite Companion Volume.</w:t>
            </w:r>
          </w:p>
          <w:p w:rsidR="00000000" w:rsidP="00D711F1">
            <w:pPr>
              <w:pStyle w:val="BodyText"/>
              <w:rPr>
                <w:lang w:val="en-NZ"/>
              </w:rPr>
            </w:pPr>
            <w:r w:rsidRPr="00D711F1">
              <w:t>Where imported units are selected, care must be taken to ensure all pre-requisite units specified</w:t>
            </w:r>
            <w:r w:rsidRPr="00D711F1">
              <w:t xml:space="preserve"> are complied with. </w:t>
            </w:r>
          </w:p>
        </w:tc>
      </w:tr>
      <w:tr w:rsidTr="00D711F1">
        <w:tblPrEx>
          <w:tblW w:w="9497" w:type="dxa"/>
          <w:tblLayout w:type="fixed"/>
          <w:tblCellMar>
            <w:left w:w="62" w:type="dxa"/>
            <w:right w:w="62" w:type="dxa"/>
          </w:tblCellMar>
          <w:tblLook w:val="0000"/>
        </w:tblPrEx>
        <w:tc>
          <w:tcPr>
            <w:tcW w:w="7714" w:type="dxa"/>
            <w:gridSpan w:val="2"/>
            <w:tcBorders>
              <w:top w:val="nil"/>
              <w:left w:val="nil"/>
              <w:bottom w:val="nil"/>
              <w:right w:val="nil"/>
            </w:tcBorders>
            <w:tcMar>
              <w:top w:w="0" w:type="dxa"/>
              <w:left w:w="62" w:type="dxa"/>
              <w:bottom w:w="0" w:type="dxa"/>
              <w:right w:w="62" w:type="dxa"/>
            </w:tcMar>
          </w:tcPr>
          <w:p w:rsidR="00000000" w:rsidRPr="00D711F1" w:rsidP="00D711F1">
            <w:pPr>
              <w:pStyle w:val="BodyText"/>
            </w:pPr>
            <w:r w:rsidRPr="00D711F1">
              <w:rPr>
                <w:rStyle w:val="SpecialBold"/>
              </w:rPr>
              <w:t xml:space="preserve">Core units </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rPr>
                <w:rStyle w:val="SpecialBold"/>
              </w:rPr>
              <w:t>Weighting Points</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UEECD0007</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Apply work health and safety regulations, codes and practices in the workplace</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UEECD0016</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Document and apply measures to control WHS risks associated with electrotechnology work*</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UEECD0019</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Fabricate, assemble and dismantle utilities industry components*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40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UEECD0020</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Fix and secure electrotechnology equipment*</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UEECD0025</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Lay wiring/cabling and terminate accessories for extra-low voltage (ELV) circuits*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40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UEECD0043</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Solve proble</w:t>
            </w:r>
            <w:r w:rsidRPr="00D711F1">
              <w:t>ms in direct current circuits*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80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UEECD0045</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Solve problems in multiple path extra-low voltage (ELV) a.c. circuits*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40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UEECD0051</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Use drawings, diagrams, schedules, standards, codes and specifications*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40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UEECO0007</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Participate in electronics and communications work and competency development activities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60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UEEEL0019</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Solve problems in direct current (d.c.) machines*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30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UEEEL0021</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Solve problems in magnetic and electromagnetic devices*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30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UEERE0001</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Apply environmental</w:t>
            </w:r>
            <w:r w:rsidRPr="00D711F1">
              <w:t>ly and sustainable procedures in the energy sector</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UEERE0022</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Solve basic problems in photovoltaic energy apparatus and systems*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UEERE0025</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 xml:space="preserve">Carry out basic repairs to renewable energy </w:t>
            </w:r>
            <w:r w:rsidRPr="00D711F1">
              <w:t>(RE) apparatus*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80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UEERE0034</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Diagnose and rectify faults in renewable energy (RE) control systems*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60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UEERE0046</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Solve problems in stand-alone renewable energy (RE) systems*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60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UEERE0048</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Verify compliance and functionality of an extra-low voltage renewable energy installation*</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40</w:t>
            </w:r>
          </w:p>
        </w:tc>
      </w:tr>
      <w:tr w:rsidTr="00D711F1">
        <w:tblPrEx>
          <w:tblW w:w="9497" w:type="dxa"/>
          <w:tblLayout w:type="fixed"/>
          <w:tblCellMar>
            <w:left w:w="62" w:type="dxa"/>
            <w:right w:w="62" w:type="dxa"/>
          </w:tblCellMar>
          <w:tblLook w:val="0000"/>
        </w:tblPrEx>
        <w:tc>
          <w:tcPr>
            <w:tcW w:w="7714" w:type="dxa"/>
            <w:gridSpan w:val="2"/>
            <w:tcBorders>
              <w:top w:val="nil"/>
              <w:left w:val="nil"/>
              <w:bottom w:val="nil"/>
              <w:right w:val="nil"/>
            </w:tcBorders>
            <w:tcMar>
              <w:top w:w="0" w:type="dxa"/>
              <w:left w:w="62" w:type="dxa"/>
              <w:bottom w:w="0" w:type="dxa"/>
              <w:right w:w="62" w:type="dxa"/>
            </w:tcMar>
          </w:tcPr>
          <w:p w:rsidR="00000000" w:rsidRPr="00D711F1" w:rsidP="00D711F1">
            <w:pPr>
              <w:pStyle w:val="BodyText"/>
            </w:pPr>
            <w:r w:rsidRPr="00D711F1">
              <w:rPr>
                <w:rStyle w:val="SpecialBold"/>
              </w:rPr>
              <w:t>Gr</w:t>
            </w:r>
            <w:r w:rsidRPr="00D711F1">
              <w:rPr>
                <w:rStyle w:val="SpecialBold"/>
              </w:rPr>
              <w:t>oup A: Imported and common elective units.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rPr>
                <w:rStyle w:val="SpecialBold"/>
              </w:rPr>
              <w:t>Weighting Points</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BSBOPS203</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Deliver a service to customers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CPCCWHS1001</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Prepare to work safely in the construction industry</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10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HLTAID009</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Provide cardiopulmonary resuscitation</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10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HLTAID011</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Provide First Aid</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10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ICTICT214</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Operate application software packages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UEECD0011</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Comply with scheduled and preventative maintenance program processes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UEECD0035</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Provide basic instruction in the use of electrotechnology apparatus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UEECO0002</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Maintain documentation</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UEECO0015</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Provide quotations for installation or service jobs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UEECO0017</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Source and purchase material/parts for installation or service jobs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7714" w:type="dxa"/>
            <w:gridSpan w:val="2"/>
            <w:tcBorders>
              <w:top w:val="nil"/>
              <w:left w:val="nil"/>
              <w:bottom w:val="nil"/>
              <w:right w:val="nil"/>
            </w:tcBorders>
            <w:tcMar>
              <w:top w:w="0" w:type="dxa"/>
              <w:left w:w="62" w:type="dxa"/>
              <w:bottom w:w="0" w:type="dxa"/>
              <w:right w:w="62" w:type="dxa"/>
            </w:tcMar>
          </w:tcPr>
          <w:p w:rsidR="00000000" w:rsidRPr="00D711F1" w:rsidP="00D711F1">
            <w:pPr>
              <w:pStyle w:val="BodyText"/>
            </w:pPr>
            <w:r w:rsidRPr="00D711F1">
              <w:rPr>
                <w:rStyle w:val="SpecialBold"/>
              </w:rPr>
              <w:t>Group B: Qualification elective units.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rPr>
                <w:rStyle w:val="SpecialBold"/>
              </w:rPr>
              <w:t>Weighting Points</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UEERE0006</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Conduct periodic maintenance of remote area power supply battery banks*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40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UEERE0007</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Conduct periodic maintenance of remote area power supply generator sets*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40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UEERE0008</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Conduct periodic maintenance of remote area power supply photovoltaic arrays*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40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UEERE0009</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Conduct periodic maintenance of remote area power supply wind generators*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40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UEERE0017</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Maintain and repair facilities associated with remote area essential service operations*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120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UEERE0018</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Maintain and repair remote area power generation facil</w:t>
            </w:r>
            <w:r w:rsidRPr="00D711F1">
              <w:t>ities*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120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UEERE0019</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Maintain safety and tidiness of remote area power supply systems*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UEERE0023</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Work safely with remote area power supply systems*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UEERE0024</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Attend to breakdowns in remote area power supplies (RAPS)*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UEERE0026</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Conduct checks in the demand side use of remote area power supplies (RAPS)*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40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UEERE0035</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Install ELV stand-alone photovoltaic power systems*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60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UEERE0036</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Install small wind energy conversion systems rated up to 10 kW for ELV stand-alone applications*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UEERE0039</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Install, set up and maintain ELV micro-hydro systems rated up to 6.4 kW*</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UEERE0041</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Maintain operation of remote area power generation plant*</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120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UEERE0043</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Plan periodic maintenance schedules of remote area power supplies (RAPS)*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40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UEERE0045</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Solve basic problems in micro-hydro systems*</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UEERE0047</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Solve problems in wind energy conversion systems (WECS) rated up to 10 kW*</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60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UEERL0001</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Attach cords and plugs to electrical equipment for connection to a single phase 230 Volt supply*</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w:t>
            </w:r>
            <w:r w:rsidRPr="00D711F1">
              <w:t>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UEERL0002</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Attach cords, cables and plugs to electrical equipment for connection to 1000 V a.c. or 1500 V d.c.*</w:t>
            </w:r>
          </w:p>
        </w:tc>
        <w:tc>
          <w:tcPr>
            <w:tcW w:w="1783"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20</w:t>
            </w:r>
          </w:p>
        </w:tc>
      </w:tr>
      <w:tr w:rsidTr="00D711F1">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UEERL0003</w:t>
            </w:r>
          </w:p>
        </w:tc>
        <w:tc>
          <w:tcPr>
            <w:tcW w:w="4407" w:type="dxa"/>
            <w:tcBorders>
              <w:top w:val="nil"/>
              <w:left w:val="nil"/>
              <w:bottom w:val="nil"/>
              <w:right w:val="nil"/>
            </w:tcBorders>
            <w:tcMar>
              <w:top w:w="0" w:type="dxa"/>
              <w:left w:w="62" w:type="dxa"/>
              <w:bottom w:w="0" w:type="dxa"/>
              <w:right w:w="62" w:type="dxa"/>
            </w:tcMar>
          </w:tcPr>
          <w:p w:rsidR="00000000" w:rsidP="00D711F1">
            <w:pPr>
              <w:pStyle w:val="BodyText"/>
              <w:rPr>
                <w:lang w:val="en-NZ"/>
              </w:rPr>
            </w:pPr>
            <w:r w:rsidRPr="00D711F1">
              <w:t>Conduct in-service safety testing of electrical cord connected equipment and cord assemblies*</w:t>
            </w:r>
          </w:p>
        </w:tc>
        <w:tc>
          <w:tcPr>
            <w:tcW w:w="1783" w:type="dxa"/>
            <w:tcBorders>
              <w:top w:val="nil"/>
              <w:left w:val="nil"/>
              <w:bottom w:val="nil"/>
              <w:right w:val="nil"/>
            </w:tcBorders>
            <w:tcMar>
              <w:top w:w="0" w:type="dxa"/>
              <w:left w:w="62" w:type="dxa"/>
              <w:bottom w:w="0" w:type="dxa"/>
              <w:right w:w="62" w:type="dxa"/>
            </w:tcMar>
          </w:tcPr>
          <w:p w:rsidR="00000000" w:rsidRPr="00D711F1" w:rsidP="00D711F1">
            <w:pPr>
              <w:pStyle w:val="BodyText"/>
            </w:pPr>
            <w:r w:rsidRPr="00D711F1">
              <w:t>20</w:t>
            </w:r>
          </w:p>
        </w:tc>
      </w:tr>
    </w:tbl>
    <w:p w:rsidR="00000000" w:rsidRPr="00D711F1" w:rsidP="00D711F1">
      <w:pPr>
        <w:pStyle w:val="NoPaddingFontSize1"/>
      </w:pPr>
    </w:p>
    <w:p w:rsidR="00000000" w:rsidRPr="00D711F1" w:rsidP="00D711F1">
      <w:pPr>
        <w:pStyle w:val="AllowPageBreak"/>
      </w:pPr>
    </w:p>
    <w:p w:rsidR="00000000" w:rsidRPr="00D711F1" w:rsidP="00D711F1">
      <w:pPr>
        <w:pStyle w:val="Heading1"/>
      </w:pPr>
      <w:bookmarkStart w:id="5" w:name="O_1223539"/>
      <w:bookmarkEnd w:id="5"/>
      <w:r w:rsidRPr="00D711F1">
        <w:t>Qualification Mapping Information</w:t>
      </w:r>
    </w:p>
    <w:tbl>
      <w:tblPr>
        <w:tblW w:w="9497" w:type="dxa"/>
        <w:tblLayout w:type="fixed"/>
        <w:tblCellMar>
          <w:left w:w="62" w:type="dxa"/>
          <w:right w:w="62" w:type="dxa"/>
        </w:tblCellMar>
        <w:tblLook w:val="0000"/>
      </w:tblPr>
      <w:tblGrid>
        <w:gridCol w:w="9497"/>
      </w:tblGrid>
      <w:tr w:rsidTr="00D711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1F1" w:rsidP="00D711F1">
            <w:pPr>
              <w:pStyle w:val="BodyText"/>
            </w:pPr>
            <w:r w:rsidRPr="00D711F1">
              <w:t>This qualification replaces and is equivalent to UEE32011 Certificate III in Renewable Energy - ELV</w:t>
            </w:r>
          </w:p>
        </w:tc>
      </w:tr>
    </w:tbl>
    <w:p w:rsidR="00000000" w:rsidRPr="00D711F1" w:rsidP="00D711F1">
      <w:pPr>
        <w:pStyle w:val="NoPaddingFontSize1"/>
      </w:pPr>
    </w:p>
    <w:p w:rsidR="00000000" w:rsidRPr="00D711F1" w:rsidP="00D711F1">
      <w:pPr>
        <w:pStyle w:val="AllowPageBreak"/>
      </w:pPr>
    </w:p>
    <w:p w:rsidR="00000000" w:rsidRPr="00D711F1" w:rsidP="00D711F1">
      <w:pPr>
        <w:pStyle w:val="Heading1"/>
      </w:pPr>
      <w:bookmarkStart w:id="6" w:name="O_1223544"/>
      <w:bookmarkEnd w:id="6"/>
      <w:r w:rsidRPr="00D711F1">
        <w:t>Links</w:t>
      </w:r>
    </w:p>
    <w:p w:rsidR="00000000" w:rsidRPr="00D711F1" w:rsidP="007F20AE">
      <w:pPr>
        <w:pStyle w:val="BodyText"/>
      </w:pPr>
      <w:r w:rsidRPr="00D711F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71763">
        <w:rPr>
          <w:rStyle w:val="Hyperlink"/>
        </w:rPr>
        <w:t>https://vetnet.gov.au/Pages/TrainingDocs.aspx?q=b8a8f136-5421-4ce1-92e0-2b50341431b6</w:t>
      </w:r>
      <w:r>
        <w:fldChar w:fldCharType="end"/>
      </w:r>
    </w:p>
    <w:p w:rsidR="00000000" w:rsidRPr="00D711F1" w:rsidP="00D711F1"/>
    <w:sectPr w:rsidSect="00D711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F1" w:rsidRPr="007F20AE" w:rsidP="007F2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0AE" w:rsidP="00D71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F20AE" w:rsidP="00D711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F20AE" w:rsidP="00D711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0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1F1" w:rsidRPr="007F20AE" w:rsidP="007F20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0AE" w:rsidRPr="002D2AF8" w:rsidP="00D711F1">
    <w:pPr>
      <w:pStyle w:val="Header"/>
      <w:framePr w:wrap="around"/>
    </w:pPr>
    <w:r>
      <w:fldChar w:fldCharType="begin"/>
    </w:r>
    <w:r>
      <w:instrText xml:space="preserve"> TITLE   \* MERGEFORMAT </w:instrText>
    </w:r>
    <w:r>
      <w:fldChar w:fldCharType="separate"/>
    </w:r>
    <w:r>
      <w:t>UEE32020 Certificate III in Renewable Energy - ELV</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7F20AE" w:rsidP="00D711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1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1F1"/>
    <w:pPr>
      <w:spacing w:before="360" w:after="60"/>
      <w:outlineLvl w:val="0"/>
    </w:pPr>
    <w:rPr>
      <w:sz w:val="32"/>
    </w:rPr>
  </w:style>
  <w:style w:type="paragraph" w:styleId="Heading2">
    <w:name w:val="heading 2"/>
    <w:basedOn w:val="HeadingBase"/>
    <w:next w:val="BodyText"/>
    <w:link w:val="Heading2Char"/>
    <w:qFormat/>
    <w:rsid w:val="00D711F1"/>
    <w:pPr>
      <w:keepLines/>
      <w:spacing w:before="240" w:after="120"/>
      <w:outlineLvl w:val="1"/>
    </w:pPr>
    <w:rPr>
      <w:sz w:val="28"/>
      <w:szCs w:val="40"/>
    </w:rPr>
  </w:style>
  <w:style w:type="paragraph" w:styleId="Heading3">
    <w:name w:val="heading 3"/>
    <w:basedOn w:val="HeadingBase"/>
    <w:next w:val="BodyText"/>
    <w:link w:val="Heading3Char"/>
    <w:qFormat/>
    <w:rsid w:val="00D711F1"/>
    <w:pPr>
      <w:spacing w:before="180" w:after="120"/>
      <w:outlineLvl w:val="2"/>
    </w:pPr>
    <w:rPr>
      <w:spacing w:val="-10"/>
      <w:kern w:val="32"/>
    </w:rPr>
  </w:style>
  <w:style w:type="paragraph" w:styleId="Heading4">
    <w:name w:val="heading 4"/>
    <w:basedOn w:val="HeadingBase"/>
    <w:next w:val="BodyText"/>
    <w:link w:val="Heading4Char"/>
    <w:qFormat/>
    <w:rsid w:val="00D711F1"/>
    <w:pPr>
      <w:spacing w:before="160" w:after="120"/>
      <w:outlineLvl w:val="3"/>
    </w:pPr>
    <w:rPr>
      <w:sz w:val="22"/>
    </w:rPr>
  </w:style>
  <w:style w:type="paragraph" w:styleId="Heading5">
    <w:name w:val="heading 5"/>
    <w:basedOn w:val="HeadingBase"/>
    <w:next w:val="Normal"/>
    <w:link w:val="Heading5Char"/>
    <w:qFormat/>
    <w:rsid w:val="00D711F1"/>
    <w:pPr>
      <w:spacing w:before="80"/>
      <w:outlineLvl w:val="4"/>
    </w:pPr>
    <w:rPr>
      <w:color w:val="918585"/>
      <w:sz w:val="20"/>
    </w:rPr>
  </w:style>
  <w:style w:type="paragraph" w:styleId="Heading6">
    <w:name w:val="heading 6"/>
    <w:basedOn w:val="HeadingBase"/>
    <w:next w:val="Normal"/>
    <w:link w:val="Heading6Char"/>
    <w:qFormat/>
    <w:rsid w:val="00D711F1"/>
    <w:pPr>
      <w:spacing w:before="60"/>
      <w:outlineLvl w:val="5"/>
    </w:pPr>
    <w:rPr>
      <w:color w:val="918585"/>
      <w:sz w:val="20"/>
    </w:rPr>
  </w:style>
  <w:style w:type="paragraph" w:styleId="Heading7">
    <w:name w:val="heading 7"/>
    <w:basedOn w:val="Normal"/>
    <w:next w:val="Normal"/>
    <w:link w:val="Heading7Char"/>
    <w:qFormat/>
    <w:rsid w:val="00D711F1"/>
    <w:pPr>
      <w:ind w:left="720"/>
      <w:outlineLvl w:val="6"/>
    </w:pPr>
    <w:rPr>
      <w:i/>
    </w:rPr>
  </w:style>
  <w:style w:type="paragraph" w:styleId="Heading8">
    <w:name w:val="heading 8"/>
    <w:basedOn w:val="Normal"/>
    <w:next w:val="Normal"/>
    <w:link w:val="Heading8Char"/>
    <w:qFormat/>
    <w:rsid w:val="00D711F1"/>
    <w:pPr>
      <w:ind w:left="720"/>
      <w:outlineLvl w:val="7"/>
    </w:pPr>
    <w:rPr>
      <w:i/>
    </w:rPr>
  </w:style>
  <w:style w:type="paragraph" w:styleId="Heading9">
    <w:name w:val="heading 9"/>
    <w:basedOn w:val="Normal"/>
    <w:next w:val="Normal"/>
    <w:link w:val="Heading9Char"/>
    <w:qFormat/>
    <w:rsid w:val="00D711F1"/>
    <w:pPr>
      <w:ind w:left="720"/>
      <w:outlineLvl w:val="8"/>
    </w:pPr>
    <w:rPr>
      <w:i/>
    </w:rPr>
  </w:style>
  <w:style w:type="character" w:default="1" w:styleId="DefaultParagraphFont">
    <w:name w:val="Default Paragraph Font"/>
    <w:uiPriority w:val="1"/>
    <w:unhideWhenUsed/>
    <w:rsid w:val="00D71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1F1"/>
  </w:style>
  <w:style w:type="character" w:customStyle="1" w:styleId="Heading1Char">
    <w:name w:val="Heading 1 Char"/>
    <w:basedOn w:val="DefaultParagraphFont"/>
    <w:link w:val="Heading1"/>
    <w:rsid w:val="00D711F1"/>
    <w:rPr>
      <w:rFonts w:ascii="Times New Roman" w:eastAsia="Times New Roman" w:hAnsi="Times New Roman" w:cs="Times New Roman"/>
      <w:b/>
      <w:sz w:val="32"/>
      <w:szCs w:val="20"/>
      <w:lang w:eastAsia="en-US"/>
    </w:rPr>
  </w:style>
  <w:style w:type="paragraph" w:styleId="BodyText">
    <w:name w:val="Body Text"/>
    <w:basedOn w:val="Normal"/>
    <w:link w:val="BodyTextChar"/>
    <w:rsid w:val="00D711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1F1"/>
    <w:rPr>
      <w:rFonts w:ascii="Times New Roman" w:eastAsia="Times New Roman" w:hAnsi="Times New Roman" w:cs="Times New Roman"/>
      <w:sz w:val="24"/>
      <w:lang w:eastAsia="en-US"/>
    </w:rPr>
  </w:style>
  <w:style w:type="character" w:customStyle="1" w:styleId="SpecialBold">
    <w:name w:val="Special Bold"/>
    <w:basedOn w:val="DefaultParagraphFont"/>
    <w:rsid w:val="00D711F1"/>
    <w:rPr>
      <w:b/>
      <w:spacing w:val="0"/>
    </w:rPr>
  </w:style>
  <w:style w:type="paragraph" w:customStyle="1" w:styleId="SuperHeading">
    <w:name w:val="SuperHeading"/>
    <w:basedOn w:val="Normal"/>
    <w:rsid w:val="00D711F1"/>
    <w:pPr>
      <w:spacing w:before="240" w:after="120"/>
      <w:outlineLvl w:val="0"/>
    </w:pPr>
    <w:rPr>
      <w:rFonts w:ascii="Times New Roman" w:hAnsi="Times New Roman"/>
      <w:b/>
      <w:sz w:val="32"/>
    </w:rPr>
  </w:style>
  <w:style w:type="paragraph" w:customStyle="1" w:styleId="AllowPageBreak">
    <w:name w:val="AllowPageBreak"/>
    <w:rsid w:val="00D711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1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1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1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1F1"/>
    <w:rPr>
      <w:rFonts w:ascii="Courier New" w:eastAsia="Times New Roman" w:hAnsi="Courier New" w:cs="Times New Roman"/>
      <w:i/>
      <w:szCs w:val="20"/>
      <w:lang w:eastAsia="en-US"/>
    </w:rPr>
  </w:style>
  <w:style w:type="paragraph" w:customStyle="1" w:styleId="HeadingBase">
    <w:name w:val="Heading Base"/>
    <w:rsid w:val="00D71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1F1"/>
    <w:pPr>
      <w:tabs>
        <w:tab w:val="right" w:leader="dot" w:pos="9072"/>
      </w:tabs>
      <w:ind w:left="567"/>
    </w:pPr>
    <w:rPr>
      <w:szCs w:val="22"/>
    </w:rPr>
  </w:style>
  <w:style w:type="paragraph" w:customStyle="1" w:styleId="TOCBase">
    <w:name w:val="TOC Base"/>
    <w:rsid w:val="00D71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1F1"/>
    <w:pPr>
      <w:tabs>
        <w:tab w:val="right" w:leader="dot" w:pos="9072"/>
      </w:tabs>
      <w:spacing w:before="40" w:after="40"/>
      <w:ind w:left="284"/>
    </w:pPr>
    <w:rPr>
      <w:rFonts w:ascii="Times New Roman" w:hAnsi="Times New Roman"/>
    </w:rPr>
  </w:style>
  <w:style w:type="paragraph" w:styleId="TOC1">
    <w:name w:val="toc 1"/>
    <w:basedOn w:val="TOCBase"/>
    <w:next w:val="Normal"/>
    <w:rsid w:val="00D711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1F1"/>
    <w:rPr>
      <w:rFonts w:ascii="Times New Roman" w:eastAsia="Times New Roman" w:hAnsi="Times New Roman" w:cs="Times New Roman"/>
      <w:sz w:val="16"/>
      <w:lang w:eastAsia="en-US"/>
    </w:rPr>
  </w:style>
  <w:style w:type="paragraph" w:styleId="Title">
    <w:name w:val="Title"/>
    <w:basedOn w:val="HeadingBase"/>
    <w:link w:val="TitleChar"/>
    <w:qFormat/>
    <w:rsid w:val="00D711F1"/>
    <w:pPr>
      <w:spacing w:before="5040"/>
      <w:jc w:val="center"/>
    </w:pPr>
    <w:rPr>
      <w:sz w:val="48"/>
      <w:szCs w:val="72"/>
      <w:lang w:val="en-US"/>
    </w:rPr>
  </w:style>
  <w:style w:type="character" w:customStyle="1" w:styleId="TitleChar">
    <w:name w:val="Title Char"/>
    <w:basedOn w:val="DefaultParagraphFont"/>
    <w:link w:val="Title"/>
    <w:rsid w:val="00D71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1F1"/>
    <w:pPr>
      <w:tabs>
        <w:tab w:val="left" w:pos="3600"/>
        <w:tab w:val="left" w:pos="3958"/>
      </w:tabs>
    </w:pPr>
  </w:style>
  <w:style w:type="paragraph" w:styleId="List">
    <w:name w:val="List"/>
    <w:basedOn w:val="BodyText"/>
    <w:next w:val="BodyText"/>
    <w:rsid w:val="00D711F1"/>
    <w:pPr>
      <w:tabs>
        <w:tab w:val="left" w:pos="340"/>
      </w:tabs>
      <w:spacing w:before="60" w:after="60"/>
      <w:ind w:left="340" w:hanging="340"/>
    </w:pPr>
  </w:style>
  <w:style w:type="paragraph" w:styleId="ListBullet">
    <w:name w:val="List Bullet"/>
    <w:basedOn w:val="List"/>
    <w:rsid w:val="00D711F1"/>
    <w:pPr>
      <w:numPr>
        <w:numId w:val="10"/>
      </w:numPr>
      <w:tabs>
        <w:tab w:val="clear" w:pos="340"/>
      </w:tabs>
      <w:spacing w:before="40" w:after="40"/>
    </w:pPr>
  </w:style>
  <w:style w:type="paragraph" w:customStyle="1" w:styleId="Note">
    <w:name w:val="Note"/>
    <w:basedOn w:val="BodyText"/>
    <w:rsid w:val="00D71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1F1"/>
    <w:pPr>
      <w:framePr w:wrap="auto" w:hAnchor="text" w:y="6049"/>
    </w:pPr>
    <w:rPr>
      <w:color w:val="000000"/>
      <w:sz w:val="40"/>
    </w:rPr>
  </w:style>
  <w:style w:type="paragraph" w:customStyle="1" w:styleId="TOCTitle">
    <w:name w:val="TOCTitle"/>
    <w:basedOn w:val="Heading1"/>
    <w:rsid w:val="00D711F1"/>
    <w:pPr>
      <w:spacing w:after="240"/>
      <w:jc w:val="center"/>
      <w:outlineLvl w:val="9"/>
    </w:pPr>
    <w:rPr>
      <w:caps/>
    </w:rPr>
  </w:style>
  <w:style w:type="paragraph" w:customStyle="1" w:styleId="Version">
    <w:name w:val="Version"/>
    <w:rsid w:val="00D711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11F1"/>
    <w:pPr>
      <w:numPr>
        <w:numId w:val="11"/>
      </w:numPr>
      <w:tabs>
        <w:tab w:val="clear" w:pos="680"/>
      </w:tabs>
    </w:pPr>
  </w:style>
  <w:style w:type="paragraph" w:styleId="Index1">
    <w:name w:val="index 1"/>
    <w:basedOn w:val="Normal"/>
    <w:next w:val="Normal"/>
    <w:semiHidden/>
    <w:rsid w:val="00D711F1"/>
    <w:pPr>
      <w:keepNext w:val="0"/>
      <w:tabs>
        <w:tab w:val="right" w:pos="4176"/>
      </w:tabs>
      <w:ind w:left="198" w:hanging="198"/>
    </w:pPr>
    <w:rPr>
      <w:rFonts w:ascii="Garamond" w:hAnsi="Garamond"/>
    </w:rPr>
  </w:style>
  <w:style w:type="paragraph" w:styleId="IndexHeading">
    <w:name w:val="index heading"/>
    <w:basedOn w:val="Normal"/>
    <w:next w:val="Index1"/>
    <w:semiHidden/>
    <w:rsid w:val="00D711F1"/>
    <w:pPr>
      <w:spacing w:before="120" w:after="120"/>
    </w:pPr>
    <w:rPr>
      <w:rFonts w:ascii="Arial" w:hAnsi="Arial"/>
      <w:b/>
      <w:color w:val="918585"/>
      <w:sz w:val="24"/>
    </w:rPr>
  </w:style>
  <w:style w:type="paragraph" w:styleId="Header">
    <w:name w:val="header"/>
    <w:basedOn w:val="Normal"/>
    <w:link w:val="HeaderChar"/>
    <w:rsid w:val="00D71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1F1"/>
    <w:rPr>
      <w:rFonts w:ascii="Times New Roman" w:eastAsia="Times New Roman" w:hAnsi="Times New Roman" w:cs="Times New Roman"/>
      <w:sz w:val="16"/>
      <w:szCs w:val="20"/>
      <w:lang w:val="en-GB" w:eastAsia="en-US"/>
    </w:rPr>
  </w:style>
  <w:style w:type="paragraph" w:customStyle="1" w:styleId="Chapter">
    <w:name w:val="Chapter"/>
    <w:basedOn w:val="Normal"/>
    <w:rsid w:val="00D711F1"/>
    <w:pPr>
      <w:spacing w:before="240"/>
    </w:pPr>
    <w:rPr>
      <w:rFonts w:ascii="Times New Roman" w:hAnsi="Times New Roman"/>
      <w:smallCaps/>
      <w:spacing w:val="80"/>
      <w:sz w:val="28"/>
    </w:rPr>
  </w:style>
  <w:style w:type="paragraph" w:customStyle="1" w:styleId="InChapter">
    <w:name w:val="InChapter"/>
    <w:basedOn w:val="Heading3"/>
    <w:rsid w:val="00D711F1"/>
    <w:pPr>
      <w:spacing w:after="240"/>
      <w:outlineLvl w:val="9"/>
    </w:pPr>
    <w:rPr>
      <w:noProof/>
    </w:rPr>
  </w:style>
  <w:style w:type="paragraph" w:styleId="Index2">
    <w:name w:val="index 2"/>
    <w:basedOn w:val="Normal"/>
    <w:next w:val="Normal"/>
    <w:semiHidden/>
    <w:rsid w:val="00D711F1"/>
    <w:pPr>
      <w:tabs>
        <w:tab w:val="right" w:pos="4176"/>
      </w:tabs>
      <w:ind w:left="568" w:hanging="284"/>
    </w:pPr>
    <w:rPr>
      <w:rFonts w:ascii="Garamond" w:hAnsi="Garamond"/>
    </w:rPr>
  </w:style>
  <w:style w:type="paragraph" w:customStyle="1" w:styleId="Byline">
    <w:name w:val="Byline"/>
    <w:rsid w:val="00D71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1F1"/>
    <w:pPr>
      <w:tabs>
        <w:tab w:val="clear" w:pos="3600"/>
        <w:tab w:val="clear" w:pos="3958"/>
      </w:tabs>
      <w:jc w:val="right"/>
    </w:pPr>
  </w:style>
  <w:style w:type="character" w:styleId="Emphasis">
    <w:name w:val="Emphasis"/>
    <w:basedOn w:val="DefaultParagraphFont"/>
    <w:qFormat/>
    <w:rsid w:val="00D711F1"/>
    <w:rPr>
      <w:i/>
    </w:rPr>
  </w:style>
  <w:style w:type="paragraph" w:styleId="Caption">
    <w:name w:val="caption"/>
    <w:basedOn w:val="BodyText"/>
    <w:next w:val="Normal"/>
    <w:qFormat/>
    <w:rsid w:val="00D711F1"/>
    <w:pPr>
      <w:framePr w:w="2268" w:hSpace="181" w:vSpace="181" w:wrap="around" w:vAnchor="text" w:hAnchor="page" w:x="1135" w:y="285" w:anchorLock="1"/>
    </w:pPr>
    <w:rPr>
      <w:i/>
    </w:rPr>
  </w:style>
  <w:style w:type="paragraph" w:customStyle="1" w:styleId="MiniTOCTitle">
    <w:name w:val="MiniTOCTitle"/>
    <w:basedOn w:val="Heading4"/>
    <w:rsid w:val="00D711F1"/>
    <w:pPr>
      <w:spacing w:before="240"/>
      <w:outlineLvl w:val="9"/>
    </w:pPr>
    <w:rPr>
      <w:noProof/>
      <w:sz w:val="24"/>
    </w:rPr>
  </w:style>
  <w:style w:type="paragraph" w:customStyle="1" w:styleId="MiniTOCItem">
    <w:name w:val="MiniTOCItem"/>
    <w:basedOn w:val="ListBullet"/>
    <w:rsid w:val="00D711F1"/>
    <w:pPr>
      <w:numPr>
        <w:numId w:val="0"/>
      </w:numPr>
      <w:tabs>
        <w:tab w:val="right" w:leader="dot" w:pos="6521"/>
      </w:tabs>
      <w:spacing w:before="0" w:after="0"/>
    </w:pPr>
  </w:style>
  <w:style w:type="paragraph" w:customStyle="1" w:styleId="TOFTitle">
    <w:name w:val="TOFTitle"/>
    <w:basedOn w:val="TOCTitle"/>
    <w:rsid w:val="00D711F1"/>
  </w:style>
  <w:style w:type="paragraph" w:styleId="TableofFigures">
    <w:name w:val="table of figures"/>
    <w:basedOn w:val="Normal"/>
    <w:next w:val="Normal"/>
    <w:semiHidden/>
    <w:rsid w:val="00D711F1"/>
    <w:pPr>
      <w:tabs>
        <w:tab w:val="right" w:leader="dot" w:pos="9072"/>
      </w:tabs>
      <w:ind w:left="970" w:hanging="403"/>
    </w:pPr>
    <w:rPr>
      <w:rFonts w:ascii="Times New Roman" w:hAnsi="Times New Roman"/>
      <w:b/>
    </w:rPr>
  </w:style>
  <w:style w:type="paragraph" w:styleId="ListNumber">
    <w:name w:val="List Number"/>
    <w:basedOn w:val="List"/>
    <w:rsid w:val="00D711F1"/>
    <w:pPr>
      <w:numPr>
        <w:numId w:val="13"/>
      </w:numPr>
      <w:tabs>
        <w:tab w:val="clear" w:pos="340"/>
      </w:tabs>
    </w:pPr>
  </w:style>
  <w:style w:type="character" w:customStyle="1" w:styleId="WingdingSymbols">
    <w:name w:val="Wingding Symbols"/>
    <w:rsid w:val="00D711F1"/>
    <w:rPr>
      <w:rFonts w:ascii="Wingdings" w:hAnsi="Wingdings"/>
    </w:rPr>
  </w:style>
  <w:style w:type="paragraph" w:customStyle="1" w:styleId="TableHeading">
    <w:name w:val="Table Heading"/>
    <w:basedOn w:val="HeadingBase"/>
    <w:rsid w:val="00D711F1"/>
    <w:pPr>
      <w:keepLines/>
      <w:pBdr>
        <w:bottom w:val="single" w:sz="6" w:space="1" w:color="918585"/>
      </w:pBdr>
      <w:spacing w:before="240"/>
    </w:pPr>
  </w:style>
  <w:style w:type="character" w:customStyle="1" w:styleId="HotSpot">
    <w:name w:val="HotSpot"/>
    <w:rsid w:val="00D711F1"/>
    <w:rPr>
      <w:color w:val="0033CC"/>
      <w:u w:val="none"/>
    </w:rPr>
  </w:style>
  <w:style w:type="paragraph" w:customStyle="1" w:styleId="BodyTextRight">
    <w:name w:val="Body Text Right"/>
    <w:basedOn w:val="BodyText"/>
    <w:rsid w:val="00D711F1"/>
    <w:pPr>
      <w:spacing w:before="0" w:after="0"/>
      <w:jc w:val="right"/>
    </w:pPr>
  </w:style>
  <w:style w:type="paragraph" w:styleId="Index3">
    <w:name w:val="index 3"/>
    <w:basedOn w:val="ListNumber2"/>
    <w:next w:val="Normal"/>
    <w:semiHidden/>
    <w:rsid w:val="00D711F1"/>
    <w:pPr>
      <w:numPr>
        <w:numId w:val="0"/>
      </w:numPr>
      <w:tabs>
        <w:tab w:val="right" w:leader="dot" w:pos="4176"/>
      </w:tabs>
    </w:pPr>
  </w:style>
  <w:style w:type="paragraph" w:styleId="ListNumber2">
    <w:name w:val="List Number 2"/>
    <w:basedOn w:val="List2"/>
    <w:rsid w:val="00D711F1"/>
    <w:pPr>
      <w:numPr>
        <w:numId w:val="8"/>
      </w:numPr>
      <w:tabs>
        <w:tab w:val="clear" w:pos="1060"/>
      </w:tabs>
    </w:pPr>
  </w:style>
  <w:style w:type="paragraph" w:customStyle="1" w:styleId="MarginNote">
    <w:name w:val="Margin Note"/>
    <w:basedOn w:val="BodyText"/>
    <w:rsid w:val="00D71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1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1F1"/>
    <w:rPr>
      <w:sz w:val="32"/>
    </w:rPr>
  </w:style>
  <w:style w:type="paragraph" w:customStyle="1" w:styleId="HeadingProcedure">
    <w:name w:val="Heading Procedure"/>
    <w:basedOn w:val="HeadingBase"/>
    <w:next w:val="Normal"/>
    <w:rsid w:val="00D711F1"/>
    <w:pPr>
      <w:tabs>
        <w:tab w:val="left" w:pos="0"/>
      </w:tabs>
      <w:spacing w:before="120" w:after="60"/>
    </w:pPr>
    <w:rPr>
      <w:i/>
      <w:color w:val="918585"/>
      <w:sz w:val="22"/>
    </w:rPr>
  </w:style>
  <w:style w:type="paragraph" w:customStyle="1" w:styleId="TableBodyText">
    <w:name w:val="Table Body Text"/>
    <w:basedOn w:val="BodyText"/>
    <w:rsid w:val="00D711F1"/>
    <w:pPr>
      <w:spacing w:before="60" w:after="60"/>
    </w:pPr>
  </w:style>
  <w:style w:type="paragraph" w:styleId="ListContinue">
    <w:name w:val="List Continue"/>
    <w:basedOn w:val="List"/>
    <w:rsid w:val="00D711F1"/>
    <w:pPr>
      <w:ind w:firstLine="0"/>
    </w:pPr>
  </w:style>
  <w:style w:type="paragraph" w:customStyle="1" w:styleId="ListNote">
    <w:name w:val="List Note"/>
    <w:basedOn w:val="List"/>
    <w:rsid w:val="00D711F1"/>
    <w:pPr>
      <w:pBdr>
        <w:top w:val="single" w:sz="6" w:space="2" w:color="918585"/>
        <w:bottom w:val="single" w:sz="6" w:space="2" w:color="918585"/>
      </w:pBdr>
      <w:tabs>
        <w:tab w:val="left" w:pos="1021"/>
      </w:tabs>
      <w:ind w:firstLine="0"/>
    </w:pPr>
  </w:style>
  <w:style w:type="paragraph" w:customStyle="1" w:styleId="Warning">
    <w:name w:val="Warning"/>
    <w:basedOn w:val="BodyText"/>
    <w:rsid w:val="00D711F1"/>
    <w:pPr>
      <w:shd w:val="clear" w:color="auto" w:fill="D9D9D9"/>
      <w:tabs>
        <w:tab w:val="left" w:pos="992"/>
      </w:tabs>
      <w:ind w:left="119" w:right="119"/>
    </w:pPr>
    <w:rPr>
      <w:sz w:val="20"/>
    </w:rPr>
  </w:style>
  <w:style w:type="paragraph" w:customStyle="1" w:styleId="MarginIcons">
    <w:name w:val="Margin Icons"/>
    <w:basedOn w:val="BodyText"/>
    <w:rsid w:val="00D71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1F1"/>
    <w:rPr>
      <w:rFonts w:ascii="Courier New" w:hAnsi="Courier New"/>
    </w:rPr>
  </w:style>
  <w:style w:type="paragraph" w:customStyle="1" w:styleId="NoteBullet">
    <w:name w:val="Note Bullet"/>
    <w:basedOn w:val="Note"/>
    <w:rsid w:val="00D711F1"/>
    <w:pPr>
      <w:tabs>
        <w:tab w:val="clear" w:pos="680"/>
      </w:tabs>
      <w:spacing w:before="60" w:after="60"/>
    </w:pPr>
  </w:style>
  <w:style w:type="paragraph" w:customStyle="1" w:styleId="SubHeading2">
    <w:name w:val="SubHeading2"/>
    <w:basedOn w:val="HeadingBase"/>
    <w:rsid w:val="00D711F1"/>
    <w:pPr>
      <w:spacing w:before="240" w:after="60"/>
    </w:pPr>
    <w:rPr>
      <w:sz w:val="20"/>
    </w:rPr>
  </w:style>
  <w:style w:type="paragraph" w:customStyle="1" w:styleId="SubHeading1">
    <w:name w:val="SubHeading1"/>
    <w:basedOn w:val="HeadingBase"/>
    <w:rsid w:val="00D711F1"/>
    <w:pPr>
      <w:spacing w:before="240" w:after="60"/>
    </w:pPr>
    <w:rPr>
      <w:color w:val="918585"/>
      <w:sz w:val="22"/>
    </w:rPr>
  </w:style>
  <w:style w:type="paragraph" w:customStyle="1" w:styleId="SideHeading">
    <w:name w:val="Side Heading"/>
    <w:basedOn w:val="HeadingBase"/>
    <w:rsid w:val="00D71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1F1"/>
    <w:pPr>
      <w:numPr>
        <w:numId w:val="9"/>
      </w:numPr>
    </w:pPr>
  </w:style>
  <w:style w:type="paragraph" w:styleId="PlainText">
    <w:name w:val="Plain Text"/>
    <w:basedOn w:val="Normal"/>
    <w:link w:val="PlainTextChar"/>
    <w:rsid w:val="00D711F1"/>
    <w:rPr>
      <w:sz w:val="20"/>
    </w:rPr>
  </w:style>
  <w:style w:type="character" w:customStyle="1" w:styleId="PlainTextChar">
    <w:name w:val="Plain Text Char"/>
    <w:basedOn w:val="DefaultParagraphFont"/>
    <w:link w:val="PlainText"/>
    <w:rsid w:val="00D711F1"/>
    <w:rPr>
      <w:rFonts w:ascii="Courier New" w:eastAsia="Times New Roman" w:hAnsi="Courier New" w:cs="Times New Roman"/>
      <w:sz w:val="20"/>
      <w:szCs w:val="20"/>
      <w:lang w:eastAsia="en-US"/>
    </w:rPr>
  </w:style>
  <w:style w:type="character" w:customStyle="1" w:styleId="MenuOption">
    <w:name w:val="Menu Option"/>
    <w:basedOn w:val="DefaultParagraphFont"/>
    <w:rsid w:val="00D711F1"/>
    <w:rPr>
      <w:b/>
      <w:smallCaps/>
    </w:rPr>
  </w:style>
  <w:style w:type="paragraph" w:customStyle="1" w:styleId="TableListNumber">
    <w:name w:val="Table List Number"/>
    <w:basedOn w:val="ListNumber"/>
    <w:rsid w:val="00D711F1"/>
    <w:pPr>
      <w:numPr>
        <w:numId w:val="0"/>
      </w:numPr>
    </w:pPr>
  </w:style>
  <w:style w:type="paragraph" w:styleId="TOC4">
    <w:name w:val="toc 4"/>
    <w:basedOn w:val="TOCBase"/>
    <w:next w:val="Normal"/>
    <w:semiHidden/>
    <w:rsid w:val="00D711F1"/>
    <w:pPr>
      <w:tabs>
        <w:tab w:val="right" w:leader="dot" w:pos="9071"/>
      </w:tabs>
      <w:ind w:left="1701"/>
    </w:pPr>
  </w:style>
  <w:style w:type="paragraph" w:customStyle="1" w:styleId="ListAlpha">
    <w:name w:val="List Alpha"/>
    <w:basedOn w:val="List"/>
    <w:rsid w:val="00D711F1"/>
    <w:pPr>
      <w:numPr>
        <w:numId w:val="7"/>
      </w:numPr>
    </w:pPr>
  </w:style>
  <w:style w:type="paragraph" w:customStyle="1" w:styleId="ListAlpha2">
    <w:name w:val="List Alpha 2"/>
    <w:basedOn w:val="List2"/>
    <w:rsid w:val="00D711F1"/>
    <w:pPr>
      <w:numPr>
        <w:numId w:val="6"/>
      </w:numPr>
    </w:pPr>
  </w:style>
  <w:style w:type="paragraph" w:styleId="List2">
    <w:name w:val="List 2"/>
    <w:basedOn w:val="BodyText"/>
    <w:rsid w:val="00D711F1"/>
    <w:pPr>
      <w:tabs>
        <w:tab w:val="left" w:pos="680"/>
      </w:tabs>
      <w:spacing w:before="60" w:after="60"/>
      <w:ind w:left="680" w:hanging="340"/>
    </w:pPr>
  </w:style>
  <w:style w:type="paragraph" w:styleId="List3">
    <w:name w:val="List 3"/>
    <w:basedOn w:val="BodyText"/>
    <w:rsid w:val="00D711F1"/>
    <w:pPr>
      <w:tabs>
        <w:tab w:val="left" w:pos="1021"/>
      </w:tabs>
      <w:spacing w:before="60" w:after="60"/>
      <w:ind w:left="1020" w:hanging="340"/>
    </w:pPr>
  </w:style>
  <w:style w:type="paragraph" w:styleId="List4">
    <w:name w:val="List 4"/>
    <w:basedOn w:val="BodyText"/>
    <w:rsid w:val="00D711F1"/>
    <w:pPr>
      <w:tabs>
        <w:tab w:val="left" w:pos="1361"/>
      </w:tabs>
      <w:spacing w:before="60" w:after="60"/>
      <w:ind w:left="1361" w:hanging="340"/>
    </w:pPr>
  </w:style>
  <w:style w:type="paragraph" w:styleId="List5">
    <w:name w:val="List 5"/>
    <w:basedOn w:val="BodyText"/>
    <w:rsid w:val="00D711F1"/>
    <w:pPr>
      <w:tabs>
        <w:tab w:val="left" w:pos="1701"/>
      </w:tabs>
      <w:spacing w:before="60" w:after="60"/>
      <w:ind w:left="1701" w:hanging="340"/>
    </w:pPr>
  </w:style>
  <w:style w:type="paragraph" w:styleId="ListBullet3">
    <w:name w:val="List Bullet 3"/>
    <w:basedOn w:val="List3"/>
    <w:rsid w:val="00D711F1"/>
    <w:pPr>
      <w:numPr>
        <w:numId w:val="12"/>
      </w:numPr>
      <w:tabs>
        <w:tab w:val="clear" w:pos="1021"/>
      </w:tabs>
      <w:ind w:left="1037" w:hanging="357"/>
    </w:pPr>
  </w:style>
  <w:style w:type="paragraph" w:styleId="ListBullet4">
    <w:name w:val="List Bullet 4"/>
    <w:basedOn w:val="List4"/>
    <w:rsid w:val="00D711F1"/>
    <w:pPr>
      <w:numPr>
        <w:numId w:val="1"/>
      </w:numPr>
      <w:tabs>
        <w:tab w:val="clear" w:pos="1361"/>
      </w:tabs>
    </w:pPr>
  </w:style>
  <w:style w:type="paragraph" w:styleId="ListBullet5">
    <w:name w:val="List Bullet 5"/>
    <w:basedOn w:val="List5"/>
    <w:rsid w:val="00D711F1"/>
    <w:pPr>
      <w:numPr>
        <w:numId w:val="2"/>
      </w:numPr>
    </w:pPr>
  </w:style>
  <w:style w:type="paragraph" w:styleId="ListContinue2">
    <w:name w:val="List Continue 2"/>
    <w:basedOn w:val="List2"/>
    <w:rsid w:val="00D711F1"/>
    <w:pPr>
      <w:ind w:firstLine="0"/>
    </w:pPr>
  </w:style>
  <w:style w:type="paragraph" w:styleId="ListContinue3">
    <w:name w:val="List Continue 3"/>
    <w:basedOn w:val="List3"/>
    <w:rsid w:val="00D711F1"/>
    <w:pPr>
      <w:ind w:left="1021" w:firstLine="0"/>
    </w:pPr>
  </w:style>
  <w:style w:type="paragraph" w:styleId="ListContinue4">
    <w:name w:val="List Continue 4"/>
    <w:basedOn w:val="List4"/>
    <w:rsid w:val="00D711F1"/>
    <w:pPr>
      <w:ind w:firstLine="0"/>
    </w:pPr>
  </w:style>
  <w:style w:type="paragraph" w:styleId="ListContinue5">
    <w:name w:val="List Continue 5"/>
    <w:basedOn w:val="List5"/>
    <w:rsid w:val="00D711F1"/>
    <w:pPr>
      <w:ind w:firstLine="0"/>
    </w:pPr>
  </w:style>
  <w:style w:type="paragraph" w:styleId="ListNumber3">
    <w:name w:val="List Number 3"/>
    <w:basedOn w:val="List3"/>
    <w:rsid w:val="00D711F1"/>
    <w:pPr>
      <w:numPr>
        <w:numId w:val="3"/>
      </w:numPr>
    </w:pPr>
  </w:style>
  <w:style w:type="paragraph" w:styleId="ListNumber4">
    <w:name w:val="List Number 4"/>
    <w:basedOn w:val="List4"/>
    <w:rsid w:val="00D711F1"/>
    <w:pPr>
      <w:numPr>
        <w:numId w:val="4"/>
      </w:numPr>
    </w:pPr>
  </w:style>
  <w:style w:type="paragraph" w:styleId="ListNumber5">
    <w:name w:val="List Number 5"/>
    <w:basedOn w:val="List5"/>
    <w:rsid w:val="00D711F1"/>
    <w:pPr>
      <w:numPr>
        <w:numId w:val="5"/>
      </w:numPr>
    </w:pPr>
  </w:style>
  <w:style w:type="paragraph" w:styleId="BlockText">
    <w:name w:val="Block Text"/>
    <w:basedOn w:val="Normal"/>
    <w:rsid w:val="00D711F1"/>
    <w:pPr>
      <w:spacing w:after="120"/>
      <w:ind w:left="1440" w:right="1440"/>
    </w:pPr>
  </w:style>
  <w:style w:type="character" w:customStyle="1" w:styleId="Subscript">
    <w:name w:val="Subscript"/>
    <w:basedOn w:val="DefaultParagraphFont"/>
    <w:rsid w:val="00D711F1"/>
    <w:rPr>
      <w:sz w:val="16"/>
      <w:vertAlign w:val="subscript"/>
    </w:rPr>
  </w:style>
  <w:style w:type="character" w:customStyle="1" w:styleId="Superscript">
    <w:name w:val="Superscript"/>
    <w:basedOn w:val="DefaultParagraphFont"/>
    <w:rsid w:val="00D711F1"/>
    <w:rPr>
      <w:sz w:val="16"/>
      <w:vertAlign w:val="superscript"/>
    </w:rPr>
  </w:style>
  <w:style w:type="character" w:customStyle="1" w:styleId="Symbols">
    <w:name w:val="Symbols"/>
    <w:basedOn w:val="DefaultParagraphFont"/>
    <w:rsid w:val="00D711F1"/>
    <w:rPr>
      <w:rFonts w:ascii="Symbol" w:hAnsi="Symbol"/>
    </w:rPr>
  </w:style>
  <w:style w:type="character" w:customStyle="1" w:styleId="MenuOptions">
    <w:name w:val="Menu Options"/>
    <w:basedOn w:val="DefaultParagraphFont"/>
    <w:rsid w:val="00D711F1"/>
    <w:rPr>
      <w:rFonts w:ascii="Arial Narrow" w:hAnsi="Arial Narrow"/>
      <w:smallCaps/>
    </w:rPr>
  </w:style>
  <w:style w:type="character" w:customStyle="1" w:styleId="Buttons">
    <w:name w:val="Buttons"/>
    <w:basedOn w:val="DefaultParagraphFont"/>
    <w:rsid w:val="00D711F1"/>
    <w:rPr>
      <w:b/>
    </w:rPr>
  </w:style>
  <w:style w:type="character" w:customStyle="1" w:styleId="Underlined">
    <w:name w:val="Underlined"/>
    <w:basedOn w:val="DefaultParagraphFont"/>
    <w:rsid w:val="00D711F1"/>
    <w:rPr>
      <w:u w:val="single"/>
    </w:rPr>
  </w:style>
  <w:style w:type="paragraph" w:customStyle="1" w:styleId="TableBodyTextRight">
    <w:name w:val="Table Body Text Right"/>
    <w:basedOn w:val="TableBodyText"/>
    <w:rsid w:val="00D711F1"/>
    <w:pPr>
      <w:widowControl w:val="0"/>
      <w:autoSpaceDE w:val="0"/>
      <w:autoSpaceDN w:val="0"/>
      <w:adjustRightInd w:val="0"/>
      <w:jc w:val="right"/>
    </w:pPr>
    <w:rPr>
      <w:rFonts w:cs="Arial"/>
      <w:szCs w:val="18"/>
    </w:rPr>
  </w:style>
  <w:style w:type="paragraph" w:customStyle="1" w:styleId="CopyrightText">
    <w:name w:val="Copyright Text"/>
    <w:basedOn w:val="BodyText"/>
    <w:rsid w:val="00D711F1"/>
    <w:rPr>
      <w:sz w:val="18"/>
    </w:rPr>
  </w:style>
  <w:style w:type="paragraph" w:customStyle="1" w:styleId="BodySmallRight">
    <w:name w:val="Body Small Right"/>
    <w:basedOn w:val="BodyTextRight"/>
    <w:rsid w:val="00D711F1"/>
    <w:rPr>
      <w:sz w:val="18"/>
      <w:szCs w:val="18"/>
    </w:rPr>
  </w:style>
  <w:style w:type="paragraph" w:customStyle="1" w:styleId="MarginEdition">
    <w:name w:val="Margin Edition"/>
    <w:basedOn w:val="MarginNote"/>
    <w:rsid w:val="00D711F1"/>
    <w:pPr>
      <w:spacing w:before="0" w:after="0"/>
    </w:pPr>
    <w:rPr>
      <w:rFonts w:ascii="Times New Roman" w:hAnsi="Times New Roman"/>
      <w:color w:val="999999"/>
    </w:rPr>
  </w:style>
  <w:style w:type="paragraph" w:customStyle="1" w:styleId="Spacer">
    <w:name w:val="Spacer"/>
    <w:basedOn w:val="Normal"/>
    <w:rsid w:val="00D711F1"/>
    <w:rPr>
      <w:sz w:val="2"/>
      <w:szCs w:val="2"/>
    </w:rPr>
  </w:style>
  <w:style w:type="character" w:customStyle="1" w:styleId="Small">
    <w:name w:val="Small"/>
    <w:basedOn w:val="DefaultParagraphFont"/>
    <w:rsid w:val="00D711F1"/>
    <w:rPr>
      <w:sz w:val="16"/>
    </w:rPr>
  </w:style>
  <w:style w:type="paragraph" w:customStyle="1" w:styleId="WideTable">
    <w:name w:val="Wide Table"/>
    <w:basedOn w:val="Normal"/>
    <w:rsid w:val="00D711F1"/>
    <w:pPr>
      <w:ind w:left="-1418"/>
    </w:pPr>
    <w:rPr>
      <w:sz w:val="2"/>
      <w:szCs w:val="2"/>
    </w:rPr>
  </w:style>
  <w:style w:type="character" w:styleId="PageNumber">
    <w:name w:val="page number"/>
    <w:basedOn w:val="DefaultParagraphFont"/>
    <w:rsid w:val="00D711F1"/>
  </w:style>
  <w:style w:type="paragraph" w:styleId="Quote">
    <w:name w:val="Quote"/>
    <w:basedOn w:val="Heading1"/>
    <w:link w:val="QuoteChar"/>
    <w:qFormat/>
    <w:rsid w:val="00D711F1"/>
    <w:rPr>
      <w:b w:val="0"/>
      <w:sz w:val="72"/>
      <w:szCs w:val="72"/>
      <w:lang w:val="en-NZ"/>
    </w:rPr>
  </w:style>
  <w:style w:type="character" w:customStyle="1" w:styleId="QuoteChar">
    <w:name w:val="Quote Char"/>
    <w:basedOn w:val="DefaultParagraphFont"/>
    <w:link w:val="Quote"/>
    <w:rsid w:val="00D71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1F1"/>
    <w:pPr>
      <w:pageBreakBefore/>
    </w:pPr>
  </w:style>
  <w:style w:type="paragraph" w:customStyle="1" w:styleId="Border">
    <w:name w:val="Border"/>
    <w:basedOn w:val="Normal"/>
    <w:qFormat/>
    <w:rsid w:val="00D71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1F1"/>
    <w:rPr>
      <w:b/>
      <w:bCs/>
      <w:i/>
      <w:iCs/>
      <w:color w:val="auto"/>
    </w:rPr>
  </w:style>
  <w:style w:type="paragraph" w:styleId="IntenseQuote">
    <w:name w:val="Intense Quote"/>
    <w:basedOn w:val="Normal"/>
    <w:next w:val="Normal"/>
    <w:link w:val="IntenseQuoteChar"/>
    <w:uiPriority w:val="30"/>
    <w:qFormat/>
    <w:rsid w:val="00D71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1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1F1"/>
    <w:rPr>
      <w:smallCaps/>
      <w:color w:val="auto"/>
      <w:u w:val="single"/>
    </w:rPr>
  </w:style>
  <w:style w:type="character" w:styleId="IntenseReference">
    <w:name w:val="Intense Reference"/>
    <w:basedOn w:val="DefaultParagraphFont"/>
    <w:uiPriority w:val="32"/>
    <w:qFormat/>
    <w:rsid w:val="00D711F1"/>
    <w:rPr>
      <w:b/>
      <w:bCs/>
      <w:smallCaps/>
      <w:color w:val="auto"/>
      <w:spacing w:val="5"/>
      <w:u w:val="single"/>
    </w:rPr>
  </w:style>
  <w:style w:type="paragraph" w:customStyle="1" w:styleId="2ColumnHeading">
    <w:name w:val="2Column Heading"/>
    <w:basedOn w:val="BodyText"/>
    <w:qFormat/>
    <w:rsid w:val="00D711F1"/>
    <w:pPr>
      <w:spacing w:after="60"/>
      <w:ind w:left="-2268"/>
    </w:pPr>
    <w:rPr>
      <w:b/>
    </w:rPr>
  </w:style>
  <w:style w:type="paragraph" w:customStyle="1" w:styleId="Heading1TOC">
    <w:name w:val="Heading1 TOC"/>
    <w:basedOn w:val="Normal"/>
    <w:qFormat/>
    <w:rsid w:val="00D711F1"/>
    <w:pPr>
      <w:spacing w:before="240" w:after="120"/>
    </w:pPr>
    <w:rPr>
      <w:rFonts w:ascii="Times New Roman" w:hAnsi="Times New Roman"/>
      <w:b/>
      <w:sz w:val="32"/>
    </w:rPr>
  </w:style>
  <w:style w:type="paragraph" w:customStyle="1" w:styleId="Heading2TOC">
    <w:name w:val="Heading2 TOC"/>
    <w:basedOn w:val="Normal"/>
    <w:qFormat/>
    <w:rsid w:val="00D711F1"/>
    <w:pPr>
      <w:spacing w:before="240" w:after="60"/>
    </w:pPr>
    <w:rPr>
      <w:rFonts w:ascii="Times New Roman" w:hAnsi="Times New Roman"/>
      <w:b/>
      <w:sz w:val="28"/>
    </w:rPr>
  </w:style>
  <w:style w:type="character" w:customStyle="1" w:styleId="Underline">
    <w:name w:val="Underline"/>
    <w:basedOn w:val="DefaultParagraphFont"/>
    <w:qFormat/>
    <w:rsid w:val="00D711F1"/>
    <w:rPr>
      <w:u w:val="single"/>
    </w:rPr>
  </w:style>
  <w:style w:type="character" w:customStyle="1" w:styleId="BoldandItalics">
    <w:name w:val="Bold and Italics"/>
    <w:qFormat/>
    <w:rsid w:val="00D711F1"/>
    <w:rPr>
      <w:b/>
      <w:i/>
      <w:u w:val="none"/>
    </w:rPr>
  </w:style>
  <w:style w:type="paragraph" w:styleId="BalloonText">
    <w:name w:val="Balloon Text"/>
    <w:basedOn w:val="Normal"/>
    <w:link w:val="BalloonTextChar"/>
    <w:rsid w:val="00D711F1"/>
    <w:rPr>
      <w:rFonts w:ascii="Tahoma" w:hAnsi="Tahoma" w:cs="Tahoma"/>
      <w:sz w:val="16"/>
      <w:szCs w:val="16"/>
    </w:rPr>
  </w:style>
  <w:style w:type="character" w:customStyle="1" w:styleId="BalloonTextChar">
    <w:name w:val="Balloon Text Char"/>
    <w:basedOn w:val="DefaultParagraphFont"/>
    <w:link w:val="BalloonText"/>
    <w:rsid w:val="00D711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1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1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1F1"/>
    <w:rPr>
      <w:b/>
      <w:color w:val="660033"/>
      <w:spacing w:val="0"/>
    </w:rPr>
  </w:style>
  <w:style w:type="paragraph" w:customStyle="1" w:styleId="Nameditemlist">
    <w:name w:val="Named item list"/>
    <w:basedOn w:val="BodyText"/>
    <w:qFormat/>
    <w:rsid w:val="00D711F1"/>
    <w:pPr>
      <w:tabs>
        <w:tab w:val="left" w:pos="2835"/>
      </w:tabs>
      <w:ind w:left="2835" w:hanging="2835"/>
    </w:pPr>
  </w:style>
  <w:style w:type="paragraph" w:customStyle="1" w:styleId="BodyTextnopadding">
    <w:name w:val="Body Text no padding"/>
    <w:basedOn w:val="BodyText"/>
    <w:qFormat/>
    <w:rsid w:val="00D711F1"/>
    <w:pPr>
      <w:spacing w:before="0" w:after="0"/>
    </w:pPr>
  </w:style>
  <w:style w:type="paragraph" w:customStyle="1" w:styleId="BodyTextBold">
    <w:name w:val="Body Text Bold"/>
    <w:basedOn w:val="BodyText"/>
    <w:qFormat/>
    <w:rsid w:val="00D711F1"/>
    <w:rPr>
      <w:b/>
    </w:rPr>
  </w:style>
  <w:style w:type="character" w:styleId="Hyperlink">
    <w:name w:val="Hyperlink"/>
    <w:basedOn w:val="DefaultParagraphFont"/>
    <w:uiPriority w:val="99"/>
    <w:unhideWhenUsed/>
    <w:rsid w:val="007F20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949</Words>
  <Characters>5781</Characters>
  <Application>Microsoft Office Word</Application>
  <DocSecurity>0</DocSecurity>
  <Lines>275</Lines>
  <Paragraphs>203</Paragraphs>
  <ScaleCrop>false</ScaleCrop>
  <Company>Author-it Software Corporation Ltd.</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UEE32020 Certificate III in Renewable Energy - ELV</dc:title>
  <dc:subject>Approved</dc:subject>
  <dc:creator>Australian Industry Standards</dc:creator>
  <cp:keywords>Release 2</cp:keywords>
  <dc:description>Review Date: 12 April 2008</dc:description>
  <cp:lastModifiedBy>HSD_TPCMSd.prod</cp:lastModifiedBy>
  <cp:revision>3</cp:revision>
  <dcterms:created xsi:type="dcterms:W3CDTF">2022-03-23T13:51:32Z</dcterms:created>
  <dcterms:modified xsi:type="dcterms:W3CDTF">2022-02-22T07:10:00Z</dcterms:modified>
</cp:coreProperties>
</file>