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9BE" w:rsidP="006F39BE">
      <w:pPr>
        <w:pStyle w:val="Title"/>
      </w:pPr>
      <w:r>
        <w:fldChar w:fldCharType="begin"/>
      </w:r>
      <w:r>
        <w:instrText xml:space="preserve"> TITLE   \* MERGEFORMAT </w:instrText>
      </w:r>
      <w:r>
        <w:fldChar w:fldCharType="separate"/>
      </w:r>
      <w:r>
        <w:t>UEE30920 Certificate III in Electronics and Communications</w:t>
      </w:r>
      <w:r>
        <w:fldChar w:fldCharType="end"/>
      </w:r>
    </w:p>
    <w:p w:rsidR="006F39BE" w:rsidP="006F39BE">
      <w:pPr>
        <w:pStyle w:val="Version"/>
        <w:sectPr w:rsidSect="002D2F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D2FA0" w:rsidP="002D2FA0">
      <w:pPr>
        <w:pStyle w:val="SuperHeading"/>
      </w:pPr>
      <w:r w:rsidRPr="002D2FA0">
        <w:t>UEE30920 Certificate III in Electronics and Communications</w:t>
      </w:r>
    </w:p>
    <w:p w:rsidR="00000000" w:rsidRPr="002D2FA0" w:rsidP="002D2FA0">
      <w:pPr>
        <w:pStyle w:val="Heading1"/>
      </w:pPr>
      <w:bookmarkStart w:id="1" w:name="O_1281203"/>
      <w:bookmarkEnd w:id="1"/>
      <w:r w:rsidRPr="002D2FA0">
        <w:t>Modification History</w:t>
      </w:r>
    </w:p>
    <w:tbl>
      <w:tblPr>
        <w:tblW w:w="9497" w:type="dxa"/>
        <w:tblLayout w:type="fixed"/>
        <w:tblCellMar>
          <w:left w:w="62" w:type="dxa"/>
          <w:right w:w="62" w:type="dxa"/>
        </w:tblCellMar>
        <w:tblLook w:val="0000"/>
      </w:tblPr>
      <w:tblGrid>
        <w:gridCol w:w="9497"/>
      </w:tblGrid>
      <w:tr w:rsidTr="002D2F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2FA0" w:rsidP="002D2FA0">
            <w:pPr>
              <w:pStyle w:val="BodyText"/>
            </w:pPr>
            <w:r w:rsidRPr="002D2FA0">
              <w:t xml:space="preserve">Release 3. Updated superseded MSS elective units. </w:t>
            </w:r>
          </w:p>
          <w:p w:rsidR="00000000" w:rsidRPr="002D2FA0" w:rsidP="002D2FA0">
            <w:pPr>
              <w:pStyle w:val="BodyText"/>
            </w:pPr>
            <w:r w:rsidRPr="002D2FA0">
              <w:t xml:space="preserve">Release 2. Updated superseded HLT, BSB and ICT elective units. </w:t>
            </w:r>
          </w:p>
          <w:p w:rsidR="00000000" w:rsidRPr="002D2FA0" w:rsidP="002D2FA0">
            <w:pPr>
              <w:pStyle w:val="BodyText"/>
            </w:pPr>
            <w:r w:rsidRPr="002D2FA0">
              <w:t>Release 1. This is the first release of this qualification in the UEE Electrotechnology Training Packa</w:t>
            </w:r>
            <w:r w:rsidRPr="002D2FA0">
              <w:t>ge</w:t>
            </w:r>
          </w:p>
        </w:tc>
      </w:tr>
    </w:tbl>
    <w:p w:rsidR="00000000" w:rsidRPr="002D2FA0" w:rsidP="002D2FA0">
      <w:pPr>
        <w:pStyle w:val="NoPaddingFontSize1"/>
      </w:pPr>
    </w:p>
    <w:p w:rsidR="00000000" w:rsidRPr="002D2FA0" w:rsidP="002D2FA0">
      <w:pPr>
        <w:pStyle w:val="AllowPageBreak"/>
      </w:pPr>
    </w:p>
    <w:p w:rsidR="00000000" w:rsidRPr="002D2FA0" w:rsidP="002D2FA0">
      <w:pPr>
        <w:pStyle w:val="Heading1"/>
      </w:pPr>
      <w:bookmarkStart w:id="2" w:name="O_1281202"/>
      <w:bookmarkEnd w:id="2"/>
      <w:r w:rsidRPr="002D2FA0">
        <w:t>Qualification Description</w:t>
      </w:r>
    </w:p>
    <w:tbl>
      <w:tblPr>
        <w:tblW w:w="9497" w:type="dxa"/>
        <w:tblLayout w:type="fixed"/>
        <w:tblCellMar>
          <w:left w:w="62" w:type="dxa"/>
          <w:right w:w="62" w:type="dxa"/>
        </w:tblCellMar>
        <w:tblLook w:val="0000"/>
      </w:tblPr>
      <w:tblGrid>
        <w:gridCol w:w="9497"/>
      </w:tblGrid>
      <w:tr w:rsidTr="002D2F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2FA0" w:rsidP="002D2FA0">
            <w:pPr>
              <w:pStyle w:val="BodyText"/>
            </w:pPr>
            <w:r w:rsidRPr="002D2FA0">
              <w:t>This qualification covers competencies to select, install, set up, test, fault find, repair and maintain electronic equipment and devices at component/sub-assembly level with options in communications, audi</w:t>
            </w:r>
            <w:r w:rsidRPr="002D2FA0">
              <w:t>o, video and TV, personal computer and networks, security and custom installations.</w:t>
            </w:r>
          </w:p>
          <w:p w:rsidR="00000000" w:rsidRPr="002D2FA0" w:rsidP="002D2FA0">
            <w:pPr>
              <w:pStyle w:val="BodyText"/>
            </w:pPr>
            <w:r w:rsidRPr="002D2FA0">
              <w:t>No licensing, legislative or certification requirements apply to this qualification at the time of publication.</w:t>
            </w:r>
          </w:p>
        </w:tc>
      </w:tr>
    </w:tbl>
    <w:p w:rsidR="00000000" w:rsidRPr="002D2FA0" w:rsidP="002D2FA0">
      <w:pPr>
        <w:pStyle w:val="NoPaddingFontSize1"/>
      </w:pPr>
    </w:p>
    <w:p w:rsidR="00000000" w:rsidRPr="002D2FA0" w:rsidP="002D2FA0">
      <w:pPr>
        <w:pStyle w:val="AllowPageBreak"/>
      </w:pPr>
    </w:p>
    <w:p w:rsidR="00000000" w:rsidRPr="002D2FA0" w:rsidP="002D2FA0">
      <w:pPr>
        <w:pStyle w:val="Heading1"/>
      </w:pPr>
      <w:bookmarkStart w:id="3" w:name="O_1281201"/>
      <w:bookmarkEnd w:id="3"/>
      <w:r w:rsidRPr="002D2FA0">
        <w:t>Entry Requirements</w:t>
      </w:r>
    </w:p>
    <w:tbl>
      <w:tblPr>
        <w:tblW w:w="9497" w:type="dxa"/>
        <w:tblLayout w:type="fixed"/>
        <w:tblCellMar>
          <w:left w:w="62" w:type="dxa"/>
          <w:right w:w="62" w:type="dxa"/>
        </w:tblCellMar>
        <w:tblLook w:val="0000"/>
      </w:tblPr>
      <w:tblGrid>
        <w:gridCol w:w="9497"/>
      </w:tblGrid>
      <w:tr w:rsidTr="002D2F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2FA0" w:rsidP="002D2FA0">
            <w:pPr>
              <w:pStyle w:val="BodyText"/>
            </w:pPr>
            <w:r w:rsidRPr="002D2FA0">
              <w:t>There are no entry r</w:t>
            </w:r>
            <w:r w:rsidRPr="002D2FA0">
              <w:t>equirements for this qualification.</w:t>
            </w:r>
          </w:p>
        </w:tc>
      </w:tr>
    </w:tbl>
    <w:p w:rsidR="00000000" w:rsidRPr="002D2FA0" w:rsidP="002D2FA0">
      <w:pPr>
        <w:pStyle w:val="NoPaddingFontSize1"/>
      </w:pPr>
    </w:p>
    <w:p w:rsidR="00000000" w:rsidRPr="002D2FA0" w:rsidP="002D2FA0">
      <w:pPr>
        <w:pStyle w:val="AllowPageBreak"/>
      </w:pPr>
    </w:p>
    <w:p w:rsidR="00000000" w:rsidRPr="002D2FA0" w:rsidP="002D2FA0">
      <w:pPr>
        <w:pStyle w:val="Heading1"/>
      </w:pPr>
      <w:bookmarkStart w:id="4" w:name="O_1281200"/>
      <w:bookmarkEnd w:id="4"/>
      <w:r w:rsidRPr="002D2FA0">
        <w:t>Packaging Rules</w:t>
      </w:r>
    </w:p>
    <w:tbl>
      <w:tblPr>
        <w:tblW w:w="9497" w:type="dxa"/>
        <w:tblLayout w:type="fixed"/>
        <w:tblCellMar>
          <w:left w:w="62" w:type="dxa"/>
          <w:right w:w="62" w:type="dxa"/>
        </w:tblCellMar>
        <w:tblLook w:val="0000"/>
      </w:tblPr>
      <w:tblGrid>
        <w:gridCol w:w="1724"/>
        <w:gridCol w:w="5720"/>
        <w:gridCol w:w="2053"/>
      </w:tblGrid>
      <w:tr w:rsidTr="002D2FA0">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2D2FA0" w:rsidP="002D2FA0">
            <w:pPr>
              <w:pStyle w:val="BodyText"/>
            </w:pPr>
            <w:r w:rsidRPr="002D2FA0">
              <w:t xml:space="preserve">A total of </w:t>
            </w:r>
            <w:r w:rsidRPr="002D2FA0">
              <w:rPr>
                <w:rStyle w:val="SpecialBold"/>
              </w:rPr>
              <w:t xml:space="preserve">1060 weighting points </w:t>
            </w:r>
            <w:r w:rsidRPr="002D2FA0">
              <w:t>comprising:</w:t>
            </w:r>
          </w:p>
          <w:p w:rsidR="00000000" w:rsidRPr="002D2FA0" w:rsidP="002D2FA0">
            <w:pPr>
              <w:pStyle w:val="BodyText"/>
            </w:pPr>
            <w:r w:rsidRPr="002D2FA0">
              <w:rPr>
                <w:rStyle w:val="SpecialBold"/>
              </w:rPr>
              <w:t>680 core weighting points</w:t>
            </w:r>
            <w:r w:rsidRPr="002D2FA0">
              <w:t xml:space="preserve"> listed below; plus</w:t>
            </w:r>
          </w:p>
          <w:p w:rsidR="00000000" w:rsidRPr="002D2FA0" w:rsidP="002D2FA0">
            <w:pPr>
              <w:pStyle w:val="BodyText"/>
            </w:pPr>
            <w:r w:rsidRPr="002D2FA0">
              <w:rPr>
                <w:rStyle w:val="SpecialBold"/>
              </w:rPr>
              <w:t>380 elective weighting points</w:t>
            </w:r>
            <w:r w:rsidRPr="002D2FA0">
              <w:t xml:space="preserve"> from the elective units listed below. </w:t>
            </w:r>
          </w:p>
          <w:p w:rsidR="00000000" w:rsidRPr="002D2FA0" w:rsidP="002D2FA0">
            <w:pPr>
              <w:pStyle w:val="BodyText"/>
            </w:pPr>
            <w:r w:rsidRPr="002D2FA0">
              <w:t>Up to</w:t>
            </w:r>
            <w:r w:rsidRPr="002D2FA0">
              <w:rPr>
                <w:rStyle w:val="SpecialBold"/>
              </w:rPr>
              <w:t xml:space="preserve"> 180 weighting points</w:t>
            </w:r>
            <w:r w:rsidRPr="002D2FA0">
              <w:t xml:space="preserve"> may be selected, with appropriate contextualisation, from any relevant nationally endorsed Training Package or accredited course, provided selected units contribute to the vocational outcome of the qualification. Previously assigned w</w:t>
            </w:r>
            <w:r w:rsidRPr="002D2FA0">
              <w:t>eighting points are listed in the UEE Electrotechnology Training Package Companion Volume Implementation Guide (CVIG), if not listed weighting points will be 10 points, unless directed from the Electrotechnology Industry Reference Committee (IRC).</w:t>
            </w:r>
          </w:p>
          <w:p w:rsidR="00000000" w:rsidRPr="002D2FA0" w:rsidP="002D2FA0">
            <w:pPr>
              <w:pStyle w:val="BodyText"/>
            </w:pPr>
            <w:r w:rsidRPr="002D2FA0">
              <w:t>There ar</w:t>
            </w:r>
            <w:r w:rsidRPr="002D2FA0">
              <w:t>e units of competency within this qualification that contain pre-requisites. Units of competency that have a pre-requisite requirement are identified by this symbol *. Refer directly to the units of competency to identify pre-requisite requirements to ensu</w:t>
            </w:r>
            <w:r w:rsidRPr="002D2FA0">
              <w:t>re all are complied with. A list of all pre-requisites is also provided in the UEE Pre-requisite Companion Volume.</w:t>
            </w:r>
          </w:p>
          <w:p w:rsidR="00000000" w:rsidP="002D2FA0">
            <w:pPr>
              <w:pStyle w:val="BodyText"/>
              <w:rPr>
                <w:lang w:val="en-NZ"/>
              </w:rPr>
            </w:pPr>
            <w:r w:rsidRPr="002D2FA0">
              <w:t>Where imported units are selected, care must be taken to ensure all pre-requisite units specified are complied with.</w:t>
            </w:r>
          </w:p>
        </w:tc>
      </w:tr>
      <w:tr w:rsidTr="002D2FA0">
        <w:tblPrEx>
          <w:tblW w:w="9497" w:type="dxa"/>
          <w:tblLayout w:type="fixed"/>
          <w:tblCellMar>
            <w:left w:w="62" w:type="dxa"/>
            <w:right w:w="62" w:type="dxa"/>
          </w:tblCellMar>
          <w:tblLook w:val="0000"/>
        </w:tblPrEx>
        <w:tc>
          <w:tcPr>
            <w:tcW w:w="7444" w:type="dxa"/>
            <w:gridSpan w:val="2"/>
            <w:tcBorders>
              <w:top w:val="nil"/>
              <w:left w:val="nil"/>
              <w:bottom w:val="nil"/>
              <w:right w:val="nil"/>
            </w:tcBorders>
            <w:tcMar>
              <w:top w:w="0" w:type="dxa"/>
              <w:left w:w="62" w:type="dxa"/>
              <w:bottom w:w="0" w:type="dxa"/>
              <w:right w:w="62" w:type="dxa"/>
            </w:tcMar>
          </w:tcPr>
          <w:p w:rsidR="00000000" w:rsidRPr="002D2FA0" w:rsidP="002D2FA0">
            <w:pPr>
              <w:pStyle w:val="BodyText"/>
            </w:pPr>
            <w:r w:rsidRPr="002D2FA0">
              <w:rPr>
                <w:rStyle w:val="SpecialBold"/>
              </w:rPr>
              <w:t xml:space="preserve">Core units </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rPr>
                <w:rStyle w:val="SpecialBold"/>
              </w:rPr>
              <w:t>Weightin</w:t>
            </w:r>
            <w:r w:rsidRPr="002D2FA0">
              <w:rPr>
                <w:rStyle w:val="SpecialBold"/>
              </w:rPr>
              <w:t>g Points</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UEECD0007</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Apply work health and safety regulations, codes and practices in the workplace</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UEECD0016</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Document and apply measures to control WHS risks associated with electrotechnology work*</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UEECD0019</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Fabricate, assemble and dismantle utilities industry components*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UEECD0043</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Solve problems in direct current circuits*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80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UEECO0007</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Participate in electronics and communications work and competency development activities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60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UEEEC0028</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Fault find and re</w:t>
            </w:r>
            <w:r w:rsidRPr="002D2FA0">
              <w:t>pair complex power supplies*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UEEEC0060</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Repairs basic electronic apparatus faults by replacement of components*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UEEEC0063</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Solve fundamental electronic communications system problems*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UEEEC0066</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Troubleshoot amplifiers in an electronic apparatus*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80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UEEEC0067</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Troubleshoot basic amplifier circuits*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UEEEC0069</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Troubleshoot digital sub-systems*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80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UEEEC0074</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Troubleshoot resonance circuits in an electronic apparatus*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80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UEEEC0075</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Troubleshoot single phase input d.c power supplies*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UEERE0001</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Apply environmentally and sustainable procedures in the energy sector</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7444" w:type="dxa"/>
            <w:gridSpan w:val="2"/>
            <w:tcBorders>
              <w:top w:val="nil"/>
              <w:left w:val="nil"/>
              <w:bottom w:val="nil"/>
              <w:right w:val="nil"/>
            </w:tcBorders>
            <w:tcMar>
              <w:top w:w="0" w:type="dxa"/>
              <w:left w:w="62" w:type="dxa"/>
              <w:bottom w:w="0" w:type="dxa"/>
              <w:right w:w="62" w:type="dxa"/>
            </w:tcMar>
          </w:tcPr>
          <w:p w:rsidR="00000000" w:rsidRPr="002D2FA0" w:rsidP="002D2FA0">
            <w:pPr>
              <w:pStyle w:val="BodyText"/>
            </w:pPr>
            <w:r w:rsidRPr="002D2FA0">
              <w:rPr>
                <w:rStyle w:val="SpecialBold"/>
              </w:rPr>
              <w:t>Group A: Imported and common elective units.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rPr>
                <w:rStyle w:val="SpecialBold"/>
              </w:rPr>
              <w:t>Weighting Points</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BSBOPS203</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Deliver a service to customers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HLTAID011</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Provide First Aid</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10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ICTICT214</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Operate application software packages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ICTTEN312</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Install telecommunications network equipment</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MSS402003</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Apply competitive systems and practices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MSS402022</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Apply quick changeover procedures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MSS402023</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Apply Just in Time procedures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MSS402042</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Apply 5S procedures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MSS402084</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Undertake root cause analysis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MSS402085</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Contribute to the application of a proactive maintenance strategy</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UEEAS0001</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Assemble electronic components*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UEEAS0002</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Conduct quality and functional tests on assembled electronic apparatus*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UEEAS0003</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Modify electronic sub-assemblies*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UEEAS0004</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Select electronic components for assembly*</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UEEAS0005</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Set up and check electronic component assembly machines*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UEEAS0006</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Use lead-free soldering techniques*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UEECD0008</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Carry out preparatory energy sector work activities*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60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UEECD0011</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Comply with scheduled and preventative maintenance program processes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UEECD0020</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Fix and secure electrotechnology equipment*</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UEECD0021</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Identify and select components, accessories and materials for energy sector work activities*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UEECD0025</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Lay wiring/cabling and terminate accessories for extra-low voltage (ELV) circuits*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UEECD0028</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Plan an integrated cabling installation system*</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UEECD0035</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Provide basic instruction in the use of electrotechnology apparatus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UEECD0040</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Solve basic problems electronic and digital equipment and circuits*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80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UEECD0051</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Use drawings, diagrams, schedu</w:t>
            </w:r>
            <w:r w:rsidRPr="002D2FA0">
              <w:t>les, standards, codes and specifications*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UEECO0002</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Maintain documentation</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UEECO0015</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Provide quotations for installation or service jobs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UEECO0017</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Source and purchase material/parts for installation or service jobs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UEEEC0046</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Operate and maintain amateur radio communication stations*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UEECS0003</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Assemble, set up and test computing devices*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80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UEECS0018</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Develop web pages for engineering applications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UEECS0020</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Evaluate and modify object-oriented code programs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UEECS0022</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Install and configure a client computer operating system and software</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UEECS0028</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Select, install, configure and test multimedia components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UEECS0029</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Set up and configure basic local area network (LAN)*</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80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UEECS0030</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Set up, configure and test biome</w:t>
            </w:r>
            <w:r w:rsidRPr="002D2FA0">
              <w:t>tric devices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UEECS0032</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Support computer hardware and software for engineering applications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120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UEECS0033</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Use engineering applications software on personal computers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UEEDV0004</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Install and connect data and voice communication equipment*</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UEEDV0005</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Install and maintain cabling for multiple access to telecommunication services*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80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UEEDV0006</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Install and modify optical fibre performance data communication cabling*</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UEEDV0008</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Install, modify and verify coaxial and structured communication c</w:t>
            </w:r>
            <w:r w:rsidRPr="002D2FA0">
              <w:t>opper cabling*</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UEEDV0009</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Select and arrange data and voice equipment for local area networks*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UEEDV0010</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Select and arrange equipment for wireless communication networks*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UEEDV0011</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Set up and configure basic data communication systems*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UEEDV0012</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Set up and configure the wireless capabilities of communications and data storage devices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UEEDV0013</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Solve problems in voice and data communications circuits*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UEEDV0014</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Test, report and rectify faults in data and voice installations*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UEEEC0002</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Assemble and install reception antennae and signal distribution equipment*</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60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UEEEC0003</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Assemble and set up basic security systems*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80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UEEEC0004</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Assemble and set up fixed video/audio components and systems in buildings and premises*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120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w:t>
            </w:r>
            <w:r w:rsidRPr="002D2FA0">
              <w:t>006</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Carry out repairs of predictable faults in video and audio replay/recording apparatus*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120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UEEEC0008</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Commission large fire protection systems*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UEEEC0019</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Develop software solutions for microcontroller-based systems*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60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UEEEC0026</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Enter and verify programs for fire protection systems*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UEEEC0027</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Enter instructions and test wired and wireless security systems*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UEEEC0029</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Fault find and repair electronic apparatus*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UEEEC0032</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Fault find and repair high-volume office equipment</w:t>
            </w:r>
            <w:r w:rsidRPr="002D2FA0">
              <w:t>*</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120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UEEEC0038</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Find and repair microwave amplifier section faults in electronic apparatus*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UEEEC0039</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Install and test microwave antennae and waveguides*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60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UEEEC0040</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Install commercial video/audio system components*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120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UEEEC0041</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Install fire detection and warning system apparatus*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UEEEC0042</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Install large security systems*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100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UEEEC0048</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Program and commission commercial access control security systems*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60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UEEEC0049</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 xml:space="preserve">Program and commission commercial security closed-circuit </w:t>
            </w:r>
            <w:r w:rsidRPr="002D2FA0">
              <w:t>tel</w:t>
            </w:r>
            <w:r w:rsidRPr="002D2FA0">
              <w:t>evision systems*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60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UEEEC0050</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Program and commission commercial security systems*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60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UEEEC0055</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Repair basic computer equipment faults by replacement of modules/sub-assemblies*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UEEEC0056</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Repair predictable faults in audio components*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UEEEC0057</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Repair predictable faults in general electronic apparatus*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UEEEC0058</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Repair predictable faults in television receivers*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120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UEEEC0059</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Repair routine business equipment faults*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120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UEEEC0061</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Set up and adjust commercial radio frequency (RF) transmission and reception systems*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60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UEEEC0062</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Set up and test residential video/audio equipment*</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UEEEC0064</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Solve oscillator problems*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UEEEC0065</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Solve problems in basic electronic circuits*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100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UEEEC0068</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Troubleshoot communication systems*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80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UEEEC0070</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Troubleshoot faults in television receivers*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120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UEEEC0071</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Troubleshoot fire protection systems*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UEEEC0072</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Troubleshoot microcontroller-based hardware systems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UEEEC0073</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Troubleshoot professional audio reproduction components*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120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UEEEC0076</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Verify compliance and functionality of fire protection system installations*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60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UEEEC0077</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Verify functionality and compliance of custom electronic installations*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UEEIC0002</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Assemble, enter and verify operating instructions in microprocessor equipped devices*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UEEIC0004</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Calibrate, adjust and test measuring instruments*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UEEIC0012</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Develop structured programs to control external devices*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UEEIC0013</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Develop, enter and ve</w:t>
            </w:r>
            <w:r w:rsidRPr="002D2FA0">
              <w:t>rify discrete control programs for programmable controllers*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60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UEEIC0047</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Use instrumentation drawings, specifications, standards and equipment manuals*</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40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UEERL0001</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Attach cords and plugs to electrical equipment for connection to a single phase 230 Volt</w:t>
            </w:r>
            <w:r w:rsidRPr="002D2FA0">
              <w:t xml:space="preserve"> supply*</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UEERL0002</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Attach cords, cables and plugs to electrical equipment for connection to 1000 V a.c. or 1500 V d.c.*</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20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UEERL0004</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Disconnect - reconnect electrical equipment connected to low voltage (LV) installation wiring*</w:t>
            </w:r>
          </w:p>
        </w:tc>
        <w:tc>
          <w:tcPr>
            <w:tcW w:w="2053"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60</w:t>
            </w:r>
          </w:p>
        </w:tc>
      </w:tr>
      <w:tr w:rsidTr="002D2FA0">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UEERL0005</w:t>
            </w:r>
          </w:p>
        </w:tc>
        <w:tc>
          <w:tcPr>
            <w:tcW w:w="5720" w:type="dxa"/>
            <w:tcBorders>
              <w:top w:val="nil"/>
              <w:left w:val="nil"/>
              <w:bottom w:val="nil"/>
              <w:right w:val="nil"/>
            </w:tcBorders>
            <w:tcMar>
              <w:top w:w="0" w:type="dxa"/>
              <w:left w:w="62" w:type="dxa"/>
              <w:bottom w:w="0" w:type="dxa"/>
              <w:right w:w="62" w:type="dxa"/>
            </w:tcMar>
          </w:tcPr>
          <w:p w:rsidR="00000000" w:rsidP="002D2FA0">
            <w:pPr>
              <w:pStyle w:val="BodyText"/>
              <w:rPr>
                <w:lang w:val="en-NZ"/>
              </w:rPr>
            </w:pPr>
            <w:r w:rsidRPr="002D2FA0">
              <w:t>Locate and rectify faults in low voltage (LV) electrical equipment using set procedures*</w:t>
            </w:r>
          </w:p>
        </w:tc>
        <w:tc>
          <w:tcPr>
            <w:tcW w:w="2053" w:type="dxa"/>
            <w:tcBorders>
              <w:top w:val="nil"/>
              <w:left w:val="nil"/>
              <w:bottom w:val="nil"/>
              <w:right w:val="nil"/>
            </w:tcBorders>
            <w:tcMar>
              <w:top w:w="0" w:type="dxa"/>
              <w:left w:w="62" w:type="dxa"/>
              <w:bottom w:w="0" w:type="dxa"/>
              <w:right w:w="62" w:type="dxa"/>
            </w:tcMar>
          </w:tcPr>
          <w:p w:rsidR="00000000" w:rsidRPr="002D2FA0" w:rsidP="002D2FA0">
            <w:pPr>
              <w:pStyle w:val="BodyText"/>
            </w:pPr>
            <w:r w:rsidRPr="002D2FA0">
              <w:t>20</w:t>
            </w:r>
          </w:p>
        </w:tc>
      </w:tr>
    </w:tbl>
    <w:p w:rsidR="00000000" w:rsidRPr="002D2FA0" w:rsidP="002D2FA0">
      <w:pPr>
        <w:pStyle w:val="NoPaddingFontSize1"/>
      </w:pPr>
    </w:p>
    <w:p w:rsidR="00000000" w:rsidRPr="002D2FA0" w:rsidP="002D2FA0">
      <w:pPr>
        <w:pStyle w:val="AllowPageBreak"/>
      </w:pPr>
    </w:p>
    <w:p w:rsidR="00000000" w:rsidRPr="002D2FA0" w:rsidP="002D2FA0">
      <w:pPr>
        <w:pStyle w:val="Heading1"/>
      </w:pPr>
      <w:bookmarkStart w:id="5" w:name="O_1281199"/>
      <w:bookmarkEnd w:id="5"/>
      <w:r w:rsidRPr="002D2FA0">
        <w:t>Qualification Mapping Information</w:t>
      </w:r>
    </w:p>
    <w:tbl>
      <w:tblPr>
        <w:tblW w:w="9497" w:type="dxa"/>
        <w:tblLayout w:type="fixed"/>
        <w:tblCellMar>
          <w:left w:w="62" w:type="dxa"/>
          <w:right w:w="62" w:type="dxa"/>
        </w:tblCellMar>
        <w:tblLook w:val="0000"/>
      </w:tblPr>
      <w:tblGrid>
        <w:gridCol w:w="9497"/>
      </w:tblGrid>
      <w:tr w:rsidTr="002D2FA0">
        <w:tblPrEx>
          <w:tblW w:w="9497" w:type="dxa"/>
          <w:tblLayout w:type="fixed"/>
          <w:tblCellMar>
            <w:left w:w="62" w:type="dxa"/>
            <w:right w:w="62" w:type="dxa"/>
          </w:tblCellMar>
          <w:tblLook w:val="0000"/>
        </w:tblPrEx>
        <w:trPr>
          <w:trHeight w:val="560"/>
        </w:trPr>
        <w:tc>
          <w:tcPr>
            <w:tcW w:w="9497" w:type="dxa"/>
            <w:tcBorders>
              <w:top w:val="nil"/>
              <w:left w:val="nil"/>
              <w:bottom w:val="nil"/>
              <w:right w:val="nil"/>
            </w:tcBorders>
            <w:tcMar>
              <w:top w:w="0" w:type="dxa"/>
              <w:left w:w="62" w:type="dxa"/>
              <w:bottom w:w="0" w:type="dxa"/>
              <w:right w:w="62" w:type="dxa"/>
            </w:tcMar>
          </w:tcPr>
          <w:p w:rsidR="00000000" w:rsidRPr="002D2FA0" w:rsidP="002D2FA0">
            <w:pPr>
              <w:pStyle w:val="BodyText"/>
            </w:pPr>
            <w:r w:rsidRPr="002D2FA0">
              <w:t>This qualification replaces and is equivalent to UEE30911 Certificate III in Electronics and Communications</w:t>
            </w:r>
          </w:p>
        </w:tc>
      </w:tr>
    </w:tbl>
    <w:p w:rsidR="00000000" w:rsidRPr="002D2FA0" w:rsidP="002D2FA0">
      <w:pPr>
        <w:pStyle w:val="NoPaddingFontSize1"/>
      </w:pPr>
    </w:p>
    <w:p w:rsidR="00000000" w:rsidRPr="002D2FA0" w:rsidP="002D2FA0">
      <w:pPr>
        <w:pStyle w:val="AllowPageBreak"/>
      </w:pPr>
    </w:p>
    <w:p w:rsidR="00000000" w:rsidRPr="002D2FA0" w:rsidP="002D2FA0">
      <w:pPr>
        <w:pStyle w:val="Heading1"/>
      </w:pPr>
      <w:bookmarkStart w:id="6" w:name="O_1281204"/>
      <w:bookmarkEnd w:id="6"/>
      <w:r w:rsidRPr="002D2FA0">
        <w:t>Links</w:t>
      </w:r>
    </w:p>
    <w:p w:rsidR="00000000" w:rsidRPr="002D2FA0" w:rsidP="006F39BE">
      <w:pPr>
        <w:pStyle w:val="BodyText"/>
      </w:pPr>
      <w:r w:rsidRPr="002D2FA0">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86FB6">
        <w:rPr>
          <w:rStyle w:val="Hyperlink"/>
        </w:rPr>
        <w:t>https://vetnet.gov.au/Pages/TrainingDocs.aspx?q=b8a8f136-5421-4ce1-92e0-2b50341431b6</w:t>
      </w:r>
      <w:r>
        <w:fldChar w:fldCharType="end"/>
      </w:r>
    </w:p>
    <w:p w:rsidR="00000000" w:rsidRPr="002D2FA0" w:rsidP="002D2FA0"/>
    <w:sectPr w:rsidSect="002D2F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A0" w:rsidRPr="006F39BE" w:rsidP="006F39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9BE" w:rsidP="002D2F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F39BE" w:rsidP="002D2FA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F39BE" w:rsidP="002D2F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9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2FA0" w:rsidRPr="006F39BE" w:rsidP="006F39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9BE" w:rsidRPr="002D2AF8" w:rsidP="002D2FA0">
    <w:pPr>
      <w:pStyle w:val="Header"/>
      <w:framePr w:wrap="around"/>
    </w:pPr>
    <w:r>
      <w:fldChar w:fldCharType="begin"/>
    </w:r>
    <w:r>
      <w:instrText xml:space="preserve"> TITLE   \* MERGEFORMAT </w:instrText>
    </w:r>
    <w:r>
      <w:fldChar w:fldCharType="separate"/>
    </w:r>
    <w:r>
      <w:t>UEE30920 Certificate III in Electronics and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6F39BE" w:rsidP="002D2F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F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2FA0"/>
    <w:pPr>
      <w:spacing w:before="360" w:after="60"/>
      <w:outlineLvl w:val="0"/>
    </w:pPr>
    <w:rPr>
      <w:sz w:val="32"/>
    </w:rPr>
  </w:style>
  <w:style w:type="paragraph" w:styleId="Heading2">
    <w:name w:val="heading 2"/>
    <w:basedOn w:val="HeadingBase"/>
    <w:next w:val="BodyText"/>
    <w:link w:val="Heading2Char"/>
    <w:qFormat/>
    <w:rsid w:val="002D2FA0"/>
    <w:pPr>
      <w:keepLines/>
      <w:spacing w:before="240" w:after="120"/>
      <w:outlineLvl w:val="1"/>
    </w:pPr>
    <w:rPr>
      <w:sz w:val="28"/>
      <w:szCs w:val="40"/>
    </w:rPr>
  </w:style>
  <w:style w:type="paragraph" w:styleId="Heading3">
    <w:name w:val="heading 3"/>
    <w:basedOn w:val="HeadingBase"/>
    <w:next w:val="BodyText"/>
    <w:link w:val="Heading3Char"/>
    <w:qFormat/>
    <w:rsid w:val="002D2FA0"/>
    <w:pPr>
      <w:spacing w:before="180" w:after="120"/>
      <w:outlineLvl w:val="2"/>
    </w:pPr>
    <w:rPr>
      <w:spacing w:val="-10"/>
      <w:kern w:val="32"/>
    </w:rPr>
  </w:style>
  <w:style w:type="paragraph" w:styleId="Heading4">
    <w:name w:val="heading 4"/>
    <w:basedOn w:val="HeadingBase"/>
    <w:next w:val="BodyText"/>
    <w:link w:val="Heading4Char"/>
    <w:qFormat/>
    <w:rsid w:val="002D2FA0"/>
    <w:pPr>
      <w:spacing w:before="160" w:after="120"/>
      <w:outlineLvl w:val="3"/>
    </w:pPr>
    <w:rPr>
      <w:sz w:val="22"/>
    </w:rPr>
  </w:style>
  <w:style w:type="paragraph" w:styleId="Heading5">
    <w:name w:val="heading 5"/>
    <w:basedOn w:val="HeadingBase"/>
    <w:next w:val="Normal"/>
    <w:link w:val="Heading5Char"/>
    <w:qFormat/>
    <w:rsid w:val="002D2FA0"/>
    <w:pPr>
      <w:spacing w:before="80"/>
      <w:outlineLvl w:val="4"/>
    </w:pPr>
    <w:rPr>
      <w:color w:val="918585"/>
      <w:sz w:val="20"/>
    </w:rPr>
  </w:style>
  <w:style w:type="paragraph" w:styleId="Heading6">
    <w:name w:val="heading 6"/>
    <w:basedOn w:val="HeadingBase"/>
    <w:next w:val="Normal"/>
    <w:link w:val="Heading6Char"/>
    <w:qFormat/>
    <w:rsid w:val="002D2FA0"/>
    <w:pPr>
      <w:spacing w:before="60"/>
      <w:outlineLvl w:val="5"/>
    </w:pPr>
    <w:rPr>
      <w:color w:val="918585"/>
      <w:sz w:val="20"/>
    </w:rPr>
  </w:style>
  <w:style w:type="paragraph" w:styleId="Heading7">
    <w:name w:val="heading 7"/>
    <w:basedOn w:val="Normal"/>
    <w:next w:val="Normal"/>
    <w:link w:val="Heading7Char"/>
    <w:qFormat/>
    <w:rsid w:val="002D2FA0"/>
    <w:pPr>
      <w:ind w:left="720"/>
      <w:outlineLvl w:val="6"/>
    </w:pPr>
    <w:rPr>
      <w:i/>
    </w:rPr>
  </w:style>
  <w:style w:type="paragraph" w:styleId="Heading8">
    <w:name w:val="heading 8"/>
    <w:basedOn w:val="Normal"/>
    <w:next w:val="Normal"/>
    <w:link w:val="Heading8Char"/>
    <w:qFormat/>
    <w:rsid w:val="002D2FA0"/>
    <w:pPr>
      <w:ind w:left="720"/>
      <w:outlineLvl w:val="7"/>
    </w:pPr>
    <w:rPr>
      <w:i/>
    </w:rPr>
  </w:style>
  <w:style w:type="paragraph" w:styleId="Heading9">
    <w:name w:val="heading 9"/>
    <w:basedOn w:val="Normal"/>
    <w:next w:val="Normal"/>
    <w:link w:val="Heading9Char"/>
    <w:qFormat/>
    <w:rsid w:val="002D2FA0"/>
    <w:pPr>
      <w:ind w:left="720"/>
      <w:outlineLvl w:val="8"/>
    </w:pPr>
    <w:rPr>
      <w:i/>
    </w:rPr>
  </w:style>
  <w:style w:type="character" w:default="1" w:styleId="DefaultParagraphFont">
    <w:name w:val="Default Paragraph Font"/>
    <w:uiPriority w:val="1"/>
    <w:unhideWhenUsed/>
    <w:rsid w:val="002D2F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FA0"/>
  </w:style>
  <w:style w:type="character" w:customStyle="1" w:styleId="Heading1Char">
    <w:name w:val="Heading 1 Char"/>
    <w:basedOn w:val="DefaultParagraphFont"/>
    <w:link w:val="Heading1"/>
    <w:rsid w:val="002D2FA0"/>
    <w:rPr>
      <w:rFonts w:ascii="Times New Roman" w:eastAsia="Times New Roman" w:hAnsi="Times New Roman" w:cs="Times New Roman"/>
      <w:b/>
      <w:sz w:val="32"/>
      <w:szCs w:val="20"/>
      <w:lang w:eastAsia="en-US"/>
    </w:rPr>
  </w:style>
  <w:style w:type="paragraph" w:styleId="BodyText">
    <w:name w:val="Body Text"/>
    <w:basedOn w:val="Normal"/>
    <w:link w:val="BodyTextChar"/>
    <w:rsid w:val="002D2F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2FA0"/>
    <w:rPr>
      <w:rFonts w:ascii="Times New Roman" w:eastAsia="Times New Roman" w:hAnsi="Times New Roman" w:cs="Times New Roman"/>
      <w:sz w:val="24"/>
      <w:lang w:eastAsia="en-US"/>
    </w:rPr>
  </w:style>
  <w:style w:type="character" w:customStyle="1" w:styleId="SpecialBold">
    <w:name w:val="Special Bold"/>
    <w:basedOn w:val="DefaultParagraphFont"/>
    <w:rsid w:val="002D2FA0"/>
    <w:rPr>
      <w:b/>
      <w:spacing w:val="0"/>
    </w:rPr>
  </w:style>
  <w:style w:type="paragraph" w:customStyle="1" w:styleId="SuperHeading">
    <w:name w:val="SuperHeading"/>
    <w:basedOn w:val="Normal"/>
    <w:rsid w:val="002D2FA0"/>
    <w:pPr>
      <w:spacing w:before="240" w:after="120"/>
      <w:outlineLvl w:val="0"/>
    </w:pPr>
    <w:rPr>
      <w:rFonts w:ascii="Times New Roman" w:hAnsi="Times New Roman"/>
      <w:b/>
      <w:sz w:val="32"/>
    </w:rPr>
  </w:style>
  <w:style w:type="paragraph" w:customStyle="1" w:styleId="AllowPageBreak">
    <w:name w:val="AllowPageBreak"/>
    <w:rsid w:val="002D2F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2F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F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2F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2F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F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F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2F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2FA0"/>
    <w:rPr>
      <w:rFonts w:ascii="Courier New" w:eastAsia="Times New Roman" w:hAnsi="Courier New" w:cs="Times New Roman"/>
      <w:i/>
      <w:szCs w:val="20"/>
      <w:lang w:eastAsia="en-US"/>
    </w:rPr>
  </w:style>
  <w:style w:type="paragraph" w:customStyle="1" w:styleId="HeadingBase">
    <w:name w:val="Heading Base"/>
    <w:rsid w:val="002D2F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FA0"/>
    <w:pPr>
      <w:tabs>
        <w:tab w:val="right" w:leader="dot" w:pos="9072"/>
      </w:tabs>
      <w:ind w:left="567"/>
    </w:pPr>
    <w:rPr>
      <w:szCs w:val="22"/>
    </w:rPr>
  </w:style>
  <w:style w:type="paragraph" w:customStyle="1" w:styleId="TOCBase">
    <w:name w:val="TOC Base"/>
    <w:rsid w:val="002D2F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FA0"/>
    <w:pPr>
      <w:tabs>
        <w:tab w:val="right" w:leader="dot" w:pos="9072"/>
      </w:tabs>
      <w:spacing w:before="40" w:after="40"/>
      <w:ind w:left="284"/>
    </w:pPr>
    <w:rPr>
      <w:rFonts w:ascii="Times New Roman" w:hAnsi="Times New Roman"/>
    </w:rPr>
  </w:style>
  <w:style w:type="paragraph" w:styleId="TOC1">
    <w:name w:val="toc 1"/>
    <w:basedOn w:val="TOCBase"/>
    <w:next w:val="Normal"/>
    <w:rsid w:val="002D2F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2F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FA0"/>
    <w:rPr>
      <w:rFonts w:ascii="Times New Roman" w:eastAsia="Times New Roman" w:hAnsi="Times New Roman" w:cs="Times New Roman"/>
      <w:sz w:val="16"/>
      <w:lang w:eastAsia="en-US"/>
    </w:rPr>
  </w:style>
  <w:style w:type="paragraph" w:styleId="Title">
    <w:name w:val="Title"/>
    <w:basedOn w:val="HeadingBase"/>
    <w:link w:val="TitleChar"/>
    <w:qFormat/>
    <w:rsid w:val="002D2FA0"/>
    <w:pPr>
      <w:spacing w:before="5040"/>
      <w:jc w:val="center"/>
    </w:pPr>
    <w:rPr>
      <w:sz w:val="48"/>
      <w:szCs w:val="72"/>
      <w:lang w:val="en-US"/>
    </w:rPr>
  </w:style>
  <w:style w:type="character" w:customStyle="1" w:styleId="TitleChar">
    <w:name w:val="Title Char"/>
    <w:basedOn w:val="DefaultParagraphFont"/>
    <w:link w:val="Title"/>
    <w:rsid w:val="002D2F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FA0"/>
    <w:pPr>
      <w:tabs>
        <w:tab w:val="left" w:pos="3600"/>
        <w:tab w:val="left" w:pos="3958"/>
      </w:tabs>
    </w:pPr>
  </w:style>
  <w:style w:type="paragraph" w:styleId="List">
    <w:name w:val="List"/>
    <w:basedOn w:val="BodyText"/>
    <w:next w:val="BodyText"/>
    <w:rsid w:val="002D2FA0"/>
    <w:pPr>
      <w:tabs>
        <w:tab w:val="left" w:pos="340"/>
      </w:tabs>
      <w:spacing w:before="60" w:after="60"/>
      <w:ind w:left="340" w:hanging="340"/>
    </w:pPr>
  </w:style>
  <w:style w:type="paragraph" w:styleId="ListBullet">
    <w:name w:val="List Bullet"/>
    <w:basedOn w:val="List"/>
    <w:rsid w:val="002D2FA0"/>
    <w:pPr>
      <w:numPr>
        <w:numId w:val="10"/>
      </w:numPr>
      <w:tabs>
        <w:tab w:val="clear" w:pos="340"/>
      </w:tabs>
      <w:spacing w:before="40" w:after="40"/>
    </w:pPr>
  </w:style>
  <w:style w:type="paragraph" w:customStyle="1" w:styleId="Note">
    <w:name w:val="Note"/>
    <w:basedOn w:val="BodyText"/>
    <w:rsid w:val="002D2F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2FA0"/>
    <w:pPr>
      <w:framePr w:wrap="auto" w:hAnchor="text" w:y="6049"/>
    </w:pPr>
    <w:rPr>
      <w:color w:val="000000"/>
      <w:sz w:val="40"/>
    </w:rPr>
  </w:style>
  <w:style w:type="paragraph" w:customStyle="1" w:styleId="TOCTitle">
    <w:name w:val="TOCTitle"/>
    <w:basedOn w:val="Heading1"/>
    <w:rsid w:val="002D2FA0"/>
    <w:pPr>
      <w:spacing w:after="240"/>
      <w:jc w:val="center"/>
      <w:outlineLvl w:val="9"/>
    </w:pPr>
    <w:rPr>
      <w:caps/>
    </w:rPr>
  </w:style>
  <w:style w:type="paragraph" w:customStyle="1" w:styleId="Version">
    <w:name w:val="Version"/>
    <w:rsid w:val="002D2F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2FA0"/>
    <w:pPr>
      <w:numPr>
        <w:numId w:val="11"/>
      </w:numPr>
      <w:tabs>
        <w:tab w:val="clear" w:pos="680"/>
      </w:tabs>
    </w:pPr>
  </w:style>
  <w:style w:type="paragraph" w:styleId="Index1">
    <w:name w:val="index 1"/>
    <w:basedOn w:val="Normal"/>
    <w:next w:val="Normal"/>
    <w:semiHidden/>
    <w:rsid w:val="002D2FA0"/>
    <w:pPr>
      <w:keepNext w:val="0"/>
      <w:tabs>
        <w:tab w:val="right" w:pos="4176"/>
      </w:tabs>
      <w:ind w:left="198" w:hanging="198"/>
    </w:pPr>
    <w:rPr>
      <w:rFonts w:ascii="Garamond" w:hAnsi="Garamond"/>
    </w:rPr>
  </w:style>
  <w:style w:type="paragraph" w:styleId="IndexHeading">
    <w:name w:val="index heading"/>
    <w:basedOn w:val="Normal"/>
    <w:next w:val="Index1"/>
    <w:semiHidden/>
    <w:rsid w:val="002D2FA0"/>
    <w:pPr>
      <w:spacing w:before="120" w:after="120"/>
    </w:pPr>
    <w:rPr>
      <w:rFonts w:ascii="Arial" w:hAnsi="Arial"/>
      <w:b/>
      <w:color w:val="918585"/>
      <w:sz w:val="24"/>
    </w:rPr>
  </w:style>
  <w:style w:type="paragraph" w:styleId="Header">
    <w:name w:val="header"/>
    <w:basedOn w:val="Normal"/>
    <w:link w:val="HeaderChar"/>
    <w:rsid w:val="002D2F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FA0"/>
    <w:rPr>
      <w:rFonts w:ascii="Times New Roman" w:eastAsia="Times New Roman" w:hAnsi="Times New Roman" w:cs="Times New Roman"/>
      <w:sz w:val="16"/>
      <w:szCs w:val="20"/>
      <w:lang w:val="en-GB" w:eastAsia="en-US"/>
    </w:rPr>
  </w:style>
  <w:style w:type="paragraph" w:customStyle="1" w:styleId="Chapter">
    <w:name w:val="Chapter"/>
    <w:basedOn w:val="Normal"/>
    <w:rsid w:val="002D2FA0"/>
    <w:pPr>
      <w:spacing w:before="240"/>
    </w:pPr>
    <w:rPr>
      <w:rFonts w:ascii="Times New Roman" w:hAnsi="Times New Roman"/>
      <w:smallCaps/>
      <w:spacing w:val="80"/>
      <w:sz w:val="28"/>
    </w:rPr>
  </w:style>
  <w:style w:type="paragraph" w:customStyle="1" w:styleId="InChapter">
    <w:name w:val="InChapter"/>
    <w:basedOn w:val="Heading3"/>
    <w:rsid w:val="002D2FA0"/>
    <w:pPr>
      <w:spacing w:after="240"/>
      <w:outlineLvl w:val="9"/>
    </w:pPr>
    <w:rPr>
      <w:noProof/>
    </w:rPr>
  </w:style>
  <w:style w:type="paragraph" w:styleId="Index2">
    <w:name w:val="index 2"/>
    <w:basedOn w:val="Normal"/>
    <w:next w:val="Normal"/>
    <w:semiHidden/>
    <w:rsid w:val="002D2FA0"/>
    <w:pPr>
      <w:tabs>
        <w:tab w:val="right" w:pos="4176"/>
      </w:tabs>
      <w:ind w:left="568" w:hanging="284"/>
    </w:pPr>
    <w:rPr>
      <w:rFonts w:ascii="Garamond" w:hAnsi="Garamond"/>
    </w:rPr>
  </w:style>
  <w:style w:type="paragraph" w:customStyle="1" w:styleId="Byline">
    <w:name w:val="Byline"/>
    <w:rsid w:val="002D2F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FA0"/>
    <w:pPr>
      <w:tabs>
        <w:tab w:val="clear" w:pos="3600"/>
        <w:tab w:val="clear" w:pos="3958"/>
      </w:tabs>
      <w:jc w:val="right"/>
    </w:pPr>
  </w:style>
  <w:style w:type="character" w:styleId="Emphasis">
    <w:name w:val="Emphasis"/>
    <w:basedOn w:val="DefaultParagraphFont"/>
    <w:qFormat/>
    <w:rsid w:val="002D2FA0"/>
    <w:rPr>
      <w:i/>
    </w:rPr>
  </w:style>
  <w:style w:type="paragraph" w:styleId="Caption">
    <w:name w:val="caption"/>
    <w:basedOn w:val="BodyText"/>
    <w:next w:val="Normal"/>
    <w:qFormat/>
    <w:rsid w:val="002D2FA0"/>
    <w:pPr>
      <w:framePr w:w="2268" w:hSpace="181" w:vSpace="181" w:wrap="around" w:vAnchor="text" w:hAnchor="page" w:x="1135" w:y="285" w:anchorLock="1"/>
    </w:pPr>
    <w:rPr>
      <w:i/>
    </w:rPr>
  </w:style>
  <w:style w:type="paragraph" w:customStyle="1" w:styleId="MiniTOCTitle">
    <w:name w:val="MiniTOCTitle"/>
    <w:basedOn w:val="Heading4"/>
    <w:rsid w:val="002D2FA0"/>
    <w:pPr>
      <w:spacing w:before="240"/>
      <w:outlineLvl w:val="9"/>
    </w:pPr>
    <w:rPr>
      <w:noProof/>
      <w:sz w:val="24"/>
    </w:rPr>
  </w:style>
  <w:style w:type="paragraph" w:customStyle="1" w:styleId="MiniTOCItem">
    <w:name w:val="MiniTOCItem"/>
    <w:basedOn w:val="ListBullet"/>
    <w:rsid w:val="002D2FA0"/>
    <w:pPr>
      <w:numPr>
        <w:numId w:val="0"/>
      </w:numPr>
      <w:tabs>
        <w:tab w:val="right" w:leader="dot" w:pos="6521"/>
      </w:tabs>
      <w:spacing w:before="0" w:after="0"/>
    </w:pPr>
  </w:style>
  <w:style w:type="paragraph" w:customStyle="1" w:styleId="TOFTitle">
    <w:name w:val="TOFTitle"/>
    <w:basedOn w:val="TOCTitle"/>
    <w:rsid w:val="002D2FA0"/>
  </w:style>
  <w:style w:type="paragraph" w:styleId="TableofFigures">
    <w:name w:val="table of figures"/>
    <w:basedOn w:val="Normal"/>
    <w:next w:val="Normal"/>
    <w:semiHidden/>
    <w:rsid w:val="002D2FA0"/>
    <w:pPr>
      <w:tabs>
        <w:tab w:val="right" w:leader="dot" w:pos="9072"/>
      </w:tabs>
      <w:ind w:left="970" w:hanging="403"/>
    </w:pPr>
    <w:rPr>
      <w:rFonts w:ascii="Times New Roman" w:hAnsi="Times New Roman"/>
      <w:b/>
    </w:rPr>
  </w:style>
  <w:style w:type="paragraph" w:styleId="ListNumber">
    <w:name w:val="List Number"/>
    <w:basedOn w:val="List"/>
    <w:rsid w:val="002D2FA0"/>
    <w:pPr>
      <w:numPr>
        <w:numId w:val="13"/>
      </w:numPr>
      <w:tabs>
        <w:tab w:val="clear" w:pos="340"/>
      </w:tabs>
    </w:pPr>
  </w:style>
  <w:style w:type="character" w:customStyle="1" w:styleId="WingdingSymbols">
    <w:name w:val="Wingding Symbols"/>
    <w:rsid w:val="002D2FA0"/>
    <w:rPr>
      <w:rFonts w:ascii="Wingdings" w:hAnsi="Wingdings"/>
    </w:rPr>
  </w:style>
  <w:style w:type="paragraph" w:customStyle="1" w:styleId="TableHeading">
    <w:name w:val="Table Heading"/>
    <w:basedOn w:val="HeadingBase"/>
    <w:rsid w:val="002D2FA0"/>
    <w:pPr>
      <w:keepLines/>
      <w:pBdr>
        <w:bottom w:val="single" w:sz="6" w:space="1" w:color="918585"/>
      </w:pBdr>
      <w:spacing w:before="240"/>
    </w:pPr>
  </w:style>
  <w:style w:type="character" w:customStyle="1" w:styleId="HotSpot">
    <w:name w:val="HotSpot"/>
    <w:rsid w:val="002D2FA0"/>
    <w:rPr>
      <w:color w:val="0033CC"/>
      <w:u w:val="none"/>
    </w:rPr>
  </w:style>
  <w:style w:type="paragraph" w:customStyle="1" w:styleId="BodyTextRight">
    <w:name w:val="Body Text Right"/>
    <w:basedOn w:val="BodyText"/>
    <w:rsid w:val="002D2FA0"/>
    <w:pPr>
      <w:spacing w:before="0" w:after="0"/>
      <w:jc w:val="right"/>
    </w:pPr>
  </w:style>
  <w:style w:type="paragraph" w:styleId="Index3">
    <w:name w:val="index 3"/>
    <w:basedOn w:val="ListNumber2"/>
    <w:next w:val="Normal"/>
    <w:semiHidden/>
    <w:rsid w:val="002D2FA0"/>
    <w:pPr>
      <w:numPr>
        <w:numId w:val="0"/>
      </w:numPr>
      <w:tabs>
        <w:tab w:val="right" w:leader="dot" w:pos="4176"/>
      </w:tabs>
    </w:pPr>
  </w:style>
  <w:style w:type="paragraph" w:styleId="ListNumber2">
    <w:name w:val="List Number 2"/>
    <w:basedOn w:val="List2"/>
    <w:rsid w:val="002D2FA0"/>
    <w:pPr>
      <w:numPr>
        <w:numId w:val="8"/>
      </w:numPr>
      <w:tabs>
        <w:tab w:val="clear" w:pos="1060"/>
      </w:tabs>
    </w:pPr>
  </w:style>
  <w:style w:type="paragraph" w:customStyle="1" w:styleId="MarginNote">
    <w:name w:val="Margin Note"/>
    <w:basedOn w:val="BodyText"/>
    <w:rsid w:val="002D2F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F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F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2FA0"/>
    <w:rPr>
      <w:sz w:val="32"/>
    </w:rPr>
  </w:style>
  <w:style w:type="paragraph" w:customStyle="1" w:styleId="HeadingProcedure">
    <w:name w:val="Heading Procedure"/>
    <w:basedOn w:val="HeadingBase"/>
    <w:next w:val="Normal"/>
    <w:rsid w:val="002D2FA0"/>
    <w:pPr>
      <w:tabs>
        <w:tab w:val="left" w:pos="0"/>
      </w:tabs>
      <w:spacing w:before="120" w:after="60"/>
    </w:pPr>
    <w:rPr>
      <w:i/>
      <w:color w:val="918585"/>
      <w:sz w:val="22"/>
    </w:rPr>
  </w:style>
  <w:style w:type="paragraph" w:customStyle="1" w:styleId="TableBodyText">
    <w:name w:val="Table Body Text"/>
    <w:basedOn w:val="BodyText"/>
    <w:rsid w:val="002D2FA0"/>
    <w:pPr>
      <w:spacing w:before="60" w:after="60"/>
    </w:pPr>
  </w:style>
  <w:style w:type="paragraph" w:styleId="ListContinue">
    <w:name w:val="List Continue"/>
    <w:basedOn w:val="List"/>
    <w:rsid w:val="002D2FA0"/>
    <w:pPr>
      <w:ind w:firstLine="0"/>
    </w:pPr>
  </w:style>
  <w:style w:type="paragraph" w:customStyle="1" w:styleId="ListNote">
    <w:name w:val="List Note"/>
    <w:basedOn w:val="List"/>
    <w:rsid w:val="002D2FA0"/>
    <w:pPr>
      <w:pBdr>
        <w:top w:val="single" w:sz="6" w:space="2" w:color="918585"/>
        <w:bottom w:val="single" w:sz="6" w:space="2" w:color="918585"/>
      </w:pBdr>
      <w:tabs>
        <w:tab w:val="left" w:pos="1021"/>
      </w:tabs>
      <w:ind w:firstLine="0"/>
    </w:pPr>
  </w:style>
  <w:style w:type="paragraph" w:customStyle="1" w:styleId="Warning">
    <w:name w:val="Warning"/>
    <w:basedOn w:val="BodyText"/>
    <w:rsid w:val="002D2FA0"/>
    <w:pPr>
      <w:shd w:val="clear" w:color="auto" w:fill="D9D9D9"/>
      <w:tabs>
        <w:tab w:val="left" w:pos="992"/>
      </w:tabs>
      <w:ind w:left="119" w:right="119"/>
    </w:pPr>
    <w:rPr>
      <w:sz w:val="20"/>
    </w:rPr>
  </w:style>
  <w:style w:type="paragraph" w:customStyle="1" w:styleId="MarginIcons">
    <w:name w:val="Margin Icons"/>
    <w:basedOn w:val="BodyText"/>
    <w:rsid w:val="002D2F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FA0"/>
    <w:rPr>
      <w:rFonts w:ascii="Courier New" w:hAnsi="Courier New"/>
    </w:rPr>
  </w:style>
  <w:style w:type="paragraph" w:customStyle="1" w:styleId="NoteBullet">
    <w:name w:val="Note Bullet"/>
    <w:basedOn w:val="Note"/>
    <w:rsid w:val="002D2FA0"/>
    <w:pPr>
      <w:tabs>
        <w:tab w:val="clear" w:pos="680"/>
      </w:tabs>
      <w:spacing w:before="60" w:after="60"/>
    </w:pPr>
  </w:style>
  <w:style w:type="paragraph" w:customStyle="1" w:styleId="SubHeading2">
    <w:name w:val="SubHeading2"/>
    <w:basedOn w:val="HeadingBase"/>
    <w:rsid w:val="002D2FA0"/>
    <w:pPr>
      <w:spacing w:before="240" w:after="60"/>
    </w:pPr>
    <w:rPr>
      <w:sz w:val="20"/>
    </w:rPr>
  </w:style>
  <w:style w:type="paragraph" w:customStyle="1" w:styleId="SubHeading1">
    <w:name w:val="SubHeading1"/>
    <w:basedOn w:val="HeadingBase"/>
    <w:rsid w:val="002D2FA0"/>
    <w:pPr>
      <w:spacing w:before="240" w:after="60"/>
    </w:pPr>
    <w:rPr>
      <w:color w:val="918585"/>
      <w:sz w:val="22"/>
    </w:rPr>
  </w:style>
  <w:style w:type="paragraph" w:customStyle="1" w:styleId="SideHeading">
    <w:name w:val="Side Heading"/>
    <w:basedOn w:val="HeadingBase"/>
    <w:rsid w:val="002D2F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FA0"/>
    <w:pPr>
      <w:numPr>
        <w:numId w:val="9"/>
      </w:numPr>
    </w:pPr>
  </w:style>
  <w:style w:type="paragraph" w:styleId="PlainText">
    <w:name w:val="Plain Text"/>
    <w:basedOn w:val="Normal"/>
    <w:link w:val="PlainTextChar"/>
    <w:rsid w:val="002D2FA0"/>
    <w:rPr>
      <w:sz w:val="20"/>
    </w:rPr>
  </w:style>
  <w:style w:type="character" w:customStyle="1" w:styleId="PlainTextChar">
    <w:name w:val="Plain Text Char"/>
    <w:basedOn w:val="DefaultParagraphFont"/>
    <w:link w:val="PlainText"/>
    <w:rsid w:val="002D2FA0"/>
    <w:rPr>
      <w:rFonts w:ascii="Courier New" w:eastAsia="Times New Roman" w:hAnsi="Courier New" w:cs="Times New Roman"/>
      <w:sz w:val="20"/>
      <w:szCs w:val="20"/>
      <w:lang w:eastAsia="en-US"/>
    </w:rPr>
  </w:style>
  <w:style w:type="character" w:customStyle="1" w:styleId="MenuOption">
    <w:name w:val="Menu Option"/>
    <w:basedOn w:val="DefaultParagraphFont"/>
    <w:rsid w:val="002D2FA0"/>
    <w:rPr>
      <w:b/>
      <w:smallCaps/>
    </w:rPr>
  </w:style>
  <w:style w:type="paragraph" w:customStyle="1" w:styleId="TableListNumber">
    <w:name w:val="Table List Number"/>
    <w:basedOn w:val="ListNumber"/>
    <w:rsid w:val="002D2FA0"/>
    <w:pPr>
      <w:numPr>
        <w:numId w:val="0"/>
      </w:numPr>
    </w:pPr>
  </w:style>
  <w:style w:type="paragraph" w:styleId="TOC4">
    <w:name w:val="toc 4"/>
    <w:basedOn w:val="TOCBase"/>
    <w:next w:val="Normal"/>
    <w:semiHidden/>
    <w:rsid w:val="002D2FA0"/>
    <w:pPr>
      <w:tabs>
        <w:tab w:val="right" w:leader="dot" w:pos="9071"/>
      </w:tabs>
      <w:ind w:left="1701"/>
    </w:pPr>
  </w:style>
  <w:style w:type="paragraph" w:customStyle="1" w:styleId="ListAlpha">
    <w:name w:val="List Alpha"/>
    <w:basedOn w:val="List"/>
    <w:rsid w:val="002D2FA0"/>
    <w:pPr>
      <w:numPr>
        <w:numId w:val="7"/>
      </w:numPr>
    </w:pPr>
  </w:style>
  <w:style w:type="paragraph" w:customStyle="1" w:styleId="ListAlpha2">
    <w:name w:val="List Alpha 2"/>
    <w:basedOn w:val="List2"/>
    <w:rsid w:val="002D2FA0"/>
    <w:pPr>
      <w:numPr>
        <w:numId w:val="6"/>
      </w:numPr>
    </w:pPr>
  </w:style>
  <w:style w:type="paragraph" w:styleId="List2">
    <w:name w:val="List 2"/>
    <w:basedOn w:val="BodyText"/>
    <w:rsid w:val="002D2FA0"/>
    <w:pPr>
      <w:tabs>
        <w:tab w:val="left" w:pos="680"/>
      </w:tabs>
      <w:spacing w:before="60" w:after="60"/>
      <w:ind w:left="680" w:hanging="340"/>
    </w:pPr>
  </w:style>
  <w:style w:type="paragraph" w:styleId="List3">
    <w:name w:val="List 3"/>
    <w:basedOn w:val="BodyText"/>
    <w:rsid w:val="002D2FA0"/>
    <w:pPr>
      <w:tabs>
        <w:tab w:val="left" w:pos="1021"/>
      </w:tabs>
      <w:spacing w:before="60" w:after="60"/>
      <w:ind w:left="1020" w:hanging="340"/>
    </w:pPr>
  </w:style>
  <w:style w:type="paragraph" w:styleId="List4">
    <w:name w:val="List 4"/>
    <w:basedOn w:val="BodyText"/>
    <w:rsid w:val="002D2FA0"/>
    <w:pPr>
      <w:tabs>
        <w:tab w:val="left" w:pos="1361"/>
      </w:tabs>
      <w:spacing w:before="60" w:after="60"/>
      <w:ind w:left="1361" w:hanging="340"/>
    </w:pPr>
  </w:style>
  <w:style w:type="paragraph" w:styleId="List5">
    <w:name w:val="List 5"/>
    <w:basedOn w:val="BodyText"/>
    <w:rsid w:val="002D2FA0"/>
    <w:pPr>
      <w:tabs>
        <w:tab w:val="left" w:pos="1701"/>
      </w:tabs>
      <w:spacing w:before="60" w:after="60"/>
      <w:ind w:left="1701" w:hanging="340"/>
    </w:pPr>
  </w:style>
  <w:style w:type="paragraph" w:styleId="ListBullet3">
    <w:name w:val="List Bullet 3"/>
    <w:basedOn w:val="List3"/>
    <w:rsid w:val="002D2FA0"/>
    <w:pPr>
      <w:numPr>
        <w:numId w:val="12"/>
      </w:numPr>
      <w:tabs>
        <w:tab w:val="clear" w:pos="1021"/>
      </w:tabs>
      <w:ind w:left="1037" w:hanging="357"/>
    </w:pPr>
  </w:style>
  <w:style w:type="paragraph" w:styleId="ListBullet4">
    <w:name w:val="List Bullet 4"/>
    <w:basedOn w:val="List4"/>
    <w:rsid w:val="002D2FA0"/>
    <w:pPr>
      <w:numPr>
        <w:numId w:val="1"/>
      </w:numPr>
      <w:tabs>
        <w:tab w:val="clear" w:pos="1361"/>
      </w:tabs>
    </w:pPr>
  </w:style>
  <w:style w:type="paragraph" w:styleId="ListBullet5">
    <w:name w:val="List Bullet 5"/>
    <w:basedOn w:val="List5"/>
    <w:rsid w:val="002D2FA0"/>
    <w:pPr>
      <w:numPr>
        <w:numId w:val="2"/>
      </w:numPr>
    </w:pPr>
  </w:style>
  <w:style w:type="paragraph" w:styleId="ListContinue2">
    <w:name w:val="List Continue 2"/>
    <w:basedOn w:val="List2"/>
    <w:rsid w:val="002D2FA0"/>
    <w:pPr>
      <w:ind w:firstLine="0"/>
    </w:pPr>
  </w:style>
  <w:style w:type="paragraph" w:styleId="ListContinue3">
    <w:name w:val="List Continue 3"/>
    <w:basedOn w:val="List3"/>
    <w:rsid w:val="002D2FA0"/>
    <w:pPr>
      <w:ind w:left="1021" w:firstLine="0"/>
    </w:pPr>
  </w:style>
  <w:style w:type="paragraph" w:styleId="ListContinue4">
    <w:name w:val="List Continue 4"/>
    <w:basedOn w:val="List4"/>
    <w:rsid w:val="002D2FA0"/>
    <w:pPr>
      <w:ind w:firstLine="0"/>
    </w:pPr>
  </w:style>
  <w:style w:type="paragraph" w:styleId="ListContinue5">
    <w:name w:val="List Continue 5"/>
    <w:basedOn w:val="List5"/>
    <w:rsid w:val="002D2FA0"/>
    <w:pPr>
      <w:ind w:firstLine="0"/>
    </w:pPr>
  </w:style>
  <w:style w:type="paragraph" w:styleId="ListNumber3">
    <w:name w:val="List Number 3"/>
    <w:basedOn w:val="List3"/>
    <w:rsid w:val="002D2FA0"/>
    <w:pPr>
      <w:numPr>
        <w:numId w:val="3"/>
      </w:numPr>
    </w:pPr>
  </w:style>
  <w:style w:type="paragraph" w:styleId="ListNumber4">
    <w:name w:val="List Number 4"/>
    <w:basedOn w:val="List4"/>
    <w:rsid w:val="002D2FA0"/>
    <w:pPr>
      <w:numPr>
        <w:numId w:val="4"/>
      </w:numPr>
    </w:pPr>
  </w:style>
  <w:style w:type="paragraph" w:styleId="ListNumber5">
    <w:name w:val="List Number 5"/>
    <w:basedOn w:val="List5"/>
    <w:rsid w:val="002D2FA0"/>
    <w:pPr>
      <w:numPr>
        <w:numId w:val="5"/>
      </w:numPr>
    </w:pPr>
  </w:style>
  <w:style w:type="paragraph" w:styleId="BlockText">
    <w:name w:val="Block Text"/>
    <w:basedOn w:val="Normal"/>
    <w:rsid w:val="002D2FA0"/>
    <w:pPr>
      <w:spacing w:after="120"/>
      <w:ind w:left="1440" w:right="1440"/>
    </w:pPr>
  </w:style>
  <w:style w:type="character" w:customStyle="1" w:styleId="Subscript">
    <w:name w:val="Subscript"/>
    <w:basedOn w:val="DefaultParagraphFont"/>
    <w:rsid w:val="002D2FA0"/>
    <w:rPr>
      <w:sz w:val="16"/>
      <w:vertAlign w:val="subscript"/>
    </w:rPr>
  </w:style>
  <w:style w:type="character" w:customStyle="1" w:styleId="Superscript">
    <w:name w:val="Superscript"/>
    <w:basedOn w:val="DefaultParagraphFont"/>
    <w:rsid w:val="002D2FA0"/>
    <w:rPr>
      <w:sz w:val="16"/>
      <w:vertAlign w:val="superscript"/>
    </w:rPr>
  </w:style>
  <w:style w:type="character" w:customStyle="1" w:styleId="Symbols">
    <w:name w:val="Symbols"/>
    <w:basedOn w:val="DefaultParagraphFont"/>
    <w:rsid w:val="002D2FA0"/>
    <w:rPr>
      <w:rFonts w:ascii="Symbol" w:hAnsi="Symbol"/>
    </w:rPr>
  </w:style>
  <w:style w:type="character" w:customStyle="1" w:styleId="MenuOptions">
    <w:name w:val="Menu Options"/>
    <w:basedOn w:val="DefaultParagraphFont"/>
    <w:rsid w:val="002D2FA0"/>
    <w:rPr>
      <w:rFonts w:ascii="Arial Narrow" w:hAnsi="Arial Narrow"/>
      <w:smallCaps/>
    </w:rPr>
  </w:style>
  <w:style w:type="character" w:customStyle="1" w:styleId="Buttons">
    <w:name w:val="Buttons"/>
    <w:basedOn w:val="DefaultParagraphFont"/>
    <w:rsid w:val="002D2FA0"/>
    <w:rPr>
      <w:b/>
    </w:rPr>
  </w:style>
  <w:style w:type="character" w:customStyle="1" w:styleId="Underlined">
    <w:name w:val="Underlined"/>
    <w:basedOn w:val="DefaultParagraphFont"/>
    <w:rsid w:val="002D2FA0"/>
    <w:rPr>
      <w:u w:val="single"/>
    </w:rPr>
  </w:style>
  <w:style w:type="paragraph" w:customStyle="1" w:styleId="TableBodyTextRight">
    <w:name w:val="Table Body Text Right"/>
    <w:basedOn w:val="TableBodyText"/>
    <w:rsid w:val="002D2FA0"/>
    <w:pPr>
      <w:widowControl w:val="0"/>
      <w:autoSpaceDE w:val="0"/>
      <w:autoSpaceDN w:val="0"/>
      <w:adjustRightInd w:val="0"/>
      <w:jc w:val="right"/>
    </w:pPr>
    <w:rPr>
      <w:rFonts w:cs="Arial"/>
      <w:szCs w:val="18"/>
    </w:rPr>
  </w:style>
  <w:style w:type="paragraph" w:customStyle="1" w:styleId="CopyrightText">
    <w:name w:val="Copyright Text"/>
    <w:basedOn w:val="BodyText"/>
    <w:rsid w:val="002D2FA0"/>
    <w:rPr>
      <w:sz w:val="18"/>
    </w:rPr>
  </w:style>
  <w:style w:type="paragraph" w:customStyle="1" w:styleId="BodySmallRight">
    <w:name w:val="Body Small Right"/>
    <w:basedOn w:val="BodyTextRight"/>
    <w:rsid w:val="002D2FA0"/>
    <w:rPr>
      <w:sz w:val="18"/>
      <w:szCs w:val="18"/>
    </w:rPr>
  </w:style>
  <w:style w:type="paragraph" w:customStyle="1" w:styleId="MarginEdition">
    <w:name w:val="Margin Edition"/>
    <w:basedOn w:val="MarginNote"/>
    <w:rsid w:val="002D2FA0"/>
    <w:pPr>
      <w:spacing w:before="0" w:after="0"/>
    </w:pPr>
    <w:rPr>
      <w:rFonts w:ascii="Times New Roman" w:hAnsi="Times New Roman"/>
      <w:color w:val="999999"/>
    </w:rPr>
  </w:style>
  <w:style w:type="paragraph" w:customStyle="1" w:styleId="Spacer">
    <w:name w:val="Spacer"/>
    <w:basedOn w:val="Normal"/>
    <w:rsid w:val="002D2FA0"/>
    <w:rPr>
      <w:sz w:val="2"/>
      <w:szCs w:val="2"/>
    </w:rPr>
  </w:style>
  <w:style w:type="character" w:customStyle="1" w:styleId="Small">
    <w:name w:val="Small"/>
    <w:basedOn w:val="DefaultParagraphFont"/>
    <w:rsid w:val="002D2FA0"/>
    <w:rPr>
      <w:sz w:val="16"/>
    </w:rPr>
  </w:style>
  <w:style w:type="paragraph" w:customStyle="1" w:styleId="WideTable">
    <w:name w:val="Wide Table"/>
    <w:basedOn w:val="Normal"/>
    <w:rsid w:val="002D2FA0"/>
    <w:pPr>
      <w:ind w:left="-1418"/>
    </w:pPr>
    <w:rPr>
      <w:sz w:val="2"/>
      <w:szCs w:val="2"/>
    </w:rPr>
  </w:style>
  <w:style w:type="character" w:styleId="PageNumber">
    <w:name w:val="page number"/>
    <w:basedOn w:val="DefaultParagraphFont"/>
    <w:rsid w:val="002D2FA0"/>
  </w:style>
  <w:style w:type="paragraph" w:styleId="Quote">
    <w:name w:val="Quote"/>
    <w:basedOn w:val="Heading1"/>
    <w:link w:val="QuoteChar"/>
    <w:qFormat/>
    <w:rsid w:val="002D2FA0"/>
    <w:rPr>
      <w:b w:val="0"/>
      <w:sz w:val="72"/>
      <w:szCs w:val="72"/>
      <w:lang w:val="en-NZ"/>
    </w:rPr>
  </w:style>
  <w:style w:type="character" w:customStyle="1" w:styleId="QuoteChar">
    <w:name w:val="Quote Char"/>
    <w:basedOn w:val="DefaultParagraphFont"/>
    <w:link w:val="Quote"/>
    <w:rsid w:val="002D2F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FA0"/>
    <w:pPr>
      <w:pageBreakBefore/>
    </w:pPr>
  </w:style>
  <w:style w:type="paragraph" w:customStyle="1" w:styleId="Border">
    <w:name w:val="Border"/>
    <w:basedOn w:val="Normal"/>
    <w:qFormat/>
    <w:rsid w:val="002D2F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FA0"/>
    <w:rPr>
      <w:b/>
      <w:bCs/>
      <w:i/>
      <w:iCs/>
      <w:color w:val="auto"/>
    </w:rPr>
  </w:style>
  <w:style w:type="paragraph" w:styleId="IntenseQuote">
    <w:name w:val="Intense Quote"/>
    <w:basedOn w:val="Normal"/>
    <w:next w:val="Normal"/>
    <w:link w:val="IntenseQuoteChar"/>
    <w:uiPriority w:val="30"/>
    <w:qFormat/>
    <w:rsid w:val="002D2F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F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2FA0"/>
    <w:rPr>
      <w:smallCaps/>
      <w:color w:val="auto"/>
      <w:u w:val="single"/>
    </w:rPr>
  </w:style>
  <w:style w:type="character" w:styleId="IntenseReference">
    <w:name w:val="Intense Reference"/>
    <w:basedOn w:val="DefaultParagraphFont"/>
    <w:uiPriority w:val="32"/>
    <w:qFormat/>
    <w:rsid w:val="002D2FA0"/>
    <w:rPr>
      <w:b/>
      <w:bCs/>
      <w:smallCaps/>
      <w:color w:val="auto"/>
      <w:spacing w:val="5"/>
      <w:u w:val="single"/>
    </w:rPr>
  </w:style>
  <w:style w:type="paragraph" w:customStyle="1" w:styleId="2ColumnHeading">
    <w:name w:val="2Column Heading"/>
    <w:basedOn w:val="BodyText"/>
    <w:qFormat/>
    <w:rsid w:val="002D2FA0"/>
    <w:pPr>
      <w:spacing w:after="60"/>
      <w:ind w:left="-2268"/>
    </w:pPr>
    <w:rPr>
      <w:b/>
    </w:rPr>
  </w:style>
  <w:style w:type="paragraph" w:customStyle="1" w:styleId="Heading1TOC">
    <w:name w:val="Heading1 TOC"/>
    <w:basedOn w:val="Normal"/>
    <w:qFormat/>
    <w:rsid w:val="002D2FA0"/>
    <w:pPr>
      <w:spacing w:before="240" w:after="120"/>
    </w:pPr>
    <w:rPr>
      <w:rFonts w:ascii="Times New Roman" w:hAnsi="Times New Roman"/>
      <w:b/>
      <w:sz w:val="32"/>
    </w:rPr>
  </w:style>
  <w:style w:type="paragraph" w:customStyle="1" w:styleId="Heading2TOC">
    <w:name w:val="Heading2 TOC"/>
    <w:basedOn w:val="Normal"/>
    <w:qFormat/>
    <w:rsid w:val="002D2FA0"/>
    <w:pPr>
      <w:spacing w:before="240" w:after="60"/>
    </w:pPr>
    <w:rPr>
      <w:rFonts w:ascii="Times New Roman" w:hAnsi="Times New Roman"/>
      <w:b/>
      <w:sz w:val="28"/>
    </w:rPr>
  </w:style>
  <w:style w:type="character" w:customStyle="1" w:styleId="Underline">
    <w:name w:val="Underline"/>
    <w:basedOn w:val="DefaultParagraphFont"/>
    <w:qFormat/>
    <w:rsid w:val="002D2FA0"/>
    <w:rPr>
      <w:u w:val="single"/>
    </w:rPr>
  </w:style>
  <w:style w:type="character" w:customStyle="1" w:styleId="BoldandItalics">
    <w:name w:val="Bold and Italics"/>
    <w:qFormat/>
    <w:rsid w:val="002D2FA0"/>
    <w:rPr>
      <w:b/>
      <w:i/>
      <w:u w:val="none"/>
    </w:rPr>
  </w:style>
  <w:style w:type="paragraph" w:styleId="BalloonText">
    <w:name w:val="Balloon Text"/>
    <w:basedOn w:val="Normal"/>
    <w:link w:val="BalloonTextChar"/>
    <w:rsid w:val="002D2FA0"/>
    <w:rPr>
      <w:rFonts w:ascii="Tahoma" w:hAnsi="Tahoma" w:cs="Tahoma"/>
      <w:sz w:val="16"/>
      <w:szCs w:val="16"/>
    </w:rPr>
  </w:style>
  <w:style w:type="character" w:customStyle="1" w:styleId="BalloonTextChar">
    <w:name w:val="Balloon Text Char"/>
    <w:basedOn w:val="DefaultParagraphFont"/>
    <w:link w:val="BalloonText"/>
    <w:rsid w:val="002D2F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2F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2F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2FA0"/>
    <w:rPr>
      <w:b/>
      <w:color w:val="660033"/>
      <w:spacing w:val="0"/>
    </w:rPr>
  </w:style>
  <w:style w:type="paragraph" w:customStyle="1" w:styleId="Nameditemlist">
    <w:name w:val="Named item list"/>
    <w:basedOn w:val="BodyText"/>
    <w:qFormat/>
    <w:rsid w:val="002D2FA0"/>
    <w:pPr>
      <w:tabs>
        <w:tab w:val="left" w:pos="2835"/>
      </w:tabs>
      <w:ind w:left="2835" w:hanging="2835"/>
    </w:pPr>
  </w:style>
  <w:style w:type="paragraph" w:customStyle="1" w:styleId="BodyTextnopadding">
    <w:name w:val="Body Text no padding"/>
    <w:basedOn w:val="BodyText"/>
    <w:qFormat/>
    <w:rsid w:val="002D2FA0"/>
    <w:pPr>
      <w:spacing w:before="0" w:after="0"/>
    </w:pPr>
  </w:style>
  <w:style w:type="paragraph" w:customStyle="1" w:styleId="BodyTextBold">
    <w:name w:val="Body Text Bold"/>
    <w:basedOn w:val="BodyText"/>
    <w:qFormat/>
    <w:rsid w:val="002D2FA0"/>
    <w:rPr>
      <w:b/>
    </w:rPr>
  </w:style>
  <w:style w:type="character" w:styleId="Hyperlink">
    <w:name w:val="Hyperlink"/>
    <w:basedOn w:val="DefaultParagraphFont"/>
    <w:uiPriority w:val="99"/>
    <w:unhideWhenUsed/>
    <w:rsid w:val="006F39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1354</Words>
  <Characters>8898</Characters>
  <Application>Microsoft Office Word</Application>
  <DocSecurity>0</DocSecurity>
  <Lines>444</Lines>
  <Paragraphs>394</Paragraphs>
  <ScaleCrop>false</ScaleCrop>
  <Company>Author-it Software Corporation Ltd.</Company>
  <LinksUpToDate>false</LinksUpToDate>
  <CharactersWithSpaces>9858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UEE30920 Certificate III in Electronics and Communications</dc:title>
  <dc:subject>Approved</dc:subject>
  <dc:creator>Powering Skills Organisation</dc:creator>
  <cp:keywords>Release: 3</cp:keywords>
  <dc:description>Review Date: 12 April 2008</dc:description>
  <cp:lastModifiedBy>HSD_TPCMSd.prod</cp:lastModifiedBy>
  <cp:revision>3</cp:revision>
  <dcterms:created xsi:type="dcterms:W3CDTF">2024-11-25T03:10:00Z</dcterms:created>
  <dcterms:modified xsi:type="dcterms:W3CDTF">2024-11-25T03:10:00Z</dcterms:modified>
</cp:coreProperties>
</file>