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0308" w:rsidP="00D103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UEE20120 Certificate II in Split Air Conditioning and Heat Pump Systems</w:t>
      </w:r>
      <w:r>
        <w:fldChar w:fldCharType="end"/>
      </w:r>
    </w:p>
    <w:p w:rsidR="00D10308" w:rsidP="00D10308">
      <w:pPr>
        <w:pStyle w:val="Version"/>
        <w:sectPr w:rsidSect="00515F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515FD2" w:rsidP="00515FD2">
      <w:pPr>
        <w:pStyle w:val="SuperHeading"/>
      </w:pPr>
      <w:r w:rsidRPr="00515FD2">
        <w:t>UEE20120 Certificate II in Split Air Conditioning and Heat Pump Systems</w:t>
      </w:r>
    </w:p>
    <w:p w:rsidR="00000000" w:rsidRPr="00515FD2" w:rsidP="00515FD2">
      <w:pPr>
        <w:pStyle w:val="Heading1"/>
      </w:pPr>
      <w:bookmarkStart w:id="1" w:name="O_1274688"/>
      <w:bookmarkEnd w:id="1"/>
      <w:r w:rsidRPr="00515FD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5F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FD2" w:rsidP="00515FD2">
            <w:pPr>
              <w:pStyle w:val="BodyText"/>
            </w:pPr>
            <w:r w:rsidRPr="00515FD2">
              <w:t>Release 3. Updated superseded imported elective units.</w:t>
            </w:r>
          </w:p>
          <w:p w:rsidR="00000000" w:rsidRPr="00515FD2" w:rsidP="00515FD2">
            <w:pPr>
              <w:pStyle w:val="BodyText"/>
            </w:pPr>
            <w:r w:rsidRPr="00515FD2">
              <w:t>Release 2. Updated superseded HLT and BSB imported elective units.</w:t>
            </w:r>
          </w:p>
          <w:p w:rsidR="00000000" w:rsidRPr="00515FD2" w:rsidP="00515FD2">
            <w:pPr>
              <w:pStyle w:val="BodyText"/>
            </w:pPr>
            <w:r w:rsidRPr="00515FD2">
              <w:t>Release 1. This is the first release of this qualification in the UEE Electrotechnology Training Package</w:t>
            </w:r>
          </w:p>
        </w:tc>
      </w:tr>
    </w:tbl>
    <w:p w:rsidR="00000000" w:rsidRPr="00515FD2" w:rsidP="00515FD2">
      <w:pPr>
        <w:pStyle w:val="NoPaddingFontSize1"/>
      </w:pPr>
    </w:p>
    <w:p w:rsidR="00000000" w:rsidRPr="00515FD2" w:rsidP="00515FD2">
      <w:pPr>
        <w:pStyle w:val="AllowPageBreak"/>
      </w:pPr>
    </w:p>
    <w:p w:rsidR="00000000" w:rsidRPr="00515FD2" w:rsidP="00515FD2">
      <w:pPr>
        <w:pStyle w:val="Heading1"/>
      </w:pPr>
      <w:bookmarkStart w:id="2" w:name="O_1274687"/>
      <w:bookmarkEnd w:id="2"/>
      <w:r w:rsidRPr="00515FD2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5F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FD2" w:rsidP="00515FD2">
            <w:pPr>
              <w:pStyle w:val="BodyText"/>
            </w:pPr>
            <w:r w:rsidRPr="00515FD2">
              <w:t>This qualification covers competencies to install, commission and decommission single head, split air co</w:t>
            </w:r>
            <w:r w:rsidRPr="00515FD2">
              <w:t>nditioning and heat pumps systems to a prescribed routine where the maximum plant capacity for each system does not exceed 18 kilowatt (kW) refrigeration.</w:t>
            </w:r>
          </w:p>
          <w:p w:rsidR="00000000" w:rsidRPr="00515FD2" w:rsidP="00515FD2">
            <w:pPr>
              <w:pStyle w:val="BodyText"/>
            </w:pPr>
            <w:r w:rsidRPr="00515FD2">
              <w:t xml:space="preserve">This includes wall hung, floor and ceiling suspended, cassette and ducted fan coil split systems and </w:t>
            </w:r>
            <w:r w:rsidRPr="00515FD2">
              <w:t>water heating heat pump systems. This qualification excludes competencies required for service, repair, maintenance, diagnostic/fault finding and electrical work or the safe and proper installation of commercial refrigeration, air conditioning and heat pum</w:t>
            </w:r>
            <w:r w:rsidRPr="00515FD2">
              <w:t>p plant and equipment.</w:t>
            </w:r>
          </w:p>
          <w:p w:rsidR="00000000" w:rsidRPr="00515FD2" w:rsidP="00515FD2">
            <w:pPr>
              <w:pStyle w:val="BodyText"/>
            </w:pPr>
            <w:r w:rsidRPr="00515FD2">
              <w:t>Relevant employment may be required to enable the application of the required knowledge and skills to on the job work activities and environments.</w:t>
            </w:r>
          </w:p>
          <w:p w:rsidR="00000000" w:rsidRPr="00515FD2" w:rsidP="00515FD2">
            <w:pPr>
              <w:pStyle w:val="BodyText"/>
            </w:pPr>
            <w:r w:rsidRPr="00515FD2">
              <w:t>Refrigerant Handling Licence:</w:t>
            </w:r>
          </w:p>
          <w:p w:rsidR="00000000" w:rsidRPr="00515FD2" w:rsidP="00515FD2">
            <w:pPr>
              <w:pStyle w:val="BodyText"/>
            </w:pPr>
            <w:r w:rsidRPr="00515FD2">
              <w:t>The qualification meets only the training components for</w:t>
            </w:r>
            <w:r w:rsidRPr="00515FD2">
              <w:t xml:space="preserve"> a national restricted heat pump, split system, installation and decommissioning Refrigerant Handling Licence, which is required to work on equipment that carries the risk of a fluorocarbon refrigerant being emitted while decanting the refrigerant, install</w:t>
            </w:r>
            <w:r w:rsidRPr="00515FD2">
              <w:t>ing, commissioning or decommissioning refrigeration and air conditioning equipment.</w:t>
            </w:r>
          </w:p>
          <w:p w:rsidR="00000000" w:rsidRPr="00515FD2" w:rsidP="00515FD2">
            <w:pPr>
              <w:pStyle w:val="BodyText"/>
            </w:pPr>
            <w:r w:rsidRPr="00515FD2">
              <w:t>Refrigeration and Air Conditioning Occupational Licence:</w:t>
            </w:r>
          </w:p>
          <w:p w:rsidR="00000000" w:rsidRPr="00515FD2" w:rsidP="00515FD2">
            <w:pPr>
              <w:pStyle w:val="BodyText"/>
            </w:pPr>
            <w:r w:rsidRPr="00515FD2">
              <w:t>Additional and/or other conditions may apply in some jurisdictions subject to regulations related to refrigeration/</w:t>
            </w:r>
            <w:r w:rsidRPr="00515FD2">
              <w:t>air conditioning work. Practice in the workplace and during training is also subject to work health and safety (WHS)/occupational health and safety (OHS) regulations.</w:t>
            </w:r>
          </w:p>
        </w:tc>
      </w:tr>
    </w:tbl>
    <w:p w:rsidR="00000000" w:rsidRPr="00515FD2" w:rsidP="00515FD2">
      <w:pPr>
        <w:pStyle w:val="NoPaddingFontSize1"/>
      </w:pPr>
    </w:p>
    <w:p w:rsidR="00000000" w:rsidRPr="00515FD2" w:rsidP="00515FD2">
      <w:pPr>
        <w:pStyle w:val="AllowPageBreak"/>
      </w:pPr>
    </w:p>
    <w:p w:rsidR="00000000" w:rsidRPr="00515FD2" w:rsidP="00515FD2">
      <w:pPr>
        <w:pStyle w:val="Heading1"/>
      </w:pPr>
      <w:bookmarkStart w:id="3" w:name="O_1274686"/>
      <w:bookmarkEnd w:id="3"/>
      <w:r w:rsidRPr="00515FD2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5F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FD2" w:rsidP="00515FD2">
            <w:pPr>
              <w:pStyle w:val="BodyText"/>
            </w:pPr>
            <w:r w:rsidRPr="00515FD2">
              <w:t>There are no entry requirements for this qualific</w:t>
            </w:r>
            <w:r w:rsidRPr="00515FD2">
              <w:t>ation.</w:t>
            </w:r>
          </w:p>
        </w:tc>
      </w:tr>
    </w:tbl>
    <w:p w:rsidR="00000000" w:rsidRPr="00515FD2" w:rsidP="00515FD2">
      <w:pPr>
        <w:pStyle w:val="NoPaddingFontSize1"/>
      </w:pPr>
    </w:p>
    <w:p w:rsidR="00000000" w:rsidRPr="00515FD2" w:rsidP="00515FD2">
      <w:pPr>
        <w:pStyle w:val="AllowPageBreak"/>
      </w:pPr>
    </w:p>
    <w:p w:rsidR="00000000" w:rsidRPr="00515FD2" w:rsidP="00515FD2">
      <w:pPr>
        <w:pStyle w:val="Heading1"/>
      </w:pPr>
      <w:bookmarkStart w:id="4" w:name="O_1274685"/>
      <w:bookmarkEnd w:id="4"/>
      <w:r w:rsidRPr="00515FD2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7"/>
        <w:gridCol w:w="5718"/>
        <w:gridCol w:w="2052"/>
      </w:tblGrid>
      <w:tr w:rsidTr="00515F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FD2" w:rsidP="00515FD2">
            <w:pPr>
              <w:pStyle w:val="BodyText"/>
            </w:pPr>
            <w:r w:rsidRPr="00515FD2">
              <w:t xml:space="preserve">A total of </w:t>
            </w:r>
            <w:r w:rsidRPr="00515FD2">
              <w:rPr>
                <w:rStyle w:val="SpecialBold"/>
              </w:rPr>
              <w:t xml:space="preserve">370 weighting points </w:t>
            </w:r>
            <w:r w:rsidRPr="00515FD2">
              <w:t>comprising:</w:t>
            </w:r>
          </w:p>
          <w:p w:rsidR="00000000" w:rsidRPr="00515FD2" w:rsidP="00515FD2">
            <w:pPr>
              <w:pStyle w:val="BodyText"/>
            </w:pPr>
            <w:r w:rsidRPr="00515FD2">
              <w:rPr>
                <w:rStyle w:val="SpecialBold"/>
              </w:rPr>
              <w:t xml:space="preserve">350 core weighting points </w:t>
            </w:r>
            <w:r w:rsidRPr="00515FD2">
              <w:t>listed below; plus</w:t>
            </w:r>
          </w:p>
          <w:p w:rsidR="00000000" w:rsidRPr="00515FD2" w:rsidP="00515FD2">
            <w:pPr>
              <w:pStyle w:val="BodyText"/>
            </w:pPr>
            <w:r w:rsidRPr="00515FD2">
              <w:rPr>
                <w:rStyle w:val="SpecialBold"/>
              </w:rPr>
              <w:t xml:space="preserve">20 general elective weighting points </w:t>
            </w:r>
            <w:r w:rsidRPr="00515FD2">
              <w:t xml:space="preserve">from the general elective units listed below. </w:t>
            </w:r>
          </w:p>
          <w:p w:rsidR="00000000" w:rsidRPr="00515FD2" w:rsidP="00515FD2">
            <w:pPr>
              <w:pStyle w:val="BodyText"/>
            </w:pPr>
            <w:r w:rsidRPr="00515FD2">
              <w:t>Up to</w:t>
            </w:r>
            <w:r w:rsidRPr="00515FD2">
              <w:rPr>
                <w:rStyle w:val="SpecialBold"/>
              </w:rPr>
              <w:t xml:space="preserve"> 20 weighting points </w:t>
            </w:r>
            <w:r w:rsidRPr="00515FD2">
              <w:t>of the general elective units,</w:t>
            </w:r>
            <w:r w:rsidRPr="00515FD2">
              <w:rPr>
                <w:rStyle w:val="SpecialBold"/>
              </w:rPr>
              <w:t xml:space="preserve"> </w:t>
            </w:r>
            <w:r w:rsidRPr="00515FD2">
              <w:t>may be selected, with appropriate</w:t>
            </w:r>
            <w:r w:rsidRPr="00515FD2">
              <w:rPr>
                <w:rStyle w:val="SpecialBold"/>
              </w:rPr>
              <w:t xml:space="preserve"> </w:t>
            </w:r>
            <w:r w:rsidRPr="00515FD2">
              <w:t>contextualisation, from any relevant nationally endorsed Training Package or accredited course, provided selected units contribute to the vocational outcome of the qualification. Previously a</w:t>
            </w:r>
            <w:r w:rsidRPr="00515FD2">
              <w:t>ssigned weighting points are listed in the UEE Electrotechnology</w:t>
            </w:r>
            <w:r w:rsidRPr="00515FD2">
              <w:rPr>
                <w:rStyle w:val="SpecialBold"/>
              </w:rPr>
              <w:t xml:space="preserve"> </w:t>
            </w:r>
            <w:r w:rsidRPr="00515FD2">
              <w:t>Training Package Companion Volume Implementation Guide (CVIG), if not listed, weighting points will be 10 points, unless directed from the Electrotechnology Industry Reference Committee (IRC)</w:t>
            </w:r>
            <w:r w:rsidRPr="00515FD2">
              <w:t>.</w:t>
            </w:r>
            <w:r w:rsidRPr="00515FD2">
              <w:rPr>
                <w:rStyle w:val="SpecialBold"/>
              </w:rPr>
              <w:t xml:space="preserve"> </w:t>
            </w:r>
          </w:p>
          <w:p w:rsidR="00000000" w:rsidRPr="00515FD2" w:rsidP="00515FD2">
            <w:pPr>
              <w:pStyle w:val="BodyText"/>
            </w:pPr>
            <w:r w:rsidRPr="00515FD2">
              <w:t>There are units of competency within this qualification that contain pre-requisites. Units of competency that have a pre-requisite requirement are identified by this symbol *. Refer directly to the units of competency to identify pre-requisite requireme</w:t>
            </w:r>
            <w:r w:rsidRPr="00515FD2">
              <w:t>nts to ensure all are complied with. A list of all pre-requisites is also provided in the UEE Pre-requisite Companion Volume.</w:t>
            </w:r>
          </w:p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 xml:space="preserve">Where imported units are selected, care must be taken to ensure all pre-requisite units specified are complied with. </w:t>
            </w:r>
            <w:r w:rsidRPr="00515FD2">
              <w:rPr>
                <w:rStyle w:val="SpecialBold"/>
              </w:rPr>
              <w:t xml:space="preserve"> </w:t>
            </w:r>
          </w:p>
        </w:tc>
      </w:tr>
      <w:tr w:rsidTr="00515F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FD2" w:rsidP="00515FD2">
            <w:pPr>
              <w:pStyle w:val="BodyText"/>
            </w:pPr>
            <w:r w:rsidRPr="00515FD2">
              <w:rPr>
                <w:rStyle w:val="SpecialBold"/>
              </w:rPr>
              <w:t>Core uni</w:t>
            </w:r>
            <w:r w:rsidRPr="00515FD2">
              <w:rPr>
                <w:rStyle w:val="SpecialBold"/>
              </w:rPr>
              <w:t xml:space="preserve">ts 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rPr>
                <w:rStyle w:val="SpecialBold"/>
              </w:rPr>
              <w:t>Weighting Points</w:t>
            </w:r>
          </w:p>
        </w:tc>
      </w:tr>
      <w:tr w:rsidTr="00515F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UEECD0007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Apply work health and safety regulations, codes and practices in the workplace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20</w:t>
            </w:r>
          </w:p>
        </w:tc>
      </w:tr>
      <w:tr w:rsidTr="00515F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UEECD0016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Document and apply measures to control WHS risks associated with electrotechnology work*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20</w:t>
            </w:r>
          </w:p>
        </w:tc>
      </w:tr>
      <w:tr w:rsidTr="00515F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UEECD0019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Fabricate, assemble and dismantle utilities industry components*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40</w:t>
            </w:r>
          </w:p>
        </w:tc>
      </w:tr>
      <w:tr w:rsidTr="00515F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UEECD0020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Fix and secure electrotechnology equipment*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20</w:t>
            </w:r>
          </w:p>
        </w:tc>
      </w:tr>
      <w:tr w:rsidTr="00515F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UEECD0027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Participate in development and follow a personal competency development plan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20</w:t>
            </w:r>
          </w:p>
        </w:tc>
      </w:tr>
      <w:tr w:rsidTr="00515F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UEECD0051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Use drawings, diagrams, schedules, standards, codes and specifications*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40</w:t>
            </w:r>
          </w:p>
        </w:tc>
      </w:tr>
      <w:tr w:rsidTr="00515F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UEERA0049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Install and start up single head split air conditioning and water heating heat pump systems*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70</w:t>
            </w:r>
          </w:p>
        </w:tc>
      </w:tr>
      <w:tr w:rsidTr="00515F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UEERA0059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Prepare and connect refrigerant tubing and fittings*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40</w:t>
            </w:r>
          </w:p>
        </w:tc>
      </w:tr>
      <w:tr w:rsidTr="00515F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UEERA0</w:t>
            </w:r>
            <w:r w:rsidRPr="00515FD2">
              <w:t>064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Recover, pressure test, evacuate, charge and leak test refrigerants - split systems*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60</w:t>
            </w:r>
          </w:p>
        </w:tc>
      </w:tr>
      <w:tr w:rsidTr="00515F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UEERE0001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Apply environmentally and sustainable procedures in the energy sector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20</w:t>
            </w:r>
          </w:p>
        </w:tc>
      </w:tr>
      <w:tr w:rsidTr="00515F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FD2" w:rsidP="00515FD2">
            <w:pPr>
              <w:pStyle w:val="BodyText"/>
            </w:pPr>
            <w:r w:rsidRPr="00515FD2">
              <w:rPr>
                <w:rStyle w:val="SpecialBold"/>
              </w:rPr>
              <w:t>Imported and common elective units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rPr>
                <w:rStyle w:val="SpecialBold"/>
              </w:rPr>
              <w:t>Weighting Points</w:t>
            </w:r>
          </w:p>
        </w:tc>
      </w:tr>
      <w:tr w:rsidTr="00515F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BSBOPS203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Deliver a service to customers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20</w:t>
            </w:r>
          </w:p>
        </w:tc>
      </w:tr>
      <w:tr w:rsidTr="00515F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CPCWHS1001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Prepare to work safely in the construction industry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10</w:t>
            </w:r>
          </w:p>
        </w:tc>
      </w:tr>
      <w:tr w:rsidTr="00515F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HLTAID009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Provide cardiopulmonary resuscitation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10</w:t>
            </w:r>
          </w:p>
        </w:tc>
      </w:tr>
      <w:tr w:rsidTr="00515F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UEECD0035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Provide basic instruction in the use of electrotechnology apparatus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20</w:t>
            </w:r>
          </w:p>
        </w:tc>
      </w:tr>
      <w:tr w:rsidTr="00515F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UEECO0002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Maintain documentation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20</w:t>
            </w:r>
          </w:p>
        </w:tc>
      </w:tr>
      <w:tr w:rsidTr="00515F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UEECO0016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Receive and store materials and equipment for electrotechnology work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20</w:t>
            </w:r>
          </w:p>
        </w:tc>
      </w:tr>
      <w:tr w:rsidTr="00515F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UEECO0017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Source and purchase material/parts for installation or service jobs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20</w:t>
            </w:r>
          </w:p>
        </w:tc>
      </w:tr>
      <w:tr w:rsidTr="00515F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UEERA0035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Establish the basic operating conditions of air condit</w:t>
            </w:r>
            <w:r w:rsidRPr="00515FD2">
              <w:t>ioning systems*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20</w:t>
            </w:r>
          </w:p>
        </w:tc>
      </w:tr>
      <w:tr w:rsidTr="00515F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UEERL0001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Attach cords and plugs to electrical equipment for connection to a single phase 230 Volt supply*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20</w:t>
            </w:r>
          </w:p>
        </w:tc>
      </w:tr>
      <w:tr w:rsidTr="00515F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UEERL0003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FD2">
            <w:pPr>
              <w:pStyle w:val="BodyText"/>
              <w:rPr>
                <w:lang w:val="en-NZ"/>
              </w:rPr>
            </w:pPr>
            <w:r w:rsidRPr="00515FD2">
              <w:t>Conduct in-service safety testing of electrical cord connected equipment and cord assemblies*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FD2" w:rsidP="00515FD2">
            <w:pPr>
              <w:pStyle w:val="BodyText"/>
            </w:pPr>
            <w:r w:rsidRPr="00515FD2">
              <w:t>20</w:t>
            </w:r>
          </w:p>
        </w:tc>
      </w:tr>
    </w:tbl>
    <w:p w:rsidR="00000000" w:rsidRPr="00515FD2" w:rsidP="00515FD2">
      <w:pPr>
        <w:pStyle w:val="NoPaddingFontSize1"/>
      </w:pPr>
    </w:p>
    <w:p w:rsidR="00000000" w:rsidRPr="00515FD2" w:rsidP="00515FD2">
      <w:pPr>
        <w:pStyle w:val="AllowPageBreak"/>
      </w:pPr>
    </w:p>
    <w:p w:rsidR="00000000" w:rsidRPr="00515FD2" w:rsidP="00515FD2">
      <w:pPr>
        <w:pStyle w:val="Heading1"/>
      </w:pPr>
      <w:bookmarkStart w:id="5" w:name="O_1274684"/>
      <w:bookmarkEnd w:id="5"/>
      <w:r w:rsidRPr="00515FD2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5F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FD2" w:rsidP="00515FD2">
            <w:pPr>
              <w:pStyle w:val="BodyText"/>
            </w:pPr>
            <w:r w:rsidRPr="00515FD2">
              <w:t>This qualification replaces and is equivalent to UEE20111 Certificate II in Split Air-conditioning and Heat Pump Systems</w:t>
            </w:r>
          </w:p>
        </w:tc>
      </w:tr>
    </w:tbl>
    <w:p w:rsidR="00000000" w:rsidRPr="00515FD2" w:rsidP="00515FD2">
      <w:pPr>
        <w:pStyle w:val="NoPaddingFontSize1"/>
      </w:pPr>
    </w:p>
    <w:p w:rsidR="00000000" w:rsidRPr="00515FD2" w:rsidP="00515FD2">
      <w:pPr>
        <w:pStyle w:val="AllowPageBreak"/>
      </w:pPr>
    </w:p>
    <w:p w:rsidR="00000000" w:rsidRPr="00515FD2" w:rsidP="00515FD2">
      <w:pPr>
        <w:pStyle w:val="Heading1"/>
      </w:pPr>
      <w:bookmarkStart w:id="6" w:name="O_1274689"/>
      <w:bookmarkEnd w:id="6"/>
      <w:r w:rsidRPr="00515FD2">
        <w:t>Links</w:t>
      </w:r>
    </w:p>
    <w:p w:rsidR="00000000" w:rsidRPr="00515FD2" w:rsidP="00D10308">
      <w:pPr>
        <w:pStyle w:val="BodyText"/>
      </w:pPr>
      <w:r w:rsidRPr="00515F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816BE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15FD2" w:rsidP="00515FD2"/>
    <w:sectPr w:rsidSect="00515F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F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FD2" w:rsidRPr="00D10308" w:rsidP="00D103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F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308" w:rsidP="00515F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0308" w:rsidP="00515F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10308" w:rsidP="00515F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F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3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5FD2" w:rsidRPr="00D10308" w:rsidP="00D103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F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308" w:rsidRPr="002D2AF8" w:rsidP="00515F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UEE20120 Certificate II in Split Air Conditioning and Heat Pump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January 2023</w:t>
    </w:r>
    <w:r>
      <w:fldChar w:fldCharType="end"/>
    </w:r>
  </w:p>
  <w:p w:rsidR="00D10308" w:rsidP="00515F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F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5F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5F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5F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5F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5F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5F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5F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5F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5F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5F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5FD2"/>
  </w:style>
  <w:style w:type="character" w:customStyle="1" w:styleId="Heading1Char">
    <w:name w:val="Heading 1 Char"/>
    <w:basedOn w:val="DefaultParagraphFont"/>
    <w:link w:val="Heading1"/>
    <w:rsid w:val="00515F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5F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5FD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15FD2"/>
    <w:rPr>
      <w:b/>
      <w:spacing w:val="0"/>
    </w:rPr>
  </w:style>
  <w:style w:type="paragraph" w:customStyle="1" w:styleId="SuperHeading">
    <w:name w:val="SuperHeading"/>
    <w:basedOn w:val="Normal"/>
    <w:rsid w:val="00515F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5F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15F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5F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5F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5F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5F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5F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5F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5F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5F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5F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5F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5F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5F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5F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5F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5F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5F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5F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5F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5FD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15F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5F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5F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5F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5FD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5F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5F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5F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5F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5F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5F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5F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5F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5F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5FD2"/>
    <w:rPr>
      <w:i/>
    </w:rPr>
  </w:style>
  <w:style w:type="paragraph" w:styleId="Caption">
    <w:name w:val="caption"/>
    <w:basedOn w:val="BodyText"/>
    <w:next w:val="Normal"/>
    <w:qFormat/>
    <w:rsid w:val="00515F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5F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5F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5FD2"/>
  </w:style>
  <w:style w:type="paragraph" w:styleId="TableofFigures">
    <w:name w:val="table of figures"/>
    <w:basedOn w:val="Normal"/>
    <w:next w:val="Normal"/>
    <w:semiHidden/>
    <w:rsid w:val="00515F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5FD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15FD2"/>
    <w:rPr>
      <w:rFonts w:ascii="Wingdings" w:hAnsi="Wingdings"/>
    </w:rPr>
  </w:style>
  <w:style w:type="paragraph" w:customStyle="1" w:styleId="TableHeading">
    <w:name w:val="Table Heading"/>
    <w:basedOn w:val="HeadingBase"/>
    <w:rsid w:val="00515F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5FD2"/>
    <w:rPr>
      <w:color w:val="0033CC"/>
      <w:u w:val="none"/>
    </w:rPr>
  </w:style>
  <w:style w:type="paragraph" w:customStyle="1" w:styleId="BodyTextRight">
    <w:name w:val="Body Text Right"/>
    <w:basedOn w:val="BodyText"/>
    <w:rsid w:val="00515F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5F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5FD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5F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5F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5F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5FD2"/>
    <w:rPr>
      <w:sz w:val="32"/>
    </w:rPr>
  </w:style>
  <w:style w:type="paragraph" w:customStyle="1" w:styleId="HeadingProcedure">
    <w:name w:val="Heading Procedure"/>
    <w:basedOn w:val="HeadingBase"/>
    <w:next w:val="Normal"/>
    <w:rsid w:val="00515F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5FD2"/>
    <w:pPr>
      <w:spacing w:before="60" w:after="60"/>
    </w:pPr>
  </w:style>
  <w:style w:type="paragraph" w:styleId="ListContinue">
    <w:name w:val="List Continue"/>
    <w:basedOn w:val="List"/>
    <w:rsid w:val="00515FD2"/>
    <w:pPr>
      <w:ind w:firstLine="0"/>
    </w:pPr>
  </w:style>
  <w:style w:type="paragraph" w:customStyle="1" w:styleId="ListNote">
    <w:name w:val="List Note"/>
    <w:basedOn w:val="List"/>
    <w:rsid w:val="00515F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5F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5F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5FD2"/>
    <w:rPr>
      <w:rFonts w:ascii="Courier New" w:hAnsi="Courier New"/>
    </w:rPr>
  </w:style>
  <w:style w:type="paragraph" w:customStyle="1" w:styleId="NoteBullet">
    <w:name w:val="Note Bullet"/>
    <w:basedOn w:val="Note"/>
    <w:rsid w:val="00515F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5F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5F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5F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5FD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15F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5F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5FD2"/>
    <w:rPr>
      <w:b/>
      <w:smallCaps/>
    </w:rPr>
  </w:style>
  <w:style w:type="paragraph" w:customStyle="1" w:styleId="TableListNumber">
    <w:name w:val="Table List Number"/>
    <w:basedOn w:val="ListNumber"/>
    <w:rsid w:val="00515F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5F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5FD2"/>
    <w:pPr>
      <w:numPr>
        <w:numId w:val="7"/>
      </w:numPr>
    </w:pPr>
  </w:style>
  <w:style w:type="paragraph" w:customStyle="1" w:styleId="ListAlpha2">
    <w:name w:val="List Alpha 2"/>
    <w:basedOn w:val="List2"/>
    <w:rsid w:val="00515FD2"/>
    <w:pPr>
      <w:numPr>
        <w:numId w:val="6"/>
      </w:numPr>
    </w:pPr>
  </w:style>
  <w:style w:type="paragraph" w:styleId="List2">
    <w:name w:val="List 2"/>
    <w:basedOn w:val="BodyText"/>
    <w:rsid w:val="00515F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5F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5F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5F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5FD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5FD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15FD2"/>
    <w:pPr>
      <w:numPr>
        <w:numId w:val="2"/>
      </w:numPr>
    </w:pPr>
  </w:style>
  <w:style w:type="paragraph" w:styleId="ListContinue2">
    <w:name w:val="List Continue 2"/>
    <w:basedOn w:val="List2"/>
    <w:rsid w:val="00515FD2"/>
    <w:pPr>
      <w:ind w:firstLine="0"/>
    </w:pPr>
  </w:style>
  <w:style w:type="paragraph" w:styleId="ListContinue3">
    <w:name w:val="List Continue 3"/>
    <w:basedOn w:val="List3"/>
    <w:rsid w:val="00515FD2"/>
    <w:pPr>
      <w:ind w:left="1021" w:firstLine="0"/>
    </w:pPr>
  </w:style>
  <w:style w:type="paragraph" w:styleId="ListContinue4">
    <w:name w:val="List Continue 4"/>
    <w:basedOn w:val="List4"/>
    <w:rsid w:val="00515FD2"/>
    <w:pPr>
      <w:ind w:firstLine="0"/>
    </w:pPr>
  </w:style>
  <w:style w:type="paragraph" w:styleId="ListContinue5">
    <w:name w:val="List Continue 5"/>
    <w:basedOn w:val="List5"/>
    <w:rsid w:val="00515FD2"/>
    <w:pPr>
      <w:ind w:firstLine="0"/>
    </w:pPr>
  </w:style>
  <w:style w:type="paragraph" w:styleId="ListNumber3">
    <w:name w:val="List Number 3"/>
    <w:basedOn w:val="List3"/>
    <w:rsid w:val="00515FD2"/>
    <w:pPr>
      <w:numPr>
        <w:numId w:val="3"/>
      </w:numPr>
    </w:pPr>
  </w:style>
  <w:style w:type="paragraph" w:styleId="ListNumber4">
    <w:name w:val="List Number 4"/>
    <w:basedOn w:val="List4"/>
    <w:rsid w:val="00515FD2"/>
    <w:pPr>
      <w:numPr>
        <w:numId w:val="4"/>
      </w:numPr>
    </w:pPr>
  </w:style>
  <w:style w:type="paragraph" w:styleId="ListNumber5">
    <w:name w:val="List Number 5"/>
    <w:basedOn w:val="List5"/>
    <w:rsid w:val="00515FD2"/>
    <w:pPr>
      <w:numPr>
        <w:numId w:val="5"/>
      </w:numPr>
    </w:pPr>
  </w:style>
  <w:style w:type="paragraph" w:styleId="BlockText">
    <w:name w:val="Block Text"/>
    <w:basedOn w:val="Normal"/>
    <w:rsid w:val="00515F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5F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5FD2"/>
    <w:rPr>
      <w:sz w:val="16"/>
      <w:vertAlign w:val="superscript"/>
    </w:rPr>
  </w:style>
  <w:style w:type="character" w:customStyle="1" w:styleId="Symbols">
    <w:name w:val="Symbols"/>
    <w:basedOn w:val="DefaultParagraphFont"/>
    <w:rsid w:val="00515FD2"/>
    <w:rPr>
      <w:rFonts w:ascii="Symbol" w:hAnsi="Symbol"/>
    </w:rPr>
  </w:style>
  <w:style w:type="character" w:customStyle="1" w:styleId="MenuOptions">
    <w:name w:val="Menu Options"/>
    <w:basedOn w:val="DefaultParagraphFont"/>
    <w:rsid w:val="00515F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5FD2"/>
    <w:rPr>
      <w:b/>
    </w:rPr>
  </w:style>
  <w:style w:type="character" w:customStyle="1" w:styleId="Underlined">
    <w:name w:val="Underlined"/>
    <w:basedOn w:val="DefaultParagraphFont"/>
    <w:rsid w:val="00515FD2"/>
    <w:rPr>
      <w:u w:val="single"/>
    </w:rPr>
  </w:style>
  <w:style w:type="paragraph" w:customStyle="1" w:styleId="TableBodyTextRight">
    <w:name w:val="Table Body Text Right"/>
    <w:basedOn w:val="TableBodyText"/>
    <w:rsid w:val="00515F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5FD2"/>
    <w:rPr>
      <w:sz w:val="18"/>
    </w:rPr>
  </w:style>
  <w:style w:type="paragraph" w:customStyle="1" w:styleId="BodySmallRight">
    <w:name w:val="Body Small Right"/>
    <w:basedOn w:val="BodyTextRight"/>
    <w:rsid w:val="00515FD2"/>
    <w:rPr>
      <w:sz w:val="18"/>
      <w:szCs w:val="18"/>
    </w:rPr>
  </w:style>
  <w:style w:type="paragraph" w:customStyle="1" w:styleId="MarginEdition">
    <w:name w:val="Margin Edition"/>
    <w:basedOn w:val="MarginNote"/>
    <w:rsid w:val="00515F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5FD2"/>
    <w:rPr>
      <w:sz w:val="2"/>
      <w:szCs w:val="2"/>
    </w:rPr>
  </w:style>
  <w:style w:type="character" w:customStyle="1" w:styleId="Small">
    <w:name w:val="Small"/>
    <w:basedOn w:val="DefaultParagraphFont"/>
    <w:rsid w:val="00515FD2"/>
    <w:rPr>
      <w:sz w:val="16"/>
    </w:rPr>
  </w:style>
  <w:style w:type="paragraph" w:customStyle="1" w:styleId="WideTable">
    <w:name w:val="Wide Table"/>
    <w:basedOn w:val="Normal"/>
    <w:rsid w:val="00515F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5FD2"/>
  </w:style>
  <w:style w:type="paragraph" w:styleId="Quote">
    <w:name w:val="Quote"/>
    <w:basedOn w:val="Heading1"/>
    <w:link w:val="QuoteChar"/>
    <w:qFormat/>
    <w:rsid w:val="00515F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5F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5FD2"/>
    <w:pPr>
      <w:pageBreakBefore/>
    </w:pPr>
  </w:style>
  <w:style w:type="paragraph" w:customStyle="1" w:styleId="Border">
    <w:name w:val="Border"/>
    <w:basedOn w:val="Normal"/>
    <w:qFormat/>
    <w:rsid w:val="00515F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5F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5F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5F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5F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5F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5F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5F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5F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5FD2"/>
    <w:rPr>
      <w:u w:val="single"/>
    </w:rPr>
  </w:style>
  <w:style w:type="character" w:customStyle="1" w:styleId="BoldandItalics">
    <w:name w:val="Bold and Italics"/>
    <w:qFormat/>
    <w:rsid w:val="00515FD2"/>
    <w:rPr>
      <w:b/>
      <w:i/>
      <w:u w:val="none"/>
    </w:rPr>
  </w:style>
  <w:style w:type="paragraph" w:styleId="BalloonText">
    <w:name w:val="Balloon Text"/>
    <w:basedOn w:val="Normal"/>
    <w:link w:val="BalloonTextChar"/>
    <w:rsid w:val="00515F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5F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5F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5F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5F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5F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5FD2"/>
    <w:pPr>
      <w:spacing w:before="0" w:after="0"/>
    </w:pPr>
  </w:style>
  <w:style w:type="paragraph" w:customStyle="1" w:styleId="BodyTextBold">
    <w:name w:val="Body Text Bold"/>
    <w:basedOn w:val="BodyText"/>
    <w:qFormat/>
    <w:rsid w:val="00515FD2"/>
    <w:rPr>
      <w:b/>
    </w:rPr>
  </w:style>
  <w:style w:type="character" w:styleId="Hyperlink">
    <w:name w:val="Hyperlink"/>
    <w:basedOn w:val="DefaultParagraphFont"/>
    <w:uiPriority w:val="99"/>
    <w:unhideWhenUsed/>
    <w:rsid w:val="00D103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745</Words>
  <Characters>4732</Characters>
  <Application>Microsoft Office Word</Application>
  <DocSecurity>0</DocSecurity>
  <Lines>152</Lines>
  <Paragraphs>109</Paragraphs>
  <ScaleCrop>false</ScaleCrop>
  <Company>Author-it Software Corporation Ltd.</Company>
  <LinksUpToDate>false</LinksUpToDate>
  <CharactersWithSpaces>5368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UEE20120 Certificate II in Split Air Conditioning and Heat Pump Systems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2023-01-12T10:52:53Z</dcterms:created>
  <dcterms:modified xsi:type="dcterms:W3CDTF">2023-01-11T23:49:00Z</dcterms:modified>
</cp:coreProperties>
</file>