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9E0" w:rsidP="007B69E0">
      <w:pPr>
        <w:pStyle w:val="Title"/>
      </w:pPr>
      <w:r>
        <w:fldChar w:fldCharType="begin"/>
      </w:r>
      <w:r>
        <w:instrText xml:space="preserve"> TITLE   \* MERGEFORMAT </w:instrText>
      </w:r>
      <w:r>
        <w:fldChar w:fldCharType="separate"/>
      </w:r>
      <w:r>
        <w:t>TLIX6053A Coordinate health support operations</w:t>
      </w:r>
      <w:r>
        <w:fldChar w:fldCharType="end"/>
      </w:r>
    </w:p>
    <w:p w:rsidR="007B69E0" w:rsidP="007B69E0">
      <w:pPr>
        <w:pStyle w:val="Version"/>
        <w:sectPr w:rsidSect="00CB2C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C2A" w:rsidP="00CB2C2A">
      <w:pPr>
        <w:pStyle w:val="SuperHeading"/>
      </w:pPr>
      <w:r w:rsidRPr="00CB2C2A">
        <w:t>TLIX6053A Coordinate health support operations</w:t>
      </w:r>
    </w:p>
    <w:p w:rsidR="00000000" w:rsidRPr="00CB2C2A" w:rsidP="00CB2C2A">
      <w:pPr>
        <w:pStyle w:val="Heading1"/>
      </w:pPr>
      <w:bookmarkStart w:id="1" w:name="O_274428"/>
      <w:bookmarkEnd w:id="1"/>
      <w:r w:rsidRPr="00CB2C2A">
        <w:t>Modification History</w:t>
      </w:r>
    </w:p>
    <w:p w:rsidR="00000000" w:rsidRPr="00CB2C2A" w:rsidP="00CB2C2A">
      <w:pPr>
        <w:pStyle w:val="BodyText"/>
      </w:pPr>
      <w:r w:rsidRPr="00CB2C2A">
        <w:t>Not Applicable</w:t>
      </w:r>
    </w:p>
    <w:p w:rsidR="00000000" w:rsidRPr="00CB2C2A" w:rsidP="00CB2C2A">
      <w:pPr>
        <w:pStyle w:val="AllowPageBreak"/>
      </w:pPr>
    </w:p>
    <w:p w:rsidR="00000000" w:rsidRPr="00CB2C2A" w:rsidP="00CB2C2A">
      <w:pPr>
        <w:pStyle w:val="Heading1"/>
      </w:pPr>
      <w:bookmarkStart w:id="2" w:name="O_224774"/>
      <w:bookmarkEnd w:id="2"/>
      <w:r w:rsidRPr="00CB2C2A">
        <w:t>Unit Descriptor</w:t>
      </w:r>
    </w:p>
    <w:tbl>
      <w:tblPr>
        <w:tblW w:w="9640" w:type="dxa"/>
        <w:tblLayout w:type="fixed"/>
        <w:tblCellMar>
          <w:left w:w="62" w:type="dxa"/>
          <w:right w:w="62" w:type="dxa"/>
        </w:tblCellMar>
        <w:tblLook w:val="0000"/>
      </w:tblPr>
      <w:tblGrid>
        <w:gridCol w:w="2978"/>
        <w:gridCol w:w="6662"/>
      </w:tblGrid>
      <w:tr w:rsidTr="007B69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B2C2A" w:rsidP="00CB2C2A">
            <w:pPr>
              <w:pStyle w:val="BodyText"/>
            </w:pPr>
            <w:r w:rsidRPr="00CB2C2A">
              <w:t xml:space="preserve">This unit involves the skills and knowledge required to coordinate health support operations in support </w:t>
            </w:r>
            <w:r w:rsidRPr="00CB2C2A">
              <w:t>of organisational operations. There are no specific licensing or certification requirements applicable to this unit.</w:t>
            </w:r>
          </w:p>
        </w:tc>
      </w:tr>
    </w:tbl>
    <w:p w:rsidR="007B69E0" w:rsidP="00CB2C2A">
      <w:pPr>
        <w:pStyle w:val="BodyText"/>
      </w:pPr>
    </w:p>
    <w:p w:rsidR="007B69E0" w:rsidP="00CB2C2A">
      <w:pPr>
        <w:pStyle w:val="BodyText"/>
      </w:pPr>
    </w:p>
    <w:p w:rsidR="00000000" w:rsidRPr="00CB2C2A" w:rsidP="00CB2C2A">
      <w:pPr>
        <w:pStyle w:val="Heading1"/>
      </w:pPr>
      <w:bookmarkStart w:id="3" w:name="O_224776"/>
      <w:bookmarkEnd w:id="3"/>
      <w:r w:rsidRPr="00CB2C2A">
        <w:t>Application of the Unit</w:t>
      </w:r>
    </w:p>
    <w:tbl>
      <w:tblPr>
        <w:tblW w:w="9640" w:type="dxa"/>
        <w:tblLayout w:type="fixed"/>
        <w:tblCellMar>
          <w:left w:w="62" w:type="dxa"/>
          <w:right w:w="62" w:type="dxa"/>
        </w:tblCellMar>
        <w:tblLook w:val="0000"/>
      </w:tblPr>
      <w:tblGrid>
        <w:gridCol w:w="2978"/>
        <w:gridCol w:w="6662"/>
      </w:tblGrid>
      <w:tr w:rsidTr="007B69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B2C2A" w:rsidP="00CB2C2A">
            <w:pPr>
              <w:pStyle w:val="BodyText"/>
            </w:pPr>
            <w:r w:rsidRPr="00CB2C2A">
              <w:t>This unit of competency is applicable to logistic personnel who have a responsibility to coordinate logistics support across a variety of health elements at an organisational level.</w:t>
            </w:r>
          </w:p>
          <w:p w:rsidR="00000000" w:rsidRPr="00CB2C2A" w:rsidP="00CB2C2A">
            <w:pPr>
              <w:pStyle w:val="BodyText"/>
            </w:pPr>
            <w:r w:rsidRPr="00CB2C2A">
              <w:t xml:space="preserve">This person will bring well developed management and communication skills </w:t>
            </w:r>
            <w:r w:rsidRPr="00CB2C2A">
              <w:t>as well as specialist skills in health planning and the management of health services. The context of this performance is usually in an organisational headquarters with access to information technology and staff support services. All activities are carried</w:t>
            </w:r>
            <w:r w:rsidRPr="00CB2C2A">
              <w:t xml:space="preserve"> out in accordance with relevant organisational policy and procedures.</w:t>
            </w:r>
          </w:p>
        </w:tc>
      </w:tr>
    </w:tbl>
    <w:p w:rsidR="007B69E0" w:rsidP="00CB2C2A">
      <w:pPr>
        <w:pStyle w:val="BodyText"/>
      </w:pPr>
    </w:p>
    <w:p w:rsidR="007B69E0" w:rsidP="00CB2C2A">
      <w:pPr>
        <w:pStyle w:val="BodyText"/>
      </w:pPr>
    </w:p>
    <w:p w:rsidR="00000000" w:rsidRPr="00CB2C2A" w:rsidP="00CB2C2A">
      <w:pPr>
        <w:pStyle w:val="Heading1"/>
      </w:pPr>
      <w:bookmarkStart w:id="4" w:name="O_282688"/>
      <w:bookmarkEnd w:id="4"/>
      <w:r w:rsidRPr="00CB2C2A">
        <w:t>Licensing/Regulatory Information</w:t>
      </w:r>
    </w:p>
    <w:p w:rsidR="00000000" w:rsidRPr="00CB2C2A" w:rsidP="00CB2C2A">
      <w:pPr>
        <w:pStyle w:val="BodyText"/>
      </w:pPr>
      <w:r w:rsidRPr="00CB2C2A">
        <w:t>Refer to Unit Descriptor</w:t>
      </w:r>
    </w:p>
    <w:p w:rsidR="00000000" w:rsidRPr="00CB2C2A" w:rsidP="00CB2C2A">
      <w:pPr>
        <w:pStyle w:val="AllowPageBreak"/>
      </w:pPr>
    </w:p>
    <w:p w:rsidR="00000000" w:rsidRPr="00CB2C2A" w:rsidP="00CB2C2A">
      <w:pPr>
        <w:pStyle w:val="Heading1"/>
      </w:pPr>
      <w:bookmarkStart w:id="5" w:name="O_285138"/>
      <w:bookmarkEnd w:id="5"/>
      <w:r w:rsidRPr="00CB2C2A">
        <w:t>Pre-Requisites</w:t>
      </w:r>
    </w:p>
    <w:p w:rsidR="00000000" w:rsidRPr="00CB2C2A" w:rsidP="00CB2C2A">
      <w:pPr>
        <w:pStyle w:val="BodyText"/>
      </w:pPr>
      <w:r w:rsidRPr="00CB2C2A">
        <w:t>Not Applicable</w:t>
      </w:r>
    </w:p>
    <w:p w:rsidR="00000000" w:rsidRPr="00CB2C2A" w:rsidP="00CB2C2A">
      <w:pPr>
        <w:pStyle w:val="AllowPageBreak"/>
      </w:pPr>
    </w:p>
    <w:p w:rsidR="00000000" w:rsidRPr="00CB2C2A" w:rsidP="00CB2C2A">
      <w:pPr>
        <w:pStyle w:val="Heading1"/>
      </w:pPr>
      <w:bookmarkStart w:id="6" w:name="O_224775"/>
      <w:bookmarkEnd w:id="6"/>
      <w:r w:rsidRPr="00CB2C2A">
        <w:t>Employability Skills Information</w:t>
      </w:r>
    </w:p>
    <w:tbl>
      <w:tblPr>
        <w:tblW w:w="9640" w:type="dxa"/>
        <w:tblLayout w:type="fixed"/>
        <w:tblCellMar>
          <w:left w:w="62" w:type="dxa"/>
          <w:right w:w="62" w:type="dxa"/>
        </w:tblCellMar>
        <w:tblLook w:val="0000"/>
      </w:tblPr>
      <w:tblGrid>
        <w:gridCol w:w="2978"/>
        <w:gridCol w:w="6662"/>
      </w:tblGrid>
      <w:tr w:rsidTr="007B69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B2C2A" w:rsidP="00CB2C2A">
            <w:pPr>
              <w:pStyle w:val="BodyText"/>
            </w:pPr>
            <w:r w:rsidRPr="00CB2C2A">
              <w:t>This unit contains employability skills.</w:t>
            </w:r>
          </w:p>
        </w:tc>
      </w:tr>
    </w:tbl>
    <w:p w:rsidR="007B69E0" w:rsidP="00CB2C2A">
      <w:pPr>
        <w:pStyle w:val="BodyText"/>
      </w:pPr>
    </w:p>
    <w:p w:rsidR="007B69E0" w:rsidP="00CB2C2A">
      <w:pPr>
        <w:pStyle w:val="BodyText"/>
      </w:pPr>
    </w:p>
    <w:p w:rsidR="00000000" w:rsidRPr="00CB2C2A" w:rsidP="00CB2C2A">
      <w:pPr>
        <w:pStyle w:val="Heading1"/>
      </w:pPr>
      <w:bookmarkStart w:id="7" w:name="O_292474"/>
      <w:bookmarkEnd w:id="7"/>
      <w:r w:rsidRPr="00CB2C2A">
        <w:t>Elements and Performance Criteria Pre-Content</w:t>
      </w:r>
    </w:p>
    <w:tbl>
      <w:tblPr>
        <w:tblW w:w="9640" w:type="dxa"/>
        <w:tblLayout w:type="fixed"/>
        <w:tblCellMar>
          <w:left w:w="62" w:type="dxa"/>
          <w:right w:w="62" w:type="dxa"/>
        </w:tblCellMar>
        <w:tblLook w:val="0000"/>
      </w:tblPr>
      <w:tblGrid>
        <w:gridCol w:w="2978"/>
        <w:gridCol w:w="6662"/>
      </w:tblGrid>
      <w:tr w:rsidTr="007B69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B2C2A" w:rsidP="00CB2C2A">
            <w:pPr>
              <w:pStyle w:val="BodyText"/>
            </w:pPr>
            <w:r w:rsidRPr="00CB2C2A">
              <w:t xml:space="preserve">Performance criteria describe the required performance needed </w:t>
            </w:r>
            <w:r w:rsidRPr="00CB2C2A">
              <w:t>to demonstrate achievement of the element. Assessment of performance is to be consistent with the evidence guide.</w:t>
            </w:r>
          </w:p>
        </w:tc>
      </w:tr>
    </w:tbl>
    <w:p w:rsidR="00000000" w:rsidRPr="00CB2C2A" w:rsidP="00CB2C2A">
      <w:pPr>
        <w:pStyle w:val="BodyText"/>
      </w:pPr>
    </w:p>
    <w:p w:rsidR="00000000" w:rsidRPr="00CB2C2A" w:rsidP="00CB2C2A">
      <w:pPr>
        <w:pStyle w:val="AllowPageBreak"/>
      </w:pPr>
    </w:p>
    <w:p w:rsidR="00000000" w:rsidRPr="00CB2C2A" w:rsidP="00CB2C2A">
      <w:pPr>
        <w:pStyle w:val="Heading1"/>
      </w:pPr>
      <w:bookmarkStart w:id="8" w:name="O_239142"/>
      <w:bookmarkEnd w:id="8"/>
      <w:r w:rsidRPr="00CB2C2A">
        <w:t>Elements and Performance Criteria</w:t>
      </w:r>
    </w:p>
    <w:tbl>
      <w:tblPr>
        <w:tblW w:w="9640" w:type="dxa"/>
        <w:tblLayout w:type="fixed"/>
        <w:tblCellMar>
          <w:left w:w="62" w:type="dxa"/>
          <w:right w:w="62" w:type="dxa"/>
        </w:tblCellMar>
        <w:tblLook w:val="0000"/>
      </w:tblPr>
      <w:tblGrid>
        <w:gridCol w:w="2978"/>
        <w:gridCol w:w="6662"/>
      </w:tblGrid>
      <w:tr w:rsidTr="007B69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B2C2A" w:rsidP="00CB2C2A">
            <w:pPr>
              <w:pStyle w:val="List"/>
            </w:pPr>
            <w:r w:rsidRPr="00CB2C2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B2C2A">
            <w:pPr>
              <w:pStyle w:val="List"/>
              <w:rPr>
                <w:lang w:val="en-NZ"/>
              </w:rPr>
            </w:pPr>
            <w:r w:rsidRPr="00CB2C2A">
              <w:rPr>
                <w:rStyle w:val="SpecialBold"/>
              </w:rPr>
              <w:t>PERFORMANCE CRITERIA</w:t>
            </w:r>
          </w:p>
        </w:tc>
      </w:tr>
      <w:tr w:rsidTr="007B69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2C2A">
            <w:pPr>
              <w:pStyle w:val="List"/>
              <w:rPr>
                <w:lang w:val="en-NZ"/>
              </w:rPr>
            </w:pPr>
            <w:r w:rsidRPr="00CB2C2A">
              <w:rPr>
                <w:rStyle w:val="SpecialBold"/>
              </w:rPr>
              <w:t>1</w:t>
            </w:r>
            <w:r w:rsidRPr="00CB2C2A">
              <w:tab/>
            </w:r>
            <w:r w:rsidRPr="00CB2C2A">
              <w:rPr>
                <w:rStyle w:val="SpecialBold"/>
              </w:rPr>
              <w:t xml:space="preserve">Coordinate the collection of health information </w:t>
            </w:r>
            <w:r w:rsidRPr="00CB2C2A">
              <w:rPr>
                <w:rStyle w:val="SpecialBold"/>
              </w:rPr>
              <w:t>to aid health planning and the delivery of health support</w:t>
            </w:r>
          </w:p>
        </w:tc>
        <w:tc>
          <w:tcPr>
            <w:tcW w:w="6662" w:type="dxa"/>
            <w:tcBorders>
              <w:top w:val="nil"/>
              <w:left w:val="nil"/>
              <w:bottom w:val="nil"/>
              <w:right w:val="nil"/>
            </w:tcBorders>
            <w:tcMar>
              <w:top w:w="0" w:type="dxa"/>
              <w:left w:w="62" w:type="dxa"/>
              <w:bottom w:w="0" w:type="dxa"/>
              <w:right w:w="62" w:type="dxa"/>
            </w:tcMar>
          </w:tcPr>
          <w:p w:rsidR="00000000" w:rsidRPr="00CB2C2A" w:rsidP="00CB2C2A">
            <w:pPr>
              <w:pStyle w:val="List"/>
            </w:pPr>
            <w:r w:rsidRPr="00CB2C2A">
              <w:t>1.1</w:t>
            </w:r>
            <w:r w:rsidRPr="00CB2C2A">
              <w:tab/>
              <w:t>Health information requirements are identified which will contribute to the establishment and maintenance of an accurate understanding of current and potential health threats</w:t>
            </w:r>
          </w:p>
          <w:p w:rsidR="00000000" w:rsidRPr="00CB2C2A" w:rsidP="00CB2C2A">
            <w:pPr>
              <w:pStyle w:val="List"/>
            </w:pPr>
            <w:r w:rsidRPr="00CB2C2A">
              <w:t>1.2</w:t>
            </w:r>
            <w:r w:rsidRPr="00CB2C2A">
              <w:tab/>
              <w:t>Health elements</w:t>
            </w:r>
            <w:r w:rsidRPr="00CB2C2A">
              <w:t xml:space="preserve"> are liaised with to establish arrangements for collection and reporting of information</w:t>
            </w:r>
          </w:p>
          <w:p w:rsidR="00000000" w:rsidRPr="00CB2C2A" w:rsidP="00CB2C2A">
            <w:pPr>
              <w:pStyle w:val="List"/>
            </w:pPr>
            <w:r w:rsidRPr="00CB2C2A">
              <w:t>1.3</w:t>
            </w:r>
            <w:r w:rsidRPr="00CB2C2A">
              <w:tab/>
              <w:t>Information management systems and information from health elements are utilised to compile and analyse health data and information to identify trends or data of si</w:t>
            </w:r>
            <w:r w:rsidRPr="00CB2C2A">
              <w:t>gnificance which develops an understanding of current and emerging health threats</w:t>
            </w:r>
          </w:p>
          <w:p w:rsidR="00000000" w:rsidRPr="00CB2C2A" w:rsidP="00CB2C2A">
            <w:pPr>
              <w:pStyle w:val="List"/>
            </w:pPr>
            <w:r w:rsidRPr="00CB2C2A">
              <w:t>1.4</w:t>
            </w:r>
            <w:r w:rsidRPr="00CB2C2A">
              <w:tab/>
              <w:t>Health estimates are produced and updated based on analysis of the health information and direction from health specialists</w:t>
            </w:r>
          </w:p>
          <w:p w:rsidR="00000000" w:rsidP="00CB2C2A">
            <w:pPr>
              <w:pStyle w:val="List"/>
              <w:rPr>
                <w:lang w:val="en-NZ"/>
              </w:rPr>
            </w:pPr>
            <w:r w:rsidRPr="00CB2C2A">
              <w:t>1.5</w:t>
            </w:r>
            <w:r w:rsidRPr="00CB2C2A">
              <w:tab/>
              <w:t>Health estimates are communicated to stake</w:t>
            </w:r>
            <w:r w:rsidRPr="00CB2C2A">
              <w:t>holders to enable appropriate employment of health support capabilities</w:t>
            </w:r>
          </w:p>
        </w:tc>
      </w:tr>
      <w:tr w:rsidTr="007B69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2C2A">
            <w:pPr>
              <w:pStyle w:val="List"/>
              <w:rPr>
                <w:lang w:val="en-NZ"/>
              </w:rPr>
            </w:pPr>
            <w:r w:rsidRPr="00CB2C2A">
              <w:rPr>
                <w:rStyle w:val="SpecialBold"/>
              </w:rPr>
              <w:t>2</w:t>
            </w:r>
            <w:r w:rsidRPr="00CB2C2A">
              <w:tab/>
            </w:r>
            <w:r w:rsidRPr="00CB2C2A">
              <w:rPr>
                <w:rStyle w:val="SpecialBold"/>
              </w:rPr>
              <w:t>Undertake casualty regulation in support of operations</w:t>
            </w:r>
          </w:p>
        </w:tc>
        <w:tc>
          <w:tcPr>
            <w:tcW w:w="6662" w:type="dxa"/>
            <w:tcBorders>
              <w:top w:val="nil"/>
              <w:left w:val="nil"/>
              <w:bottom w:val="nil"/>
              <w:right w:val="nil"/>
            </w:tcBorders>
            <w:tcMar>
              <w:top w:w="0" w:type="dxa"/>
              <w:left w:w="62" w:type="dxa"/>
              <w:bottom w:w="0" w:type="dxa"/>
              <w:right w:w="62" w:type="dxa"/>
            </w:tcMar>
          </w:tcPr>
          <w:p w:rsidR="00000000" w:rsidRPr="00CB2C2A" w:rsidP="00CB2C2A">
            <w:pPr>
              <w:pStyle w:val="List"/>
            </w:pPr>
            <w:r w:rsidRPr="00CB2C2A">
              <w:t>2.1</w:t>
            </w:r>
            <w:r w:rsidRPr="00CB2C2A">
              <w:tab/>
              <w:t>Casualty regulation strategies are determined and implemented to ensure efficient routing of casualties to appropriate tre</w:t>
            </w:r>
            <w:r w:rsidRPr="00CB2C2A">
              <w:t>atment facilities</w:t>
            </w:r>
          </w:p>
          <w:p w:rsidR="00000000" w:rsidRPr="00CB2C2A" w:rsidP="00CB2C2A">
            <w:pPr>
              <w:pStyle w:val="List"/>
            </w:pPr>
            <w:r w:rsidRPr="00CB2C2A">
              <w:t>2.2</w:t>
            </w:r>
            <w:r w:rsidRPr="00CB2C2A">
              <w:tab/>
              <w:t>Effectiveness of casualty regulation strategies is monitored and adapted to ensure it reflects  the needs of the environment and operational situation</w:t>
            </w:r>
          </w:p>
          <w:p w:rsidR="00000000" w:rsidP="00CB2C2A">
            <w:pPr>
              <w:pStyle w:val="List"/>
              <w:rPr>
                <w:lang w:val="en-NZ"/>
              </w:rPr>
            </w:pPr>
            <w:r w:rsidRPr="00CB2C2A">
              <w:t>2.3</w:t>
            </w:r>
            <w:r w:rsidRPr="00CB2C2A">
              <w:tab/>
              <w:t>Casualty evacuation is coordinated to support the appropriate movement of casua</w:t>
            </w:r>
            <w:r w:rsidRPr="00CB2C2A">
              <w:t>lties around the area of operations</w:t>
            </w:r>
          </w:p>
        </w:tc>
      </w:tr>
      <w:tr w:rsidTr="007B69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2C2A">
            <w:pPr>
              <w:pStyle w:val="List"/>
              <w:rPr>
                <w:lang w:val="en-NZ"/>
              </w:rPr>
            </w:pPr>
            <w:r w:rsidRPr="00CB2C2A">
              <w:rPr>
                <w:rStyle w:val="SpecialBold"/>
              </w:rPr>
              <w:t>3</w:t>
            </w:r>
            <w:r w:rsidRPr="00CB2C2A">
              <w:tab/>
            </w:r>
            <w:r w:rsidRPr="00CB2C2A">
              <w:rPr>
                <w:rStyle w:val="SpecialBold"/>
              </w:rPr>
              <w:t>Coordinate supply and support services to health facilities</w:t>
            </w:r>
          </w:p>
        </w:tc>
        <w:tc>
          <w:tcPr>
            <w:tcW w:w="6662" w:type="dxa"/>
            <w:tcBorders>
              <w:top w:val="nil"/>
              <w:left w:val="nil"/>
              <w:bottom w:val="nil"/>
              <w:right w:val="nil"/>
            </w:tcBorders>
            <w:tcMar>
              <w:top w:w="0" w:type="dxa"/>
              <w:left w:w="62" w:type="dxa"/>
              <w:bottom w:w="0" w:type="dxa"/>
              <w:right w:w="62" w:type="dxa"/>
            </w:tcMar>
          </w:tcPr>
          <w:p w:rsidR="00000000" w:rsidRPr="00CB2C2A" w:rsidP="00CB2C2A">
            <w:pPr>
              <w:pStyle w:val="List"/>
            </w:pPr>
            <w:r w:rsidRPr="00CB2C2A">
              <w:t>3.1</w:t>
            </w:r>
            <w:r w:rsidRPr="00CB2C2A">
              <w:tab/>
              <w:t>Arrangements for the removal and disposal of health related waste is coordinated</w:t>
            </w:r>
          </w:p>
          <w:p w:rsidR="00000000" w:rsidRPr="00CB2C2A" w:rsidP="00CB2C2A">
            <w:pPr>
              <w:pStyle w:val="List"/>
            </w:pPr>
            <w:r w:rsidRPr="00CB2C2A">
              <w:t>3.2</w:t>
            </w:r>
            <w:r w:rsidRPr="00CB2C2A">
              <w:tab/>
            </w:r>
            <w:r w:rsidRPr="00CB2C2A">
              <w:t>Water resupply to health facilities is monitored to ensure water availability is consistent with the health dependency being supported</w:t>
            </w:r>
          </w:p>
          <w:p w:rsidR="00000000" w:rsidRPr="00CB2C2A" w:rsidP="00CB2C2A">
            <w:pPr>
              <w:pStyle w:val="List"/>
            </w:pPr>
            <w:r w:rsidRPr="00CB2C2A">
              <w:t>3.3</w:t>
            </w:r>
            <w:r w:rsidRPr="00CB2C2A">
              <w:tab/>
              <w:t xml:space="preserve">Laundry support to health facilities is coordinated to ensure linen and clothing availability is consistent with the </w:t>
            </w:r>
            <w:r w:rsidRPr="00CB2C2A">
              <w:t>health dependency being supported</w:t>
            </w:r>
          </w:p>
          <w:p w:rsidR="00000000" w:rsidRPr="00CB2C2A" w:rsidP="00CB2C2A">
            <w:pPr>
              <w:pStyle w:val="List"/>
            </w:pPr>
            <w:r w:rsidRPr="00CB2C2A">
              <w:t>3.4</w:t>
            </w:r>
            <w:r w:rsidRPr="00CB2C2A">
              <w:tab/>
              <w:t>Mortuary support to health facilities is coordinated to ensure remains storage is consistent with the operational need and the operational plan for the handling and repatriation of human remains</w:t>
            </w:r>
          </w:p>
          <w:p w:rsidR="00000000" w:rsidRPr="00CB2C2A" w:rsidP="00CB2C2A">
            <w:pPr>
              <w:pStyle w:val="List"/>
            </w:pPr>
            <w:r w:rsidRPr="00CB2C2A">
              <w:t>3.5</w:t>
            </w:r>
            <w:r w:rsidRPr="00CB2C2A">
              <w:tab/>
              <w:t xml:space="preserve">Medical and dental </w:t>
            </w:r>
            <w:r w:rsidRPr="00CB2C2A">
              <w:t>supply arrangements are monitored to ensure perishable and/or disposable items are supplied consistent with the health dependency being supported and identified and forecasted usage rates</w:t>
            </w:r>
          </w:p>
          <w:p w:rsidR="00000000" w:rsidP="00CB2C2A">
            <w:pPr>
              <w:pStyle w:val="List"/>
              <w:rPr>
                <w:lang w:val="en-NZ"/>
              </w:rPr>
            </w:pPr>
            <w:r w:rsidRPr="00CB2C2A">
              <w:t>3.6</w:t>
            </w:r>
            <w:r w:rsidRPr="00CB2C2A">
              <w:tab/>
              <w:t>The procurement, transportation and supply of whole blood is coo</w:t>
            </w:r>
            <w:r w:rsidRPr="00CB2C2A">
              <w:t>rdinated to ensure surgical elements have sufficient quantities of blood to meet current and potential health care requirements</w:t>
            </w:r>
          </w:p>
        </w:tc>
      </w:tr>
      <w:tr w:rsidTr="007B69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2C2A">
            <w:pPr>
              <w:pStyle w:val="List"/>
              <w:rPr>
                <w:lang w:val="en-NZ"/>
              </w:rPr>
            </w:pPr>
            <w:r w:rsidRPr="00CB2C2A">
              <w:rPr>
                <w:rStyle w:val="SpecialBold"/>
              </w:rPr>
              <w:t>4</w:t>
            </w:r>
            <w:r w:rsidRPr="00CB2C2A">
              <w:tab/>
            </w:r>
            <w:r w:rsidRPr="00CB2C2A">
              <w:rPr>
                <w:rStyle w:val="SpecialBold"/>
              </w:rPr>
              <w:t>Coordinate health administration</w:t>
            </w:r>
          </w:p>
        </w:tc>
        <w:tc>
          <w:tcPr>
            <w:tcW w:w="6662" w:type="dxa"/>
            <w:tcBorders>
              <w:top w:val="nil"/>
              <w:left w:val="nil"/>
              <w:bottom w:val="nil"/>
              <w:right w:val="nil"/>
            </w:tcBorders>
            <w:tcMar>
              <w:top w:w="0" w:type="dxa"/>
              <w:left w:w="62" w:type="dxa"/>
              <w:bottom w:w="0" w:type="dxa"/>
              <w:right w:w="62" w:type="dxa"/>
            </w:tcMar>
          </w:tcPr>
          <w:p w:rsidR="00000000" w:rsidRPr="00CB2C2A" w:rsidP="00CB2C2A">
            <w:pPr>
              <w:pStyle w:val="List"/>
            </w:pPr>
            <w:r w:rsidRPr="00CB2C2A">
              <w:t>4.1</w:t>
            </w:r>
            <w:r w:rsidRPr="00CB2C2A">
              <w:tab/>
              <w:t>Accurate records of organisational clinical workload and patient care statistics are mai</w:t>
            </w:r>
            <w:r w:rsidRPr="00CB2C2A">
              <w:t>ntained to provide a basis for analysis and the improvement of services</w:t>
            </w:r>
          </w:p>
          <w:p w:rsidR="00000000" w:rsidRPr="00CB2C2A" w:rsidP="00CB2C2A">
            <w:pPr>
              <w:pStyle w:val="List"/>
            </w:pPr>
            <w:r w:rsidRPr="00CB2C2A">
              <w:t>4.2</w:t>
            </w:r>
            <w:r w:rsidRPr="00CB2C2A">
              <w:tab/>
              <w:t>Medical reports and returns are prepared and issued to provide an accurate picture of health status</w:t>
            </w:r>
          </w:p>
          <w:p w:rsidR="00000000" w:rsidRPr="00CB2C2A" w:rsidP="00CB2C2A">
            <w:pPr>
              <w:pStyle w:val="List"/>
            </w:pPr>
            <w:r w:rsidRPr="00CB2C2A">
              <w:t>4.3</w:t>
            </w:r>
            <w:r w:rsidRPr="00CB2C2A">
              <w:tab/>
              <w:t>Advice is prepared and provided on health administration matters to health e</w:t>
            </w:r>
            <w:r w:rsidRPr="00CB2C2A">
              <w:t>lements to ensure the delivery of health care and handling of health administrative matters are in accordance with organisational policy and procedure</w:t>
            </w:r>
          </w:p>
          <w:p w:rsidR="00000000" w:rsidRPr="00CB2C2A" w:rsidP="00CB2C2A">
            <w:pPr>
              <w:pStyle w:val="List"/>
            </w:pPr>
            <w:r w:rsidRPr="00CB2C2A">
              <w:t>4.4</w:t>
            </w:r>
            <w:r w:rsidRPr="00CB2C2A">
              <w:tab/>
              <w:t>Casualty notification and update reports are prepared and issued to notify and provide updates on cas</w:t>
            </w:r>
            <w:r w:rsidRPr="00CB2C2A">
              <w:t>ualty status to family or other interested parties</w:t>
            </w:r>
          </w:p>
          <w:p w:rsidR="00000000" w:rsidRPr="00CB2C2A" w:rsidP="00CB2C2A">
            <w:pPr>
              <w:pStyle w:val="List"/>
            </w:pPr>
            <w:r w:rsidRPr="00CB2C2A">
              <w:t>4.5</w:t>
            </w:r>
            <w:r w:rsidRPr="00CB2C2A">
              <w:tab/>
              <w:t>Relevant agencies are liaised with to seek advice on casualty welfare and administration and to ensure that health support provided is in accordance with organisational policy and procedure</w:t>
            </w:r>
          </w:p>
          <w:p w:rsidR="00000000" w:rsidRPr="00CB2C2A" w:rsidP="00CB2C2A">
            <w:pPr>
              <w:pStyle w:val="List"/>
            </w:pPr>
            <w:r w:rsidRPr="00CB2C2A">
              <w:t>4.6</w:t>
            </w:r>
            <w:r w:rsidRPr="00CB2C2A">
              <w:tab/>
              <w:t xml:space="preserve">Health </w:t>
            </w:r>
            <w:r w:rsidRPr="00CB2C2A">
              <w:t>support operations are monitored to ensure that health support provided is in accordance with organisational policy and procedure</w:t>
            </w:r>
          </w:p>
        </w:tc>
      </w:tr>
    </w:tbl>
    <w:p w:rsidR="007B69E0" w:rsidP="00CB2C2A">
      <w:pPr>
        <w:pStyle w:val="BodyText"/>
      </w:pPr>
    </w:p>
    <w:p w:rsidR="007B69E0" w:rsidP="00CB2C2A">
      <w:pPr>
        <w:pStyle w:val="BodyText"/>
      </w:pPr>
    </w:p>
    <w:p w:rsidR="00000000" w:rsidRPr="00CB2C2A" w:rsidP="00CB2C2A">
      <w:pPr>
        <w:pStyle w:val="Heading1"/>
      </w:pPr>
      <w:bookmarkStart w:id="9" w:name="O_262933"/>
      <w:bookmarkEnd w:id="9"/>
      <w:r w:rsidRPr="00CB2C2A">
        <w:t>Required Skills and Knowledge</w:t>
      </w:r>
    </w:p>
    <w:tbl>
      <w:tblPr>
        <w:tblW w:w="9640" w:type="dxa"/>
        <w:tblLayout w:type="fixed"/>
        <w:tblCellMar>
          <w:left w:w="62" w:type="dxa"/>
          <w:right w:w="62" w:type="dxa"/>
        </w:tblCellMar>
        <w:tblLook w:val="0000"/>
      </w:tblPr>
      <w:tblGrid>
        <w:gridCol w:w="9640"/>
      </w:tblGrid>
      <w:tr w:rsidTr="007B69E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REQUIRED KNOWLEDGE AND SKILLS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This describes the essential knowledge and skills and their level required for this unit.</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Required knowledge</w:t>
            </w:r>
            <w:r w:rsidRPr="00CB2C2A">
              <w:t>:</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Organisational policy and procedure pertaining to health support</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Principles of health support</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Casualty regulation strategies, concepts and principles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Health information collection, analysis and application</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Policy and procedure relating to evacuation</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Tasks and composition of health elements and their points of interaction</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Health stores and e</w:t>
            </w:r>
            <w:r w:rsidRPr="00CB2C2A">
              <w:t>quipment including resupply systems and procedures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Patient tracking and administration</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Mortuary requirements relating to health support</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Requirements relating to the management of health waste</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Supply, handling, storage of blood products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Laundry requirements relating to health support</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Legislative and regulatory environment as it pertains to materiel logistics and health services delivery</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The functionality and operation of logistic information management systems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Risks to health suppor</w:t>
            </w:r>
            <w:r w:rsidRPr="00CB2C2A">
              <w:t>t</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Environment consideration in health support</w:t>
            </w:r>
          </w:p>
        </w:tc>
      </w:tr>
    </w:tbl>
    <w:p w:rsidR="00000000" w:rsidRPr="00CB2C2A" w:rsidP="00CB2C2A">
      <w:pPr>
        <w:pStyle w:val="BodyText"/>
      </w:pPr>
    </w:p>
    <w:tbl>
      <w:tblPr>
        <w:tblW w:w="9640" w:type="dxa"/>
        <w:tblLayout w:type="fixed"/>
        <w:tblCellMar>
          <w:left w:w="62" w:type="dxa"/>
          <w:right w:w="62" w:type="dxa"/>
        </w:tblCellMar>
        <w:tblLook w:val="0000"/>
      </w:tblPr>
      <w:tblGrid>
        <w:gridCol w:w="9640"/>
      </w:tblGrid>
      <w:tr w:rsidTr="007B69E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Required skills</w:t>
            </w:r>
            <w:r w:rsidRPr="00CB2C2A">
              <w:t>:</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Interpret instructions and apply to actions and tasks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Identify the operation's intent and recognise how own work contributes to operational success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Work cooperatively as a member of a team</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Undertake analysis to determine where internal and external factors impact on the health support requirements and adjust planning accordingly</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Use numeracy skills to accurately analyse and validate information</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Identify viable and useful health information sources and facilitate their collection</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Collate and analyse health information to identify current and emerging health threats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 xml:space="preserve">Apply the outcomes of health risk analysis to the planning and coordination of </w:t>
            </w:r>
            <w:r w:rsidRPr="00CB2C2A">
              <w:t>current operations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Make decisive, informed decisions that align the current health support operation to the organisational requirements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Use organisational skills to manage own tasks in concert with other planners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Use problem-solving skills to apply a</w:t>
            </w:r>
            <w:r w:rsidRPr="00CB2C2A">
              <w:t xml:space="preserve"> broad range of problem-solving strategies to planning outcomes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Move forward despite the difficulty of the planning task</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Interpret policies and procedures</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2C2A">
            <w:pPr>
              <w:pStyle w:val="ListBullet"/>
              <w:rPr>
                <w:lang w:val="en-NZ"/>
              </w:rPr>
            </w:pPr>
            <w:r w:rsidRPr="00CB2C2A">
              <w:t>Use appropriate information technology and software</w:t>
            </w:r>
          </w:p>
        </w:tc>
      </w:tr>
      <w:tr w:rsidTr="007B69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Prepare and issue written instructions</w:t>
            </w:r>
          </w:p>
        </w:tc>
      </w:tr>
    </w:tbl>
    <w:p w:rsidR="007B69E0" w:rsidP="00CB2C2A">
      <w:pPr>
        <w:pStyle w:val="BodyText"/>
      </w:pPr>
    </w:p>
    <w:p w:rsidR="007B69E0" w:rsidP="00CB2C2A">
      <w:pPr>
        <w:pStyle w:val="BodyText"/>
      </w:pPr>
    </w:p>
    <w:p w:rsidR="00000000" w:rsidRPr="00CB2C2A" w:rsidP="00CB2C2A">
      <w:pPr>
        <w:pStyle w:val="Heading1"/>
      </w:pPr>
      <w:bookmarkStart w:id="10" w:name="O_247126"/>
      <w:bookmarkEnd w:id="10"/>
      <w:r w:rsidRPr="00CB2C2A">
        <w:t>Evidence Guide</w:t>
      </w:r>
    </w:p>
    <w:tbl>
      <w:tblPr>
        <w:tblW w:w="9499" w:type="dxa"/>
        <w:tblLayout w:type="fixed"/>
        <w:tblCellMar>
          <w:left w:w="62" w:type="dxa"/>
          <w:right w:w="62" w:type="dxa"/>
        </w:tblCellMar>
        <w:tblLook w:val="0000"/>
      </w:tblPr>
      <w:tblGrid>
        <w:gridCol w:w="3524"/>
        <w:gridCol w:w="5975"/>
      </w:tblGrid>
      <w:tr w:rsidTr="007B69E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EVIDENCE GUIDE</w:t>
            </w:r>
          </w:p>
        </w:tc>
      </w:tr>
      <w:tr w:rsidTr="007B69E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 xml:space="preserve">The evidence guide provides advice on assessment and must be read in conjunction with the performance criteria, required knowledge and skills, </w:t>
            </w:r>
            <w:r w:rsidRPr="00CB2C2A">
              <w:t>the range statement and the assessment guidelines for this Training Package.</w:t>
            </w:r>
          </w:p>
        </w:tc>
      </w:tr>
      <w:tr w:rsidTr="007B69E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The evidence required to demonstrate competency in this unit must be relevant to an</w:t>
            </w:r>
            <w:r w:rsidRPr="00CB2C2A">
              <w:t>d satisfy all of the requirements of the elements and performance criteria of this unit and include demonstration of the following:</w:t>
            </w:r>
          </w:p>
          <w:p w:rsidR="00000000" w:rsidRPr="00CB2C2A" w:rsidP="00CB2C2A">
            <w:pPr>
              <w:pStyle w:val="ListBullet2"/>
            </w:pPr>
            <w:r w:rsidRPr="00CB2C2A">
              <w:t>maintain a health threat assessment (health estimate) based on the collection and analysis of health information</w:t>
            </w:r>
          </w:p>
          <w:p w:rsidR="00000000" w:rsidRPr="00CB2C2A" w:rsidP="00CB2C2A">
            <w:pPr>
              <w:pStyle w:val="ListBullet2"/>
            </w:pPr>
            <w:r w:rsidRPr="00CB2C2A">
              <w:t>make specific recommendation to a medical specialist regarding emerging health threats</w:t>
            </w:r>
          </w:p>
          <w:p w:rsidR="00000000" w:rsidRPr="00CB2C2A" w:rsidP="00CB2C2A">
            <w:pPr>
              <w:pStyle w:val="ListBullet2"/>
            </w:pPr>
            <w:r w:rsidRPr="00CB2C2A">
              <w:t>coordinate the provision of health support service to deployed health facilities</w:t>
            </w:r>
          </w:p>
          <w:p w:rsidR="00000000" w:rsidRPr="00CB2C2A" w:rsidP="00CB2C2A">
            <w:pPr>
              <w:pStyle w:val="ListBullet2"/>
            </w:pPr>
            <w:r w:rsidRPr="00CB2C2A">
              <w:t>coordinate health administration in accordance with organisational policy and procedure</w:t>
            </w:r>
          </w:p>
          <w:p w:rsidR="00000000" w:rsidP="00CB2C2A">
            <w:pPr>
              <w:pStyle w:val="ListBullet2"/>
              <w:rPr>
                <w:lang w:val="en-NZ"/>
              </w:rPr>
            </w:pPr>
            <w:r w:rsidRPr="00CB2C2A">
              <w:t>apply organisational policy and procedure relating to the delivery of health support</w:t>
            </w:r>
          </w:p>
        </w:tc>
      </w:tr>
      <w:tr w:rsidTr="007B69E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Competency should be demonstrated on at least one occasion covering the scope of the unit of competence</w:t>
            </w:r>
          </w:p>
          <w:p w:rsidR="00000000" w:rsidRPr="00CB2C2A" w:rsidP="00CB2C2A">
            <w:pPr>
              <w:pStyle w:val="ListBullet"/>
            </w:pPr>
            <w:r w:rsidRPr="00CB2C2A">
              <w:t>Resources for assessment include:</w:t>
            </w:r>
          </w:p>
          <w:p w:rsidR="00000000" w:rsidRPr="00CB2C2A" w:rsidP="00CB2C2A">
            <w:pPr>
              <w:pStyle w:val="ListBullet2"/>
            </w:pPr>
            <w:r w:rsidRPr="00CB2C2A">
              <w:t>a range of relevant exercises, case studies and/or other simulated practical and knowledge assessment, and/or</w:t>
            </w:r>
          </w:p>
          <w:p w:rsidR="00000000" w:rsidRPr="00CB2C2A" w:rsidP="00CB2C2A">
            <w:pPr>
              <w:pStyle w:val="ListBullet2"/>
            </w:pPr>
            <w:r w:rsidRPr="00CB2C2A">
              <w:t>access to an appropriate range of relevant operational situations in the workplace</w:t>
            </w:r>
          </w:p>
          <w:p w:rsidR="00000000" w:rsidRPr="00CB2C2A" w:rsidP="00CB2C2A">
            <w:pPr>
              <w:pStyle w:val="ListBullet"/>
            </w:pPr>
            <w:r w:rsidRPr="00CB2C2A">
              <w:t xml:space="preserve">In both real and simulated </w:t>
            </w:r>
            <w:r w:rsidRPr="00CB2C2A">
              <w:t>environments, access is required to:</w:t>
            </w:r>
          </w:p>
          <w:p w:rsidR="00000000" w:rsidRPr="00CB2C2A" w:rsidP="00CB2C2A">
            <w:pPr>
              <w:pStyle w:val="ListBullet2"/>
            </w:pPr>
            <w:r w:rsidRPr="00CB2C2A">
              <w:t>relevant and appropriate materials and equipment, and</w:t>
            </w:r>
          </w:p>
          <w:p w:rsidR="00000000" w:rsidP="00CB2C2A">
            <w:pPr>
              <w:pStyle w:val="ListBullet2"/>
              <w:rPr>
                <w:lang w:val="en-NZ"/>
              </w:rPr>
            </w:pPr>
            <w:r w:rsidRPr="00CB2C2A">
              <w:t>applicable documentation including workplace procedures, regulations, codes of practice and operation manuals</w:t>
            </w:r>
          </w:p>
        </w:tc>
      </w:tr>
      <w:tr w:rsidTr="007B69E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Assessment of this unit must be undertaken by a registered training organisation</w:t>
            </w:r>
          </w:p>
          <w:p w:rsidR="00000000" w:rsidRPr="00CB2C2A" w:rsidP="00CB2C2A">
            <w:pPr>
              <w:pStyle w:val="ListBullet"/>
            </w:pPr>
            <w:r w:rsidRPr="00CB2C2A">
              <w:t>As a minimum, assessment of knowledge must be conducted through appropriate written/oral tests</w:t>
            </w:r>
          </w:p>
          <w:p w:rsidR="00000000" w:rsidRPr="00CB2C2A" w:rsidP="00CB2C2A">
            <w:pPr>
              <w:pStyle w:val="ListBullet"/>
            </w:pPr>
            <w:r w:rsidRPr="00CB2C2A">
              <w:t>Practical assessment must occur:</w:t>
            </w:r>
          </w:p>
          <w:p w:rsidR="00000000" w:rsidRPr="00CB2C2A" w:rsidP="00CB2C2A">
            <w:pPr>
              <w:pStyle w:val="ListBullet2"/>
            </w:pPr>
            <w:r w:rsidRPr="00CB2C2A">
              <w:t>through activities in an appropriately simulat</w:t>
            </w:r>
            <w:r w:rsidRPr="00CB2C2A">
              <w:t>ed environment, and/or</w:t>
            </w:r>
          </w:p>
          <w:p w:rsidR="00000000" w:rsidRPr="00CB2C2A" w:rsidP="00CB2C2A">
            <w:pPr>
              <w:pStyle w:val="ListBullet2"/>
            </w:pPr>
            <w:r w:rsidRPr="00CB2C2A">
              <w:t>in an appropriate range of situations in the workplace</w:t>
            </w:r>
          </w:p>
        </w:tc>
      </w:tr>
    </w:tbl>
    <w:p w:rsidR="007B69E0" w:rsidP="00CB2C2A">
      <w:pPr>
        <w:pStyle w:val="BodyText"/>
      </w:pPr>
    </w:p>
    <w:p w:rsidR="007B69E0" w:rsidP="00CB2C2A">
      <w:pPr>
        <w:pStyle w:val="BodyText"/>
      </w:pPr>
    </w:p>
    <w:p w:rsidR="00000000" w:rsidRPr="00CB2C2A" w:rsidP="00CB2C2A">
      <w:pPr>
        <w:pStyle w:val="Heading1"/>
      </w:pPr>
      <w:bookmarkStart w:id="11" w:name="O_255109"/>
      <w:bookmarkEnd w:id="11"/>
      <w:r w:rsidRPr="00CB2C2A">
        <w:t>Range Statement</w:t>
      </w:r>
    </w:p>
    <w:tbl>
      <w:tblPr>
        <w:tblW w:w="9640" w:type="dxa"/>
        <w:tblLayout w:type="fixed"/>
        <w:tblCellMar>
          <w:left w:w="62" w:type="dxa"/>
          <w:right w:w="62" w:type="dxa"/>
        </w:tblCellMar>
        <w:tblLook w:val="0000"/>
      </w:tblPr>
      <w:tblGrid>
        <w:gridCol w:w="3486"/>
        <w:gridCol w:w="6154"/>
      </w:tblGrid>
      <w:tr w:rsidTr="007B69E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RANGE STATEMENT</w:t>
            </w:r>
            <w:r w:rsidRPr="00CB2C2A">
              <w:t xml:space="preserve"> </w:t>
            </w:r>
          </w:p>
        </w:tc>
      </w:tr>
      <w:tr w:rsidTr="007B69E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 xml:space="preserve">The range statement relates to the unit of competency as a whole. </w:t>
            </w:r>
            <w:r w:rsidRPr="00CB2C2A">
              <w:t>It allows for different work environments and situations that may affect performance.</w:t>
            </w:r>
          </w:p>
        </w:tc>
      </w:tr>
      <w:tr w:rsidTr="007B69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Health information requirements may include:</w:t>
            </w:r>
          </w:p>
        </w:tc>
        <w:tc>
          <w:tcPr>
            <w:tcW w:w="6154"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casualty encounters</w:t>
            </w:r>
          </w:p>
          <w:p w:rsidR="00000000" w:rsidRPr="00CB2C2A" w:rsidP="00CB2C2A">
            <w:pPr>
              <w:pStyle w:val="ListBullet"/>
            </w:pPr>
            <w:r w:rsidRPr="00CB2C2A">
              <w:t>types of injuries</w:t>
            </w:r>
          </w:p>
          <w:p w:rsidR="00000000" w:rsidRPr="00CB2C2A" w:rsidP="00CB2C2A">
            <w:pPr>
              <w:pStyle w:val="ListBullet"/>
            </w:pPr>
            <w:r w:rsidRPr="00CB2C2A">
              <w:t>types of illnesses</w:t>
            </w:r>
          </w:p>
          <w:p w:rsidR="00000000" w:rsidRPr="00CB2C2A" w:rsidP="00CB2C2A">
            <w:pPr>
              <w:pStyle w:val="ListBullet"/>
            </w:pPr>
            <w:r w:rsidRPr="00CB2C2A">
              <w:t>severity of condition</w:t>
            </w:r>
          </w:p>
          <w:p w:rsidR="00000000" w:rsidRPr="00CB2C2A" w:rsidP="00CB2C2A">
            <w:pPr>
              <w:pStyle w:val="ListBullet"/>
            </w:pPr>
            <w:r w:rsidRPr="00CB2C2A">
              <w:t>location of onset</w:t>
            </w:r>
          </w:p>
          <w:p w:rsidR="00000000" w:rsidRPr="00CB2C2A" w:rsidP="00CB2C2A">
            <w:pPr>
              <w:pStyle w:val="ListBullet"/>
            </w:pPr>
            <w:r w:rsidRPr="00CB2C2A">
              <w:t>preventative measures in place</w:t>
            </w:r>
          </w:p>
          <w:p w:rsidR="00000000" w:rsidP="00CB2C2A">
            <w:pPr>
              <w:pStyle w:val="ListBullet"/>
              <w:rPr>
                <w:lang w:val="en-NZ"/>
              </w:rPr>
            </w:pPr>
            <w:r w:rsidRPr="00CB2C2A">
              <w:t>environmental information</w:t>
            </w:r>
          </w:p>
        </w:tc>
      </w:tr>
      <w:tr w:rsidTr="007B69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Health elements may include:</w:t>
            </w:r>
          </w:p>
        </w:tc>
        <w:tc>
          <w:tcPr>
            <w:tcW w:w="6154"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dental team</w:t>
            </w:r>
          </w:p>
          <w:p w:rsidR="00000000" w:rsidRPr="00CB2C2A" w:rsidP="00CB2C2A">
            <w:pPr>
              <w:pStyle w:val="ListBullet"/>
            </w:pPr>
            <w:r w:rsidRPr="00CB2C2A">
              <w:t>environmental health team</w:t>
            </w:r>
          </w:p>
          <w:p w:rsidR="00000000" w:rsidRPr="00CB2C2A" w:rsidP="00CB2C2A">
            <w:pPr>
              <w:pStyle w:val="ListBullet"/>
            </w:pPr>
            <w:r w:rsidRPr="00CB2C2A">
              <w:t>health assessment team</w:t>
            </w:r>
          </w:p>
          <w:p w:rsidR="00000000" w:rsidRPr="00CB2C2A" w:rsidP="00CB2C2A">
            <w:pPr>
              <w:pStyle w:val="ListBullet"/>
            </w:pPr>
            <w:r w:rsidRPr="00CB2C2A">
              <w:t>field pathology team</w:t>
            </w:r>
          </w:p>
          <w:p w:rsidR="00000000" w:rsidRPr="00CB2C2A" w:rsidP="00CB2C2A">
            <w:pPr>
              <w:pStyle w:val="ListBullet"/>
            </w:pPr>
            <w:r w:rsidRPr="00CB2C2A">
              <w:t>low/medium/high dependency nursing team</w:t>
            </w:r>
          </w:p>
          <w:p w:rsidR="00000000" w:rsidRPr="00CB2C2A" w:rsidP="00CB2C2A">
            <w:pPr>
              <w:pStyle w:val="ListBullet"/>
            </w:pPr>
            <w:r w:rsidRPr="00CB2C2A">
              <w:t>primary health care team</w:t>
            </w:r>
          </w:p>
          <w:p w:rsidR="00000000" w:rsidRPr="00CB2C2A" w:rsidP="00CB2C2A">
            <w:pPr>
              <w:pStyle w:val="ListBullet"/>
            </w:pPr>
            <w:r w:rsidRPr="00CB2C2A">
              <w:t>rehabilitation team</w:t>
            </w:r>
          </w:p>
          <w:p w:rsidR="00000000" w:rsidRPr="00CB2C2A" w:rsidP="00CB2C2A">
            <w:pPr>
              <w:pStyle w:val="ListBullet"/>
            </w:pPr>
            <w:r w:rsidRPr="00CB2C2A">
              <w:t>resuscitation team</w:t>
            </w:r>
          </w:p>
          <w:p w:rsidR="00000000" w:rsidRPr="00CB2C2A" w:rsidP="00CB2C2A">
            <w:pPr>
              <w:pStyle w:val="ListBullet"/>
            </w:pPr>
            <w:r w:rsidRPr="00CB2C2A">
              <w:t>surgical team</w:t>
            </w:r>
          </w:p>
          <w:p w:rsidR="00000000" w:rsidRPr="00CB2C2A" w:rsidP="00CB2C2A">
            <w:pPr>
              <w:pStyle w:val="ListBullet"/>
            </w:pPr>
            <w:r w:rsidRPr="00CB2C2A">
              <w:t>laboratory team</w:t>
            </w:r>
          </w:p>
          <w:p w:rsidR="00000000" w:rsidRPr="00CB2C2A" w:rsidP="00CB2C2A">
            <w:pPr>
              <w:pStyle w:val="ListBullet"/>
            </w:pPr>
            <w:r w:rsidRPr="00CB2C2A">
              <w:t>medical imaging team</w:t>
            </w:r>
          </w:p>
          <w:p w:rsidR="00000000" w:rsidRPr="00CB2C2A" w:rsidP="00CB2C2A">
            <w:pPr>
              <w:pStyle w:val="ListBullet"/>
            </w:pPr>
            <w:r w:rsidRPr="00CB2C2A">
              <w:t>road ambulance evacuation team</w:t>
            </w:r>
          </w:p>
          <w:p w:rsidR="00000000" w:rsidRPr="00CB2C2A" w:rsidP="00CB2C2A">
            <w:pPr>
              <w:pStyle w:val="ListBullet"/>
            </w:pPr>
            <w:r w:rsidRPr="00CB2C2A">
              <w:t>aero-medical evacuation team</w:t>
            </w:r>
          </w:p>
          <w:p w:rsidR="00000000" w:rsidRPr="00CB2C2A" w:rsidP="00CB2C2A">
            <w:pPr>
              <w:pStyle w:val="ListBullet"/>
            </w:pPr>
            <w:r w:rsidRPr="00CB2C2A">
              <w:t>psych support team</w:t>
            </w:r>
          </w:p>
          <w:p w:rsidR="00000000" w:rsidRPr="00CB2C2A" w:rsidP="00CB2C2A">
            <w:pPr>
              <w:pStyle w:val="ListBullet"/>
            </w:pPr>
            <w:r w:rsidRPr="00CB2C2A">
              <w:t>mortuary team</w:t>
            </w:r>
          </w:p>
          <w:p w:rsidR="00000000" w:rsidP="00CB2C2A">
            <w:pPr>
              <w:pStyle w:val="ListBullet"/>
              <w:rPr>
                <w:lang w:val="en-NZ"/>
              </w:rPr>
            </w:pPr>
            <w:r w:rsidRPr="00CB2C2A">
              <w:t>ships medical emergency team</w:t>
            </w:r>
          </w:p>
        </w:tc>
      </w:tr>
      <w:tr w:rsidTr="007B69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Organisational policy and procedure may include:</w:t>
            </w:r>
          </w:p>
        </w:tc>
        <w:tc>
          <w:tcPr>
            <w:tcW w:w="6154"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instructions</w:t>
            </w:r>
          </w:p>
          <w:p w:rsidR="00000000" w:rsidRPr="00CB2C2A" w:rsidP="00CB2C2A">
            <w:pPr>
              <w:pStyle w:val="ListBullet"/>
            </w:pPr>
            <w:r w:rsidRPr="00CB2C2A">
              <w:t>operating manuals</w:t>
            </w:r>
          </w:p>
          <w:p w:rsidR="00000000" w:rsidRPr="00CB2C2A" w:rsidP="00CB2C2A">
            <w:pPr>
              <w:pStyle w:val="ListBullet"/>
            </w:pPr>
            <w:r w:rsidRPr="00CB2C2A">
              <w:t>standard operating procedures</w:t>
            </w:r>
          </w:p>
          <w:p w:rsidR="00000000" w:rsidRPr="00CB2C2A" w:rsidP="00CB2C2A">
            <w:pPr>
              <w:pStyle w:val="ListBullet"/>
            </w:pPr>
            <w:r w:rsidRPr="00CB2C2A">
              <w:t>relevant Australian Standards</w:t>
            </w:r>
          </w:p>
          <w:p w:rsidR="00000000" w:rsidRPr="00CB2C2A" w:rsidP="00CB2C2A">
            <w:pPr>
              <w:pStyle w:val="ListBullet"/>
            </w:pPr>
            <w:r w:rsidRPr="00CB2C2A">
              <w:t>relevant Commonwealth Acts</w:t>
            </w:r>
          </w:p>
          <w:p w:rsidR="00000000" w:rsidP="00CB2C2A">
            <w:pPr>
              <w:pStyle w:val="ListBullet"/>
              <w:rPr>
                <w:lang w:val="en-NZ"/>
              </w:rPr>
            </w:pPr>
            <w:r w:rsidRPr="00CB2C2A">
              <w:t>organisational instruction</w:t>
            </w:r>
          </w:p>
        </w:tc>
      </w:tr>
      <w:tr w:rsidTr="007B69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Aims of casualty regulation may include:</w:t>
            </w:r>
          </w:p>
        </w:tc>
        <w:tc>
          <w:tcPr>
            <w:tcW w:w="6154"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efficient routing of casualties to the health facility best able to cope with the</w:t>
            </w:r>
            <w:r w:rsidRPr="00CB2C2A">
              <w:t>ir condition</w:t>
            </w:r>
          </w:p>
          <w:p w:rsidR="00000000" w:rsidRPr="00CB2C2A" w:rsidP="00CB2C2A">
            <w:pPr>
              <w:pStyle w:val="ListBullet"/>
            </w:pPr>
            <w:r w:rsidRPr="00CB2C2A">
              <w:t>even distribution of patients, to ensure that there are adequate beds and treatment capabilities for current and anticipated needs</w:t>
            </w:r>
          </w:p>
          <w:p w:rsidR="00000000" w:rsidRPr="00CB2C2A" w:rsidP="00CB2C2A">
            <w:pPr>
              <w:pStyle w:val="ListBullet"/>
            </w:pPr>
            <w:r w:rsidRPr="00CB2C2A">
              <w:t>minimise the number of times casualties are handled</w:t>
            </w:r>
          </w:p>
          <w:p w:rsidR="00000000" w:rsidRPr="00CB2C2A" w:rsidP="00CB2C2A">
            <w:pPr>
              <w:pStyle w:val="ListBullet"/>
            </w:pPr>
            <w:r w:rsidRPr="00CB2C2A">
              <w:t>prevent the routing of evacuation platforms from one treatment facility to another in an attempt to find available beds or treatment capability</w:t>
            </w:r>
          </w:p>
          <w:p w:rsidR="00000000" w:rsidP="00CB2C2A">
            <w:pPr>
              <w:pStyle w:val="ListBullet"/>
              <w:rPr>
                <w:lang w:val="en-NZ"/>
              </w:rPr>
            </w:pPr>
            <w:r w:rsidRPr="00CB2C2A">
              <w:t>casualties are evacuated no further than their condition or the operational situation demands</w:t>
            </w:r>
          </w:p>
        </w:tc>
      </w:tr>
      <w:tr w:rsidTr="007B69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Health related wa</w:t>
            </w:r>
            <w:r w:rsidRPr="00CB2C2A">
              <w:t>ste may include:</w:t>
            </w:r>
          </w:p>
        </w:tc>
        <w:tc>
          <w:tcPr>
            <w:tcW w:w="6154"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bio-hazard waste (liquid and solid)</w:t>
            </w:r>
          </w:p>
          <w:p w:rsidR="00000000" w:rsidP="00CB2C2A">
            <w:pPr>
              <w:pStyle w:val="ListBullet"/>
              <w:rPr>
                <w:lang w:val="en-NZ"/>
              </w:rPr>
            </w:pPr>
            <w:r w:rsidRPr="00CB2C2A">
              <w:t>chemical waste (medical imaging)</w:t>
            </w:r>
          </w:p>
        </w:tc>
      </w:tr>
      <w:tr w:rsidTr="007B69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Health administration matters may include:</w:t>
            </w:r>
          </w:p>
        </w:tc>
        <w:tc>
          <w:tcPr>
            <w:tcW w:w="6154"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casualty entitlement</w:t>
            </w:r>
          </w:p>
          <w:p w:rsidR="00000000" w:rsidRPr="00CB2C2A" w:rsidP="00CB2C2A">
            <w:pPr>
              <w:pStyle w:val="ListBullet"/>
            </w:pPr>
            <w:r w:rsidRPr="00CB2C2A">
              <w:t>casualty equipment management</w:t>
            </w:r>
          </w:p>
          <w:p w:rsidR="00000000" w:rsidRPr="00CB2C2A" w:rsidP="00CB2C2A">
            <w:pPr>
              <w:pStyle w:val="ListBullet"/>
            </w:pPr>
            <w:r w:rsidRPr="00CB2C2A">
              <w:t>casualty welfare</w:t>
            </w:r>
          </w:p>
          <w:p w:rsidR="00000000" w:rsidRPr="00CB2C2A" w:rsidP="00CB2C2A">
            <w:pPr>
              <w:pStyle w:val="ListBullet"/>
            </w:pPr>
            <w:r w:rsidRPr="00CB2C2A">
              <w:t>entitlement to treatment</w:t>
            </w:r>
          </w:p>
          <w:p w:rsidR="00000000" w:rsidRPr="00CB2C2A" w:rsidP="00CB2C2A">
            <w:pPr>
              <w:pStyle w:val="ListBullet"/>
            </w:pPr>
            <w:r w:rsidRPr="00CB2C2A">
              <w:t>records management</w:t>
            </w:r>
          </w:p>
          <w:p w:rsidR="00000000" w:rsidRPr="00CB2C2A" w:rsidP="00CB2C2A">
            <w:pPr>
              <w:pStyle w:val="ListBullet"/>
            </w:pPr>
            <w:r w:rsidRPr="00CB2C2A">
              <w:t xml:space="preserve">reports and </w:t>
            </w:r>
            <w:r w:rsidRPr="00CB2C2A">
              <w:t>returns</w:t>
            </w:r>
          </w:p>
          <w:p w:rsidR="00000000" w:rsidP="00CB2C2A">
            <w:pPr>
              <w:pStyle w:val="ListBullet"/>
              <w:rPr>
                <w:lang w:val="en-NZ"/>
              </w:rPr>
            </w:pPr>
            <w:r w:rsidRPr="00CB2C2A">
              <w:t>casualty notifications</w:t>
            </w:r>
          </w:p>
        </w:tc>
      </w:tr>
      <w:tr w:rsidTr="007B69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Relevant agencies may include:</w:t>
            </w:r>
          </w:p>
        </w:tc>
        <w:tc>
          <w:tcPr>
            <w:tcW w:w="6154"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welfare agencies</w:t>
            </w:r>
          </w:p>
          <w:p w:rsidR="00000000" w:rsidRPr="00CB2C2A" w:rsidP="00CB2C2A">
            <w:pPr>
              <w:pStyle w:val="ListBullet"/>
            </w:pPr>
            <w:r w:rsidRPr="00CB2C2A">
              <w:t>health authorities</w:t>
            </w:r>
          </w:p>
          <w:p w:rsidR="00000000" w:rsidRPr="00CB2C2A" w:rsidP="00CB2C2A">
            <w:pPr>
              <w:pStyle w:val="ListBullet"/>
            </w:pPr>
            <w:r w:rsidRPr="00CB2C2A">
              <w:t>parent organisations</w:t>
            </w:r>
          </w:p>
          <w:p w:rsidR="00000000" w:rsidP="00CB2C2A">
            <w:pPr>
              <w:pStyle w:val="ListBullet"/>
              <w:rPr>
                <w:lang w:val="en-NZ"/>
              </w:rPr>
            </w:pPr>
            <w:r w:rsidRPr="00CB2C2A">
              <w:t>philanthropic agencies</w:t>
            </w:r>
          </w:p>
        </w:tc>
      </w:tr>
      <w:tr w:rsidTr="007B69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t>Monitored may include:</w:t>
            </w:r>
          </w:p>
        </w:tc>
        <w:tc>
          <w:tcPr>
            <w:tcW w:w="6154" w:type="dxa"/>
            <w:tcBorders>
              <w:top w:val="nil"/>
              <w:left w:val="nil"/>
              <w:bottom w:val="nil"/>
              <w:right w:val="nil"/>
            </w:tcBorders>
            <w:tcMar>
              <w:top w:w="0" w:type="dxa"/>
              <w:left w:w="62" w:type="dxa"/>
              <w:bottom w:w="0" w:type="dxa"/>
              <w:right w:w="62" w:type="dxa"/>
            </w:tcMar>
          </w:tcPr>
          <w:p w:rsidR="00000000" w:rsidRPr="00CB2C2A" w:rsidP="00CB2C2A">
            <w:pPr>
              <w:pStyle w:val="ListBullet"/>
            </w:pPr>
            <w:r w:rsidRPr="00CB2C2A">
              <w:t>patient holding</w:t>
            </w:r>
          </w:p>
          <w:p w:rsidR="00000000" w:rsidRPr="00CB2C2A" w:rsidP="00CB2C2A">
            <w:pPr>
              <w:pStyle w:val="ListBullet"/>
            </w:pPr>
            <w:r w:rsidRPr="00CB2C2A">
              <w:t>bed availability</w:t>
            </w:r>
          </w:p>
          <w:p w:rsidR="00000000" w:rsidRPr="00CB2C2A" w:rsidP="00CB2C2A">
            <w:pPr>
              <w:pStyle w:val="ListBullet"/>
            </w:pPr>
            <w:r w:rsidRPr="00CB2C2A">
              <w:t>surgical team availability</w:t>
            </w:r>
          </w:p>
          <w:p w:rsidR="00000000" w:rsidRPr="00CB2C2A" w:rsidP="00CB2C2A">
            <w:pPr>
              <w:pStyle w:val="ListBullet"/>
            </w:pPr>
            <w:r w:rsidRPr="00CB2C2A">
              <w:t>casualty rates (actual vs estimate)</w:t>
            </w:r>
          </w:p>
          <w:p w:rsidR="00000000" w:rsidRPr="00CB2C2A" w:rsidP="00CB2C2A">
            <w:pPr>
              <w:pStyle w:val="ListBullet"/>
            </w:pPr>
            <w:r w:rsidRPr="00CB2C2A">
              <w:t>status and performance of the medical supply chain (and particularly blood holdings)</w:t>
            </w:r>
          </w:p>
          <w:p w:rsidR="00000000" w:rsidRPr="00CB2C2A" w:rsidP="00CB2C2A">
            <w:pPr>
              <w:pStyle w:val="ListBullet"/>
            </w:pPr>
            <w:r w:rsidRPr="00CB2C2A">
              <w:t>compliance with health policy</w:t>
            </w:r>
          </w:p>
          <w:p w:rsidR="00000000" w:rsidRPr="00CB2C2A" w:rsidP="00CB2C2A">
            <w:pPr>
              <w:pStyle w:val="ListBullet"/>
            </w:pPr>
            <w:r w:rsidRPr="00CB2C2A">
              <w:t>status of specialist reinforcements</w:t>
            </w:r>
          </w:p>
          <w:p w:rsidR="00000000" w:rsidRPr="00CB2C2A" w:rsidP="00CB2C2A">
            <w:pPr>
              <w:pStyle w:val="ListBullet"/>
            </w:pPr>
            <w:r w:rsidRPr="00CB2C2A">
              <w:t>status of casualties in transit</w:t>
            </w:r>
          </w:p>
        </w:tc>
      </w:tr>
    </w:tbl>
    <w:p w:rsidR="007B69E0" w:rsidP="00CB2C2A">
      <w:pPr>
        <w:pStyle w:val="BodyText"/>
      </w:pPr>
    </w:p>
    <w:p w:rsidR="007B69E0" w:rsidP="00CB2C2A">
      <w:pPr>
        <w:pStyle w:val="BodyText"/>
      </w:pPr>
    </w:p>
    <w:p w:rsidR="00000000" w:rsidRPr="00CB2C2A" w:rsidP="00CB2C2A">
      <w:pPr>
        <w:pStyle w:val="Heading1"/>
      </w:pPr>
      <w:bookmarkStart w:id="12" w:name="O_296122"/>
      <w:bookmarkEnd w:id="12"/>
      <w:r w:rsidRPr="00CB2C2A">
        <w:t>Unit Sector(s)</w:t>
      </w:r>
    </w:p>
    <w:p w:rsidR="00000000" w:rsidRPr="00CB2C2A" w:rsidP="00CB2C2A">
      <w:pPr>
        <w:pStyle w:val="BodyText"/>
      </w:pPr>
      <w:r w:rsidRPr="00CB2C2A">
        <w:t>Not Applicable</w:t>
      </w:r>
    </w:p>
    <w:p w:rsidR="00000000" w:rsidRPr="00CB2C2A" w:rsidP="00CB2C2A">
      <w:pPr>
        <w:pStyle w:val="AllowPageBreak"/>
      </w:pPr>
    </w:p>
    <w:p w:rsidR="00000000" w:rsidRPr="00CB2C2A" w:rsidP="00CB2C2A">
      <w:pPr>
        <w:pStyle w:val="Heading1"/>
      </w:pPr>
      <w:bookmarkStart w:id="13" w:name="O_224777"/>
      <w:bookmarkEnd w:id="13"/>
      <w:r w:rsidRPr="00CB2C2A">
        <w:t>Competency Field</w:t>
      </w:r>
    </w:p>
    <w:tbl>
      <w:tblPr>
        <w:tblW w:w="9640" w:type="dxa"/>
        <w:tblLayout w:type="fixed"/>
        <w:tblCellMar>
          <w:left w:w="62" w:type="dxa"/>
          <w:right w:w="62" w:type="dxa"/>
        </w:tblCellMar>
        <w:tblLook w:val="0000"/>
      </w:tblPr>
      <w:tblGrid>
        <w:gridCol w:w="2978"/>
        <w:gridCol w:w="6662"/>
      </w:tblGrid>
      <w:tr w:rsidTr="007B69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2C2A">
            <w:pPr>
              <w:pStyle w:val="BodyText"/>
              <w:rPr>
                <w:lang w:val="en-NZ"/>
              </w:rPr>
            </w:pPr>
            <w:r w:rsidRPr="00CB2C2A">
              <w:rPr>
                <w:rStyle w:val="SpecialBold"/>
              </w:rPr>
              <w:t>Competency Field</w:t>
            </w:r>
            <w:r w:rsidRPr="00CB2C2A">
              <w:t xml:space="preserve"> </w:t>
            </w:r>
          </w:p>
        </w:tc>
        <w:tc>
          <w:tcPr>
            <w:tcW w:w="6662" w:type="dxa"/>
            <w:tcBorders>
              <w:top w:val="nil"/>
              <w:left w:val="nil"/>
              <w:bottom w:val="nil"/>
              <w:right w:val="nil"/>
            </w:tcBorders>
            <w:tcMar>
              <w:top w:w="0" w:type="dxa"/>
              <w:left w:w="62" w:type="dxa"/>
              <w:bottom w:w="0" w:type="dxa"/>
              <w:right w:w="62" w:type="dxa"/>
            </w:tcMar>
          </w:tcPr>
          <w:p w:rsidR="00000000" w:rsidRPr="00CB2C2A" w:rsidP="00CB2C2A">
            <w:pPr>
              <w:pStyle w:val="BodyText"/>
            </w:pPr>
            <w:r w:rsidRPr="00CB2C2A">
              <w:t>X - Logistics</w:t>
            </w:r>
          </w:p>
        </w:tc>
      </w:tr>
    </w:tbl>
    <w:p w:rsidR="007B69E0" w:rsidP="00CB2C2A">
      <w:pPr>
        <w:pStyle w:val="BodyText"/>
      </w:pPr>
    </w:p>
    <w:p w:rsidR="007B69E0" w:rsidP="00CB2C2A">
      <w:pPr>
        <w:pStyle w:val="BodyText"/>
      </w:pPr>
    </w:p>
    <w:p w:rsidR="00000000" w:rsidRPr="00CB2C2A" w:rsidP="00CB2C2A"/>
    <w:sectPr w:rsidSect="00CB2C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9E0" w:rsidP="007B6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9E0" w:rsidP="00CB2C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69E0" w:rsidP="00CB2C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B69E0" w:rsidP="00CB2C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9E0" w:rsidP="007B69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9E0" w:rsidP="00CB2C2A">
    <w:pPr>
      <w:pStyle w:val="Header"/>
      <w:framePr w:wrap="around"/>
    </w:pPr>
    <w:r>
      <w:fldChar w:fldCharType="begin"/>
    </w:r>
    <w:r>
      <w:instrText xml:space="preserve"> TITLE   \* MERGEFORMAT </w:instrText>
    </w:r>
    <w:r>
      <w:fldChar w:fldCharType="separate"/>
    </w:r>
    <w:r>
      <w:t>TLIX6053A Coordinate health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69E0" w:rsidP="00CB2C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5AE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D65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CF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C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2C2A"/>
    <w:pPr>
      <w:spacing w:before="360" w:after="60"/>
      <w:outlineLvl w:val="0"/>
    </w:pPr>
    <w:rPr>
      <w:sz w:val="32"/>
    </w:rPr>
  </w:style>
  <w:style w:type="paragraph" w:styleId="Heading2">
    <w:name w:val="heading 2"/>
    <w:basedOn w:val="HeadingBase"/>
    <w:next w:val="BodyText"/>
    <w:link w:val="Heading2Char"/>
    <w:qFormat/>
    <w:rsid w:val="00CB2C2A"/>
    <w:pPr>
      <w:keepLines/>
      <w:spacing w:before="240" w:after="120"/>
      <w:outlineLvl w:val="1"/>
    </w:pPr>
    <w:rPr>
      <w:sz w:val="28"/>
      <w:szCs w:val="40"/>
    </w:rPr>
  </w:style>
  <w:style w:type="paragraph" w:styleId="Heading3">
    <w:name w:val="heading 3"/>
    <w:basedOn w:val="HeadingBase"/>
    <w:next w:val="BodyText"/>
    <w:link w:val="Heading3Char"/>
    <w:qFormat/>
    <w:rsid w:val="00CB2C2A"/>
    <w:pPr>
      <w:spacing w:before="180" w:after="120"/>
      <w:outlineLvl w:val="2"/>
    </w:pPr>
    <w:rPr>
      <w:spacing w:val="-10"/>
      <w:kern w:val="32"/>
    </w:rPr>
  </w:style>
  <w:style w:type="paragraph" w:styleId="Heading4">
    <w:name w:val="heading 4"/>
    <w:basedOn w:val="HeadingBase"/>
    <w:next w:val="BodyText"/>
    <w:link w:val="Heading4Char"/>
    <w:qFormat/>
    <w:rsid w:val="00CB2C2A"/>
    <w:pPr>
      <w:spacing w:before="160" w:after="120"/>
      <w:outlineLvl w:val="3"/>
    </w:pPr>
    <w:rPr>
      <w:sz w:val="22"/>
    </w:rPr>
  </w:style>
  <w:style w:type="paragraph" w:styleId="Heading5">
    <w:name w:val="heading 5"/>
    <w:basedOn w:val="HeadingBase"/>
    <w:next w:val="Normal"/>
    <w:link w:val="Heading5Char"/>
    <w:qFormat/>
    <w:rsid w:val="00CB2C2A"/>
    <w:pPr>
      <w:spacing w:before="80"/>
      <w:outlineLvl w:val="4"/>
    </w:pPr>
    <w:rPr>
      <w:color w:val="918585"/>
      <w:sz w:val="20"/>
    </w:rPr>
  </w:style>
  <w:style w:type="paragraph" w:styleId="Heading6">
    <w:name w:val="heading 6"/>
    <w:basedOn w:val="HeadingBase"/>
    <w:next w:val="Normal"/>
    <w:link w:val="Heading6Char"/>
    <w:qFormat/>
    <w:rsid w:val="00CB2C2A"/>
    <w:pPr>
      <w:spacing w:before="60"/>
      <w:outlineLvl w:val="5"/>
    </w:pPr>
    <w:rPr>
      <w:color w:val="918585"/>
      <w:sz w:val="20"/>
    </w:rPr>
  </w:style>
  <w:style w:type="paragraph" w:styleId="Heading7">
    <w:name w:val="heading 7"/>
    <w:basedOn w:val="Normal"/>
    <w:next w:val="Normal"/>
    <w:link w:val="Heading7Char"/>
    <w:qFormat/>
    <w:rsid w:val="00CB2C2A"/>
    <w:pPr>
      <w:ind w:left="720"/>
      <w:outlineLvl w:val="6"/>
    </w:pPr>
    <w:rPr>
      <w:i/>
    </w:rPr>
  </w:style>
  <w:style w:type="paragraph" w:styleId="Heading8">
    <w:name w:val="heading 8"/>
    <w:basedOn w:val="Normal"/>
    <w:next w:val="Normal"/>
    <w:link w:val="Heading8Char"/>
    <w:qFormat/>
    <w:rsid w:val="00CB2C2A"/>
    <w:pPr>
      <w:ind w:left="720"/>
      <w:outlineLvl w:val="7"/>
    </w:pPr>
    <w:rPr>
      <w:i/>
    </w:rPr>
  </w:style>
  <w:style w:type="paragraph" w:styleId="Heading9">
    <w:name w:val="heading 9"/>
    <w:basedOn w:val="Normal"/>
    <w:next w:val="Normal"/>
    <w:link w:val="Heading9Char"/>
    <w:qFormat/>
    <w:rsid w:val="00CB2C2A"/>
    <w:pPr>
      <w:ind w:left="720"/>
      <w:outlineLvl w:val="8"/>
    </w:pPr>
    <w:rPr>
      <w:i/>
    </w:rPr>
  </w:style>
  <w:style w:type="character" w:default="1" w:styleId="DefaultParagraphFont">
    <w:name w:val="Default Paragraph Font"/>
    <w:uiPriority w:val="1"/>
    <w:unhideWhenUsed/>
    <w:rsid w:val="00CB2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C2A"/>
  </w:style>
  <w:style w:type="character" w:customStyle="1" w:styleId="Heading1Char">
    <w:name w:val="Heading 1 Char"/>
    <w:link w:val="Heading1"/>
    <w:rsid w:val="00CB2C2A"/>
    <w:rPr>
      <w:rFonts w:ascii="Times New Roman" w:eastAsia="Times New Roman" w:hAnsi="Times New Roman" w:cs="Times New Roman"/>
      <w:b/>
      <w:sz w:val="32"/>
      <w:szCs w:val="20"/>
      <w:lang w:eastAsia="en-US"/>
    </w:rPr>
  </w:style>
  <w:style w:type="paragraph" w:styleId="BodyText">
    <w:name w:val="Body Text"/>
    <w:basedOn w:val="Normal"/>
    <w:link w:val="BodyTextChar"/>
    <w:rsid w:val="00CB2C2A"/>
    <w:pPr>
      <w:spacing w:before="120" w:after="120"/>
      <w:contextualSpacing/>
    </w:pPr>
    <w:rPr>
      <w:rFonts w:ascii="Times New Roman" w:hAnsi="Times New Roman"/>
      <w:sz w:val="24"/>
      <w:szCs w:val="22"/>
    </w:rPr>
  </w:style>
  <w:style w:type="character" w:customStyle="1" w:styleId="BodyTextChar">
    <w:name w:val="Body Text Char"/>
    <w:link w:val="BodyText"/>
    <w:rsid w:val="00CB2C2A"/>
    <w:rPr>
      <w:rFonts w:ascii="Times New Roman" w:eastAsia="Times New Roman" w:hAnsi="Times New Roman" w:cs="Times New Roman"/>
      <w:sz w:val="24"/>
      <w:lang w:val="en-US" w:eastAsia="en-US"/>
    </w:rPr>
  </w:style>
  <w:style w:type="paragraph" w:styleId="Footer">
    <w:name w:val="footer"/>
    <w:basedOn w:val="Normal"/>
    <w:link w:val="FooterChar"/>
    <w:rsid w:val="00CB2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2C2A"/>
    <w:rPr>
      <w:rFonts w:ascii="Times New Roman" w:eastAsia="Times New Roman" w:hAnsi="Times New Roman" w:cs="Times New Roman"/>
      <w:sz w:val="16"/>
      <w:lang w:val="en-US" w:eastAsia="en-US"/>
    </w:rPr>
  </w:style>
  <w:style w:type="paragraph" w:styleId="List">
    <w:name w:val="List"/>
    <w:basedOn w:val="BodyText"/>
    <w:next w:val="BodyText"/>
    <w:rsid w:val="00CB2C2A"/>
    <w:pPr>
      <w:tabs>
        <w:tab w:val="left" w:pos="340"/>
      </w:tabs>
      <w:spacing w:before="60" w:after="60"/>
      <w:ind w:left="340" w:hanging="340"/>
    </w:pPr>
  </w:style>
  <w:style w:type="paragraph" w:styleId="ListBullet">
    <w:name w:val="List Bullet"/>
    <w:basedOn w:val="List"/>
    <w:rsid w:val="00CB2C2A"/>
    <w:pPr>
      <w:numPr>
        <w:numId w:val="13"/>
      </w:numPr>
      <w:tabs>
        <w:tab w:val="clear" w:pos="340"/>
      </w:tabs>
      <w:spacing w:before="40" w:after="40"/>
    </w:pPr>
  </w:style>
  <w:style w:type="character" w:customStyle="1" w:styleId="SpecialBold">
    <w:name w:val="Special Bold"/>
    <w:rsid w:val="00CB2C2A"/>
    <w:rPr>
      <w:b/>
      <w:spacing w:val="0"/>
    </w:rPr>
  </w:style>
  <w:style w:type="paragraph" w:styleId="ListBullet2">
    <w:name w:val="List Bullet 2"/>
    <w:basedOn w:val="List2"/>
    <w:rsid w:val="00CB2C2A"/>
    <w:pPr>
      <w:numPr>
        <w:numId w:val="14"/>
      </w:numPr>
      <w:tabs>
        <w:tab w:val="clear" w:pos="680"/>
      </w:tabs>
    </w:pPr>
  </w:style>
  <w:style w:type="paragraph" w:styleId="Header">
    <w:name w:val="header"/>
    <w:basedOn w:val="Normal"/>
    <w:link w:val="HeaderChar"/>
    <w:rsid w:val="00CB2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2C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2C2A"/>
    <w:pPr>
      <w:spacing w:before="240" w:after="120"/>
      <w:outlineLvl w:val="0"/>
    </w:pPr>
    <w:rPr>
      <w:rFonts w:ascii="Times New Roman" w:hAnsi="Times New Roman"/>
      <w:b/>
      <w:sz w:val="28"/>
    </w:rPr>
  </w:style>
  <w:style w:type="paragraph" w:customStyle="1" w:styleId="AllowPageBreak">
    <w:name w:val="AllowPageBreak"/>
    <w:rsid w:val="00CB2C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B2C2A"/>
    <w:rPr>
      <w:rFonts w:ascii="Times New Roman" w:eastAsia="Times New Roman" w:hAnsi="Times New Roman" w:cs="Times New Roman"/>
      <w:b/>
      <w:sz w:val="28"/>
      <w:szCs w:val="40"/>
      <w:lang w:eastAsia="en-US"/>
    </w:rPr>
  </w:style>
  <w:style w:type="character" w:customStyle="1" w:styleId="Heading3Char">
    <w:name w:val="Heading 3 Char"/>
    <w:link w:val="Heading3"/>
    <w:rsid w:val="00CB2C2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2C2A"/>
    <w:rPr>
      <w:rFonts w:ascii="Times New Roman" w:eastAsia="Times New Roman" w:hAnsi="Times New Roman" w:cs="Times New Roman"/>
      <w:b/>
      <w:szCs w:val="20"/>
      <w:lang w:eastAsia="en-US"/>
    </w:rPr>
  </w:style>
  <w:style w:type="character" w:customStyle="1" w:styleId="Heading5Char">
    <w:name w:val="Heading 5 Char"/>
    <w:link w:val="Heading5"/>
    <w:rsid w:val="00CB2C2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2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C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2C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2C2A"/>
    <w:rPr>
      <w:rFonts w:ascii="Courier New" w:eastAsia="Times New Roman" w:hAnsi="Courier New" w:cs="Times New Roman"/>
      <w:i/>
      <w:szCs w:val="20"/>
      <w:lang w:val="en-US" w:eastAsia="en-US"/>
    </w:rPr>
  </w:style>
  <w:style w:type="paragraph" w:customStyle="1" w:styleId="HeadingBase">
    <w:name w:val="Heading Base"/>
    <w:rsid w:val="00CB2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C2A"/>
    <w:pPr>
      <w:tabs>
        <w:tab w:val="right" w:leader="dot" w:pos="9072"/>
      </w:tabs>
      <w:ind w:left="567"/>
    </w:pPr>
    <w:rPr>
      <w:szCs w:val="22"/>
    </w:rPr>
  </w:style>
  <w:style w:type="paragraph" w:customStyle="1" w:styleId="TOCBase">
    <w:name w:val="TOC Base"/>
    <w:rsid w:val="00CB2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C2A"/>
    <w:pPr>
      <w:tabs>
        <w:tab w:val="right" w:leader="dot" w:pos="9072"/>
      </w:tabs>
      <w:spacing w:before="40" w:after="40"/>
      <w:ind w:left="284"/>
    </w:pPr>
    <w:rPr>
      <w:rFonts w:ascii="Times New Roman" w:hAnsi="Times New Roman"/>
    </w:rPr>
  </w:style>
  <w:style w:type="paragraph" w:styleId="TOC1">
    <w:name w:val="toc 1"/>
    <w:basedOn w:val="TOCBase"/>
    <w:next w:val="Normal"/>
    <w:rsid w:val="00CB2C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C2A"/>
    <w:pPr>
      <w:spacing w:before="5040"/>
      <w:jc w:val="center"/>
    </w:pPr>
    <w:rPr>
      <w:sz w:val="48"/>
      <w:szCs w:val="72"/>
      <w:lang w:val="en-US"/>
    </w:rPr>
  </w:style>
  <w:style w:type="character" w:customStyle="1" w:styleId="TitleChar">
    <w:name w:val="Title Char"/>
    <w:link w:val="Title"/>
    <w:rsid w:val="00CB2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C2A"/>
    <w:pPr>
      <w:tabs>
        <w:tab w:val="left" w:pos="3600"/>
        <w:tab w:val="left" w:pos="3958"/>
      </w:tabs>
    </w:pPr>
  </w:style>
  <w:style w:type="paragraph" w:customStyle="1" w:styleId="Note">
    <w:name w:val="Note"/>
    <w:basedOn w:val="BodyText"/>
    <w:rsid w:val="00CB2C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C2A"/>
    <w:pPr>
      <w:framePr w:wrap="auto" w:hAnchor="text" w:y="6049"/>
    </w:pPr>
    <w:rPr>
      <w:color w:val="000000"/>
      <w:sz w:val="40"/>
    </w:rPr>
  </w:style>
  <w:style w:type="paragraph" w:customStyle="1" w:styleId="TOCTitle">
    <w:name w:val="TOCTitle"/>
    <w:basedOn w:val="Heading1"/>
    <w:rsid w:val="00CB2C2A"/>
    <w:pPr>
      <w:spacing w:after="240"/>
      <w:jc w:val="center"/>
      <w:outlineLvl w:val="9"/>
    </w:pPr>
    <w:rPr>
      <w:caps/>
    </w:rPr>
  </w:style>
  <w:style w:type="paragraph" w:customStyle="1" w:styleId="Version">
    <w:name w:val="Version"/>
    <w:rsid w:val="00CB2C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C2A"/>
    <w:pPr>
      <w:keepNext w:val="0"/>
      <w:tabs>
        <w:tab w:val="right" w:pos="4176"/>
      </w:tabs>
      <w:ind w:left="198" w:hanging="198"/>
    </w:pPr>
    <w:rPr>
      <w:rFonts w:ascii="Garamond" w:hAnsi="Garamond"/>
    </w:rPr>
  </w:style>
  <w:style w:type="paragraph" w:styleId="IndexHeading">
    <w:name w:val="index heading"/>
    <w:basedOn w:val="Normal"/>
    <w:next w:val="Index1"/>
    <w:semiHidden/>
    <w:rsid w:val="00CB2C2A"/>
    <w:pPr>
      <w:spacing w:before="120" w:after="120"/>
    </w:pPr>
    <w:rPr>
      <w:rFonts w:ascii="Arial" w:hAnsi="Arial"/>
      <w:b/>
      <w:color w:val="918585"/>
      <w:sz w:val="24"/>
    </w:rPr>
  </w:style>
  <w:style w:type="paragraph" w:customStyle="1" w:styleId="Chapter">
    <w:name w:val="Chapter"/>
    <w:basedOn w:val="Normal"/>
    <w:rsid w:val="00CB2C2A"/>
    <w:pPr>
      <w:spacing w:before="240"/>
    </w:pPr>
    <w:rPr>
      <w:rFonts w:ascii="Times New Roman" w:hAnsi="Times New Roman"/>
      <w:smallCaps/>
      <w:spacing w:val="80"/>
      <w:sz w:val="28"/>
    </w:rPr>
  </w:style>
  <w:style w:type="paragraph" w:customStyle="1" w:styleId="InChapter">
    <w:name w:val="InChapter"/>
    <w:basedOn w:val="Heading3"/>
    <w:rsid w:val="00CB2C2A"/>
    <w:pPr>
      <w:spacing w:after="240"/>
      <w:outlineLvl w:val="9"/>
    </w:pPr>
    <w:rPr>
      <w:noProof/>
    </w:rPr>
  </w:style>
  <w:style w:type="paragraph" w:styleId="Index2">
    <w:name w:val="index 2"/>
    <w:basedOn w:val="Normal"/>
    <w:next w:val="Normal"/>
    <w:semiHidden/>
    <w:rsid w:val="00CB2C2A"/>
    <w:pPr>
      <w:tabs>
        <w:tab w:val="right" w:pos="4176"/>
      </w:tabs>
      <w:ind w:left="568" w:hanging="284"/>
    </w:pPr>
    <w:rPr>
      <w:rFonts w:ascii="Garamond" w:hAnsi="Garamond"/>
    </w:rPr>
  </w:style>
  <w:style w:type="paragraph" w:customStyle="1" w:styleId="Byline">
    <w:name w:val="Byline"/>
    <w:rsid w:val="00CB2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C2A"/>
    <w:pPr>
      <w:tabs>
        <w:tab w:val="clear" w:pos="3600"/>
        <w:tab w:val="clear" w:pos="3958"/>
      </w:tabs>
      <w:jc w:val="right"/>
    </w:pPr>
  </w:style>
  <w:style w:type="character" w:styleId="Emphasis">
    <w:name w:val="Emphasis"/>
    <w:qFormat/>
    <w:rsid w:val="00CB2C2A"/>
    <w:rPr>
      <w:i/>
    </w:rPr>
  </w:style>
  <w:style w:type="paragraph" w:styleId="Caption">
    <w:name w:val="caption"/>
    <w:basedOn w:val="BodyText"/>
    <w:next w:val="Normal"/>
    <w:qFormat/>
    <w:rsid w:val="00CB2C2A"/>
    <w:pPr>
      <w:framePr w:w="2268" w:hSpace="181" w:vSpace="181" w:wrap="around" w:vAnchor="text" w:hAnchor="page" w:x="1135" w:y="285" w:anchorLock="1"/>
    </w:pPr>
    <w:rPr>
      <w:i/>
    </w:rPr>
  </w:style>
  <w:style w:type="paragraph" w:customStyle="1" w:styleId="MiniTOCTitle">
    <w:name w:val="MiniTOCTitle"/>
    <w:basedOn w:val="Heading4"/>
    <w:rsid w:val="00CB2C2A"/>
    <w:pPr>
      <w:spacing w:before="240"/>
      <w:outlineLvl w:val="9"/>
    </w:pPr>
    <w:rPr>
      <w:noProof/>
      <w:sz w:val="24"/>
    </w:rPr>
  </w:style>
  <w:style w:type="paragraph" w:customStyle="1" w:styleId="MiniTOCItem">
    <w:name w:val="MiniTOCItem"/>
    <w:basedOn w:val="ListBullet"/>
    <w:rsid w:val="00CB2C2A"/>
    <w:pPr>
      <w:numPr>
        <w:numId w:val="0"/>
      </w:numPr>
      <w:tabs>
        <w:tab w:val="right" w:leader="dot" w:pos="6521"/>
      </w:tabs>
      <w:spacing w:before="0" w:after="0"/>
    </w:pPr>
  </w:style>
  <w:style w:type="paragraph" w:customStyle="1" w:styleId="TOFTitle">
    <w:name w:val="TOFTitle"/>
    <w:basedOn w:val="TOCTitle"/>
    <w:rsid w:val="00CB2C2A"/>
  </w:style>
  <w:style w:type="paragraph" w:styleId="TableofFigures">
    <w:name w:val="table of figures"/>
    <w:basedOn w:val="Normal"/>
    <w:next w:val="Normal"/>
    <w:semiHidden/>
    <w:rsid w:val="00CB2C2A"/>
    <w:pPr>
      <w:tabs>
        <w:tab w:val="right" w:leader="dot" w:pos="9072"/>
      </w:tabs>
      <w:ind w:left="970" w:hanging="403"/>
    </w:pPr>
    <w:rPr>
      <w:rFonts w:ascii="Times New Roman" w:hAnsi="Times New Roman"/>
      <w:b/>
    </w:rPr>
  </w:style>
  <w:style w:type="paragraph" w:styleId="ListNumber">
    <w:name w:val="List Number"/>
    <w:basedOn w:val="List"/>
    <w:rsid w:val="00CB2C2A"/>
    <w:pPr>
      <w:numPr>
        <w:numId w:val="11"/>
      </w:numPr>
    </w:pPr>
  </w:style>
  <w:style w:type="character" w:customStyle="1" w:styleId="WingdingSymbols">
    <w:name w:val="Wingding Symbols"/>
    <w:rsid w:val="00CB2C2A"/>
    <w:rPr>
      <w:rFonts w:ascii="Wingdings" w:hAnsi="Wingdings"/>
    </w:rPr>
  </w:style>
  <w:style w:type="paragraph" w:customStyle="1" w:styleId="TableHeading">
    <w:name w:val="Table Heading"/>
    <w:basedOn w:val="HeadingBase"/>
    <w:rsid w:val="00CB2C2A"/>
    <w:pPr>
      <w:keepLines/>
      <w:pBdr>
        <w:bottom w:val="single" w:sz="6" w:space="1" w:color="918585"/>
      </w:pBdr>
      <w:spacing w:before="240"/>
    </w:pPr>
  </w:style>
  <w:style w:type="character" w:customStyle="1" w:styleId="HotSpot">
    <w:name w:val="HotSpot"/>
    <w:rsid w:val="00CB2C2A"/>
    <w:rPr>
      <w:color w:val="0033CC"/>
      <w:u w:val="none"/>
    </w:rPr>
  </w:style>
  <w:style w:type="paragraph" w:customStyle="1" w:styleId="BodyTextRight">
    <w:name w:val="Body Text Right"/>
    <w:basedOn w:val="BodyText"/>
    <w:rsid w:val="00CB2C2A"/>
    <w:pPr>
      <w:spacing w:before="0" w:after="0"/>
      <w:jc w:val="right"/>
    </w:pPr>
  </w:style>
  <w:style w:type="paragraph" w:styleId="Index3">
    <w:name w:val="index 3"/>
    <w:basedOn w:val="ListNumber2"/>
    <w:next w:val="Normal"/>
    <w:semiHidden/>
    <w:rsid w:val="00CB2C2A"/>
    <w:pPr>
      <w:numPr>
        <w:numId w:val="0"/>
      </w:numPr>
      <w:tabs>
        <w:tab w:val="right" w:leader="dot" w:pos="4176"/>
      </w:tabs>
    </w:pPr>
  </w:style>
  <w:style w:type="paragraph" w:styleId="ListNumber2">
    <w:name w:val="List Number 2"/>
    <w:basedOn w:val="List2"/>
    <w:rsid w:val="00CB2C2A"/>
    <w:pPr>
      <w:numPr>
        <w:numId w:val="10"/>
      </w:numPr>
      <w:tabs>
        <w:tab w:val="clear" w:pos="1060"/>
      </w:tabs>
    </w:pPr>
  </w:style>
  <w:style w:type="paragraph" w:customStyle="1" w:styleId="MarginNote">
    <w:name w:val="Margin Note"/>
    <w:basedOn w:val="BodyText"/>
    <w:rsid w:val="00CB2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2C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2C2A"/>
    <w:rPr>
      <w:sz w:val="32"/>
    </w:rPr>
  </w:style>
  <w:style w:type="paragraph" w:customStyle="1" w:styleId="HeadingProcedure">
    <w:name w:val="Heading Procedure"/>
    <w:basedOn w:val="HeadingBase"/>
    <w:next w:val="Normal"/>
    <w:rsid w:val="00CB2C2A"/>
    <w:pPr>
      <w:tabs>
        <w:tab w:val="left" w:pos="0"/>
      </w:tabs>
      <w:spacing w:before="120" w:after="60"/>
    </w:pPr>
    <w:rPr>
      <w:i/>
      <w:color w:val="918585"/>
      <w:sz w:val="22"/>
    </w:rPr>
  </w:style>
  <w:style w:type="paragraph" w:customStyle="1" w:styleId="TableBodyText">
    <w:name w:val="Table Body Text"/>
    <w:basedOn w:val="BodyText"/>
    <w:rsid w:val="00CB2C2A"/>
    <w:pPr>
      <w:spacing w:before="60" w:after="60"/>
    </w:pPr>
  </w:style>
  <w:style w:type="paragraph" w:styleId="ListContinue">
    <w:name w:val="List Continue"/>
    <w:basedOn w:val="List"/>
    <w:rsid w:val="00CB2C2A"/>
    <w:pPr>
      <w:ind w:firstLine="0"/>
    </w:pPr>
  </w:style>
  <w:style w:type="paragraph" w:customStyle="1" w:styleId="ListNote">
    <w:name w:val="List Note"/>
    <w:basedOn w:val="List"/>
    <w:rsid w:val="00CB2C2A"/>
    <w:pPr>
      <w:pBdr>
        <w:top w:val="single" w:sz="6" w:space="2" w:color="918585"/>
        <w:bottom w:val="single" w:sz="6" w:space="2" w:color="918585"/>
      </w:pBdr>
      <w:tabs>
        <w:tab w:val="left" w:pos="1021"/>
      </w:tabs>
      <w:ind w:firstLine="0"/>
    </w:pPr>
  </w:style>
  <w:style w:type="paragraph" w:customStyle="1" w:styleId="Warning">
    <w:name w:val="Warning"/>
    <w:basedOn w:val="BodyText"/>
    <w:rsid w:val="00CB2C2A"/>
    <w:pPr>
      <w:shd w:val="clear" w:color="auto" w:fill="D9D9D9"/>
      <w:tabs>
        <w:tab w:val="left" w:pos="992"/>
      </w:tabs>
      <w:ind w:left="119" w:right="119"/>
    </w:pPr>
    <w:rPr>
      <w:sz w:val="20"/>
    </w:rPr>
  </w:style>
  <w:style w:type="paragraph" w:customStyle="1" w:styleId="MarginIcons">
    <w:name w:val="Margin Icons"/>
    <w:basedOn w:val="BodyText"/>
    <w:rsid w:val="00CB2C2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2C2A"/>
    <w:rPr>
      <w:rFonts w:ascii="Courier New" w:hAnsi="Courier New"/>
    </w:rPr>
  </w:style>
  <w:style w:type="paragraph" w:customStyle="1" w:styleId="NoteBullet">
    <w:name w:val="Note Bullet"/>
    <w:basedOn w:val="Note"/>
    <w:rsid w:val="00CB2C2A"/>
    <w:pPr>
      <w:tabs>
        <w:tab w:val="clear" w:pos="680"/>
      </w:tabs>
      <w:spacing w:before="60" w:after="60"/>
    </w:pPr>
  </w:style>
  <w:style w:type="paragraph" w:customStyle="1" w:styleId="SubHeading2">
    <w:name w:val="SubHeading2"/>
    <w:basedOn w:val="HeadingBase"/>
    <w:rsid w:val="00CB2C2A"/>
    <w:pPr>
      <w:spacing w:before="240" w:after="60"/>
    </w:pPr>
    <w:rPr>
      <w:sz w:val="20"/>
    </w:rPr>
  </w:style>
  <w:style w:type="paragraph" w:customStyle="1" w:styleId="SubHeading1">
    <w:name w:val="SubHeading1"/>
    <w:basedOn w:val="HeadingBase"/>
    <w:rsid w:val="00CB2C2A"/>
    <w:pPr>
      <w:spacing w:before="240" w:after="60"/>
    </w:pPr>
    <w:rPr>
      <w:color w:val="918585"/>
      <w:sz w:val="22"/>
    </w:rPr>
  </w:style>
  <w:style w:type="paragraph" w:customStyle="1" w:styleId="SideHeading">
    <w:name w:val="Side Heading"/>
    <w:basedOn w:val="HeadingBase"/>
    <w:rsid w:val="00CB2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C2A"/>
    <w:pPr>
      <w:numPr>
        <w:numId w:val="12"/>
      </w:numPr>
    </w:pPr>
  </w:style>
  <w:style w:type="paragraph" w:styleId="PlainText">
    <w:name w:val="Plain Text"/>
    <w:basedOn w:val="Normal"/>
    <w:link w:val="PlainTextChar"/>
    <w:rsid w:val="00CB2C2A"/>
    <w:rPr>
      <w:sz w:val="20"/>
    </w:rPr>
  </w:style>
  <w:style w:type="character" w:customStyle="1" w:styleId="PlainTextChar">
    <w:name w:val="Plain Text Char"/>
    <w:basedOn w:val="DefaultParagraphFont"/>
    <w:link w:val="PlainText"/>
    <w:rsid w:val="00CB2C2A"/>
    <w:rPr>
      <w:rFonts w:ascii="Courier New" w:eastAsia="Times New Roman" w:hAnsi="Courier New" w:cs="Times New Roman"/>
      <w:sz w:val="20"/>
      <w:szCs w:val="20"/>
      <w:lang w:val="en-US" w:eastAsia="en-US"/>
    </w:rPr>
  </w:style>
  <w:style w:type="character" w:customStyle="1" w:styleId="MenuOption">
    <w:name w:val="Menu Option"/>
    <w:rsid w:val="00CB2C2A"/>
    <w:rPr>
      <w:b/>
      <w:smallCaps/>
    </w:rPr>
  </w:style>
  <w:style w:type="paragraph" w:customStyle="1" w:styleId="TableListNumber">
    <w:name w:val="Table List Number"/>
    <w:basedOn w:val="ListNumber"/>
    <w:rsid w:val="00CB2C2A"/>
    <w:pPr>
      <w:numPr>
        <w:numId w:val="0"/>
      </w:numPr>
    </w:pPr>
  </w:style>
  <w:style w:type="paragraph" w:styleId="TOC4">
    <w:name w:val="toc 4"/>
    <w:basedOn w:val="TOCBase"/>
    <w:next w:val="Normal"/>
    <w:semiHidden/>
    <w:rsid w:val="00CB2C2A"/>
    <w:pPr>
      <w:tabs>
        <w:tab w:val="right" w:leader="dot" w:pos="9071"/>
      </w:tabs>
      <w:ind w:left="1701"/>
    </w:pPr>
  </w:style>
  <w:style w:type="paragraph" w:customStyle="1" w:styleId="ListAlpha">
    <w:name w:val="List Alpha"/>
    <w:basedOn w:val="List"/>
    <w:rsid w:val="00CB2C2A"/>
    <w:pPr>
      <w:numPr>
        <w:numId w:val="9"/>
      </w:numPr>
    </w:pPr>
  </w:style>
  <w:style w:type="paragraph" w:customStyle="1" w:styleId="ListAlpha2">
    <w:name w:val="List Alpha 2"/>
    <w:basedOn w:val="List2"/>
    <w:rsid w:val="00CB2C2A"/>
    <w:pPr>
      <w:numPr>
        <w:numId w:val="8"/>
      </w:numPr>
    </w:pPr>
  </w:style>
  <w:style w:type="paragraph" w:styleId="List2">
    <w:name w:val="List 2"/>
    <w:basedOn w:val="BodyText"/>
    <w:rsid w:val="00CB2C2A"/>
    <w:pPr>
      <w:tabs>
        <w:tab w:val="left" w:pos="680"/>
      </w:tabs>
      <w:spacing w:before="60" w:after="60"/>
      <w:ind w:left="680" w:hanging="340"/>
    </w:pPr>
  </w:style>
  <w:style w:type="paragraph" w:styleId="List3">
    <w:name w:val="List 3"/>
    <w:basedOn w:val="BodyText"/>
    <w:rsid w:val="00CB2C2A"/>
    <w:pPr>
      <w:tabs>
        <w:tab w:val="left" w:pos="1021"/>
      </w:tabs>
      <w:spacing w:before="60" w:after="60"/>
      <w:ind w:left="1020" w:hanging="340"/>
    </w:pPr>
  </w:style>
  <w:style w:type="paragraph" w:styleId="List4">
    <w:name w:val="List 4"/>
    <w:basedOn w:val="BodyText"/>
    <w:rsid w:val="00CB2C2A"/>
    <w:pPr>
      <w:tabs>
        <w:tab w:val="left" w:pos="1361"/>
      </w:tabs>
      <w:spacing w:before="60" w:after="60"/>
      <w:ind w:left="1361" w:hanging="340"/>
    </w:pPr>
  </w:style>
  <w:style w:type="paragraph" w:styleId="List5">
    <w:name w:val="List 5"/>
    <w:basedOn w:val="BodyText"/>
    <w:rsid w:val="00CB2C2A"/>
    <w:pPr>
      <w:tabs>
        <w:tab w:val="left" w:pos="1701"/>
      </w:tabs>
      <w:spacing w:before="60" w:after="60"/>
      <w:ind w:left="1701" w:hanging="340"/>
    </w:pPr>
  </w:style>
  <w:style w:type="paragraph" w:styleId="ListBullet3">
    <w:name w:val="List Bullet 3"/>
    <w:basedOn w:val="List3"/>
    <w:rsid w:val="00CB2C2A"/>
    <w:pPr>
      <w:numPr>
        <w:numId w:val="15"/>
      </w:numPr>
      <w:tabs>
        <w:tab w:val="clear" w:pos="1021"/>
      </w:tabs>
      <w:ind w:left="1037" w:hanging="357"/>
    </w:pPr>
  </w:style>
  <w:style w:type="paragraph" w:styleId="ListBullet4">
    <w:name w:val="List Bullet 4"/>
    <w:basedOn w:val="List4"/>
    <w:rsid w:val="00CB2C2A"/>
    <w:pPr>
      <w:numPr>
        <w:numId w:val="3"/>
      </w:numPr>
    </w:pPr>
  </w:style>
  <w:style w:type="paragraph" w:styleId="ListBullet5">
    <w:name w:val="List Bullet 5"/>
    <w:basedOn w:val="List5"/>
    <w:rsid w:val="00CB2C2A"/>
    <w:pPr>
      <w:numPr>
        <w:numId w:val="4"/>
      </w:numPr>
    </w:pPr>
  </w:style>
  <w:style w:type="paragraph" w:styleId="ListContinue2">
    <w:name w:val="List Continue 2"/>
    <w:basedOn w:val="List2"/>
    <w:rsid w:val="00CB2C2A"/>
    <w:pPr>
      <w:ind w:firstLine="0"/>
    </w:pPr>
  </w:style>
  <w:style w:type="paragraph" w:styleId="ListContinue3">
    <w:name w:val="List Continue 3"/>
    <w:basedOn w:val="List3"/>
    <w:rsid w:val="00CB2C2A"/>
    <w:pPr>
      <w:ind w:left="1021" w:firstLine="0"/>
    </w:pPr>
  </w:style>
  <w:style w:type="paragraph" w:styleId="ListContinue4">
    <w:name w:val="List Continue 4"/>
    <w:basedOn w:val="List4"/>
    <w:rsid w:val="00CB2C2A"/>
    <w:pPr>
      <w:ind w:firstLine="0"/>
    </w:pPr>
  </w:style>
  <w:style w:type="paragraph" w:styleId="ListContinue5">
    <w:name w:val="List Continue 5"/>
    <w:basedOn w:val="List5"/>
    <w:rsid w:val="00CB2C2A"/>
    <w:pPr>
      <w:ind w:firstLine="0"/>
    </w:pPr>
  </w:style>
  <w:style w:type="paragraph" w:styleId="ListNumber3">
    <w:name w:val="List Number 3"/>
    <w:basedOn w:val="List3"/>
    <w:rsid w:val="00CB2C2A"/>
    <w:pPr>
      <w:numPr>
        <w:numId w:val="5"/>
      </w:numPr>
    </w:pPr>
  </w:style>
  <w:style w:type="paragraph" w:styleId="ListNumber4">
    <w:name w:val="List Number 4"/>
    <w:basedOn w:val="List4"/>
    <w:rsid w:val="00CB2C2A"/>
    <w:pPr>
      <w:numPr>
        <w:numId w:val="6"/>
      </w:numPr>
    </w:pPr>
  </w:style>
  <w:style w:type="paragraph" w:styleId="ListNumber5">
    <w:name w:val="List Number 5"/>
    <w:basedOn w:val="List5"/>
    <w:rsid w:val="00CB2C2A"/>
    <w:pPr>
      <w:numPr>
        <w:numId w:val="7"/>
      </w:numPr>
    </w:pPr>
  </w:style>
  <w:style w:type="paragraph" w:styleId="BlockText">
    <w:name w:val="Block Text"/>
    <w:basedOn w:val="Normal"/>
    <w:rsid w:val="00CB2C2A"/>
    <w:pPr>
      <w:spacing w:after="120"/>
      <w:ind w:left="1440" w:right="1440"/>
    </w:pPr>
  </w:style>
  <w:style w:type="character" w:customStyle="1" w:styleId="Subscript">
    <w:name w:val="Subscript"/>
    <w:rsid w:val="00CB2C2A"/>
    <w:rPr>
      <w:sz w:val="16"/>
      <w:vertAlign w:val="subscript"/>
    </w:rPr>
  </w:style>
  <w:style w:type="character" w:customStyle="1" w:styleId="Superscript">
    <w:name w:val="Superscript"/>
    <w:rsid w:val="00CB2C2A"/>
    <w:rPr>
      <w:sz w:val="16"/>
      <w:vertAlign w:val="superscript"/>
    </w:rPr>
  </w:style>
  <w:style w:type="character" w:customStyle="1" w:styleId="Symbols">
    <w:name w:val="Symbols"/>
    <w:rsid w:val="00CB2C2A"/>
    <w:rPr>
      <w:rFonts w:ascii="Symbol" w:hAnsi="Symbol"/>
    </w:rPr>
  </w:style>
  <w:style w:type="character" w:customStyle="1" w:styleId="MenuOptions">
    <w:name w:val="Menu Options"/>
    <w:rsid w:val="00CB2C2A"/>
    <w:rPr>
      <w:rFonts w:ascii="Arial Narrow" w:hAnsi="Arial Narrow"/>
      <w:smallCaps/>
    </w:rPr>
  </w:style>
  <w:style w:type="character" w:customStyle="1" w:styleId="Buttons">
    <w:name w:val="Buttons"/>
    <w:rsid w:val="00CB2C2A"/>
    <w:rPr>
      <w:b/>
    </w:rPr>
  </w:style>
  <w:style w:type="character" w:customStyle="1" w:styleId="Underlined">
    <w:name w:val="Underlined"/>
    <w:rsid w:val="00CB2C2A"/>
    <w:rPr>
      <w:u w:val="single"/>
    </w:rPr>
  </w:style>
  <w:style w:type="paragraph" w:customStyle="1" w:styleId="TableBodyTextRight">
    <w:name w:val="Table Body Text Right"/>
    <w:basedOn w:val="TableBodyText"/>
    <w:rsid w:val="00CB2C2A"/>
    <w:pPr>
      <w:widowControl w:val="0"/>
      <w:autoSpaceDE w:val="0"/>
      <w:autoSpaceDN w:val="0"/>
      <w:adjustRightInd w:val="0"/>
      <w:jc w:val="right"/>
    </w:pPr>
    <w:rPr>
      <w:rFonts w:cs="Arial"/>
      <w:szCs w:val="18"/>
    </w:rPr>
  </w:style>
  <w:style w:type="paragraph" w:customStyle="1" w:styleId="CopyrightText">
    <w:name w:val="Copyright Text"/>
    <w:basedOn w:val="BodyText"/>
    <w:rsid w:val="00CB2C2A"/>
    <w:rPr>
      <w:sz w:val="18"/>
    </w:rPr>
  </w:style>
  <w:style w:type="paragraph" w:customStyle="1" w:styleId="BodySmallRight">
    <w:name w:val="Body Small Right"/>
    <w:basedOn w:val="BodyTextRight"/>
    <w:rsid w:val="00CB2C2A"/>
    <w:rPr>
      <w:sz w:val="18"/>
      <w:szCs w:val="18"/>
    </w:rPr>
  </w:style>
  <w:style w:type="paragraph" w:customStyle="1" w:styleId="MarginEdition">
    <w:name w:val="Margin Edition"/>
    <w:basedOn w:val="MarginNote"/>
    <w:rsid w:val="00CB2C2A"/>
    <w:pPr>
      <w:spacing w:before="0" w:after="0"/>
    </w:pPr>
    <w:rPr>
      <w:rFonts w:ascii="Times New Roman" w:hAnsi="Times New Roman"/>
      <w:color w:val="999999"/>
    </w:rPr>
  </w:style>
  <w:style w:type="paragraph" w:customStyle="1" w:styleId="Spacer">
    <w:name w:val="Spacer"/>
    <w:basedOn w:val="Normal"/>
    <w:rsid w:val="00CB2C2A"/>
    <w:rPr>
      <w:sz w:val="2"/>
      <w:szCs w:val="2"/>
    </w:rPr>
  </w:style>
  <w:style w:type="character" w:customStyle="1" w:styleId="Small">
    <w:name w:val="Small"/>
    <w:rsid w:val="00CB2C2A"/>
    <w:rPr>
      <w:sz w:val="16"/>
    </w:rPr>
  </w:style>
  <w:style w:type="paragraph" w:customStyle="1" w:styleId="WideTable">
    <w:name w:val="Wide Table"/>
    <w:basedOn w:val="Normal"/>
    <w:rsid w:val="00CB2C2A"/>
    <w:pPr>
      <w:ind w:left="-1418"/>
    </w:pPr>
    <w:rPr>
      <w:sz w:val="2"/>
      <w:szCs w:val="2"/>
    </w:rPr>
  </w:style>
  <w:style w:type="character" w:styleId="PageNumber">
    <w:name w:val="page number"/>
    <w:rsid w:val="00CB2C2A"/>
  </w:style>
  <w:style w:type="paragraph" w:styleId="Quote">
    <w:name w:val="Quote"/>
    <w:basedOn w:val="Heading1"/>
    <w:link w:val="QuoteChar"/>
    <w:qFormat/>
    <w:rsid w:val="00CB2C2A"/>
    <w:rPr>
      <w:b w:val="0"/>
      <w:sz w:val="72"/>
      <w:szCs w:val="72"/>
      <w:lang w:val="en-NZ"/>
    </w:rPr>
  </w:style>
  <w:style w:type="character" w:customStyle="1" w:styleId="QuoteChar">
    <w:name w:val="Quote Char"/>
    <w:link w:val="Quote"/>
    <w:rsid w:val="00CB2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C2A"/>
    <w:pPr>
      <w:pageBreakBefore/>
    </w:pPr>
  </w:style>
  <w:style w:type="paragraph" w:customStyle="1" w:styleId="Border">
    <w:name w:val="Border"/>
    <w:basedOn w:val="Normal"/>
    <w:qFormat/>
    <w:rsid w:val="00CB2C2A"/>
    <w:pPr>
      <w:pBdr>
        <w:top w:val="single" w:sz="18" w:space="1" w:color="auto"/>
      </w:pBdr>
    </w:pPr>
    <w:rPr>
      <w:rFonts w:ascii="Times New Roman" w:hAnsi="Times New Roman"/>
      <w:color w:val="FFFFFF"/>
      <w:sz w:val="2"/>
    </w:rPr>
  </w:style>
  <w:style w:type="character" w:styleId="IntenseEmphasis">
    <w:name w:val="Intense Emphasis"/>
    <w:uiPriority w:val="21"/>
    <w:qFormat/>
    <w:rsid w:val="00CB2C2A"/>
    <w:rPr>
      <w:b/>
      <w:bCs/>
      <w:i/>
      <w:iCs/>
      <w:color w:val="auto"/>
    </w:rPr>
  </w:style>
  <w:style w:type="paragraph" w:styleId="IntenseQuote">
    <w:name w:val="Intense Quote"/>
    <w:basedOn w:val="Normal"/>
    <w:next w:val="Normal"/>
    <w:link w:val="IntenseQuoteChar"/>
    <w:uiPriority w:val="30"/>
    <w:qFormat/>
    <w:rsid w:val="00CB2C2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2C2A"/>
    <w:rPr>
      <w:rFonts w:ascii="Courier New" w:eastAsia="Times New Roman" w:hAnsi="Courier New" w:cs="Times New Roman"/>
      <w:b/>
      <w:bCs/>
      <w:i/>
      <w:iCs/>
      <w:szCs w:val="20"/>
      <w:lang w:val="en-US" w:eastAsia="en-US"/>
    </w:rPr>
  </w:style>
  <w:style w:type="character" w:styleId="SubtleReference">
    <w:name w:val="Subtle Reference"/>
    <w:uiPriority w:val="31"/>
    <w:qFormat/>
    <w:rsid w:val="00CB2C2A"/>
    <w:rPr>
      <w:smallCaps/>
      <w:color w:val="auto"/>
      <w:u w:val="single"/>
    </w:rPr>
  </w:style>
  <w:style w:type="character" w:styleId="IntenseReference">
    <w:name w:val="Intense Reference"/>
    <w:uiPriority w:val="32"/>
    <w:qFormat/>
    <w:rsid w:val="00CB2C2A"/>
    <w:rPr>
      <w:b/>
      <w:bCs/>
      <w:smallCaps/>
      <w:color w:val="auto"/>
      <w:spacing w:val="5"/>
      <w:u w:val="single"/>
    </w:rPr>
  </w:style>
  <w:style w:type="paragraph" w:customStyle="1" w:styleId="2ColumnHeading">
    <w:name w:val="2Column Heading"/>
    <w:basedOn w:val="BodyText"/>
    <w:qFormat/>
    <w:rsid w:val="00CB2C2A"/>
    <w:pPr>
      <w:spacing w:after="60"/>
      <w:ind w:left="-2268"/>
    </w:pPr>
    <w:rPr>
      <w:b/>
    </w:rPr>
  </w:style>
  <w:style w:type="paragraph" w:customStyle="1" w:styleId="Heading1TOC">
    <w:name w:val="Heading1 TOC"/>
    <w:basedOn w:val="Normal"/>
    <w:qFormat/>
    <w:rsid w:val="00CB2C2A"/>
    <w:pPr>
      <w:spacing w:before="240" w:after="120"/>
    </w:pPr>
    <w:rPr>
      <w:rFonts w:ascii="Times New Roman" w:hAnsi="Times New Roman"/>
      <w:b/>
      <w:sz w:val="32"/>
    </w:rPr>
  </w:style>
  <w:style w:type="paragraph" w:customStyle="1" w:styleId="Heading2TOC">
    <w:name w:val="Heading2 TOC"/>
    <w:basedOn w:val="Normal"/>
    <w:qFormat/>
    <w:rsid w:val="00CB2C2A"/>
    <w:pPr>
      <w:spacing w:before="240" w:after="60"/>
    </w:pPr>
    <w:rPr>
      <w:rFonts w:ascii="Times New Roman" w:hAnsi="Times New Roman"/>
      <w:b/>
      <w:sz w:val="28"/>
    </w:rPr>
  </w:style>
  <w:style w:type="character" w:customStyle="1" w:styleId="Underline">
    <w:name w:val="Underline"/>
    <w:qFormat/>
    <w:rsid w:val="00CB2C2A"/>
    <w:rPr>
      <w:u w:val="single"/>
    </w:rPr>
  </w:style>
  <w:style w:type="character" w:customStyle="1" w:styleId="BoldandItalics">
    <w:name w:val="Bold and Italics"/>
    <w:qFormat/>
    <w:rsid w:val="00CB2C2A"/>
    <w:rPr>
      <w:b/>
      <w:i/>
      <w:u w:val="none"/>
    </w:rPr>
  </w:style>
  <w:style w:type="paragraph" w:styleId="BalloonText">
    <w:name w:val="Balloon Text"/>
    <w:basedOn w:val="Normal"/>
    <w:link w:val="BalloonTextChar"/>
    <w:rsid w:val="00CB2C2A"/>
    <w:rPr>
      <w:rFonts w:ascii="Tahoma" w:hAnsi="Tahoma" w:cs="Tahoma"/>
      <w:sz w:val="16"/>
      <w:szCs w:val="16"/>
    </w:rPr>
  </w:style>
  <w:style w:type="character" w:customStyle="1" w:styleId="BalloonTextChar">
    <w:name w:val="Balloon Text Char"/>
    <w:link w:val="BalloonText"/>
    <w:rsid w:val="00CB2C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2C2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2C2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10013</Characters>
  <Application>Microsoft Office Word</Application>
  <DocSecurity>0</DocSecurity>
  <Lines>314</Lines>
  <Paragraphs>180</Paragraphs>
  <ScaleCrop>false</ScaleCrop>
  <Company>Author-it Software Corporation Ltd.</Company>
  <LinksUpToDate>false</LinksUpToDate>
  <CharactersWithSpaces>11519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TLIX6053A Coordinate health support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2012-05-27T04:16:00Z</dcterms:created>
  <dcterms:modified xsi:type="dcterms:W3CDTF">2012-05-27T04:16:00Z</dcterms:modified>
</cp:coreProperties>
</file>