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D4F" w:rsidP="00D76D4F">
      <w:pPr>
        <w:pStyle w:val="Title"/>
      </w:pPr>
      <w:r>
        <w:fldChar w:fldCharType="begin"/>
      </w:r>
      <w:r>
        <w:instrText xml:space="preserve"> TITLE   \* MERGEFORMAT </w:instrText>
      </w:r>
      <w:r>
        <w:fldChar w:fldCharType="separate"/>
      </w:r>
      <w:r>
        <w:t>TLIX6049A Undertake provisioning in support of deployed operations</w:t>
      </w:r>
      <w:r>
        <w:fldChar w:fldCharType="end"/>
      </w:r>
    </w:p>
    <w:p w:rsidR="00D76D4F" w:rsidP="00D76D4F">
      <w:pPr>
        <w:pStyle w:val="Version"/>
        <w:sectPr w:rsidSect="00F30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4BE" w:rsidP="00F304BE">
      <w:pPr>
        <w:pStyle w:val="SuperHeading"/>
      </w:pPr>
      <w:r w:rsidRPr="00F304BE">
        <w:t>TLIX6049A Undertake provisioning in support of deployed operations</w:t>
      </w:r>
    </w:p>
    <w:p w:rsidR="00000000" w:rsidRPr="00F304BE" w:rsidP="00F304BE">
      <w:pPr>
        <w:pStyle w:val="Heading1"/>
      </w:pPr>
      <w:bookmarkStart w:id="1" w:name="O_274424"/>
      <w:bookmarkEnd w:id="1"/>
      <w:r w:rsidRPr="00F304BE">
        <w:t>Modification History</w:t>
      </w:r>
    </w:p>
    <w:p w:rsidR="00000000" w:rsidRPr="00F304BE" w:rsidP="00F304BE">
      <w:pPr>
        <w:pStyle w:val="BodyText"/>
      </w:pPr>
      <w:r w:rsidRPr="00F304BE">
        <w:t>Not Applicable</w:t>
      </w:r>
    </w:p>
    <w:p w:rsidR="00000000" w:rsidRPr="00F304BE" w:rsidP="00F304BE">
      <w:pPr>
        <w:pStyle w:val="AllowPageBreak"/>
      </w:pPr>
    </w:p>
    <w:p w:rsidR="00000000" w:rsidRPr="00F304BE" w:rsidP="00F304BE">
      <w:pPr>
        <w:pStyle w:val="Heading1"/>
      </w:pPr>
      <w:bookmarkStart w:id="2" w:name="O_224758"/>
      <w:bookmarkEnd w:id="2"/>
      <w:r w:rsidRPr="00F304BE">
        <w:t>Unit Descriptor</w:t>
      </w:r>
    </w:p>
    <w:tbl>
      <w:tblPr>
        <w:tblW w:w="9640" w:type="dxa"/>
        <w:tblLayout w:type="fixed"/>
        <w:tblCellMar>
          <w:left w:w="62" w:type="dxa"/>
          <w:right w:w="62" w:type="dxa"/>
        </w:tblCellMar>
        <w:tblLook w:val="0000"/>
      </w:tblPr>
      <w:tblGrid>
        <w:gridCol w:w="2978"/>
        <w:gridCol w:w="6662"/>
      </w:tblGrid>
      <w:tr w:rsidTr="00D76D4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BodyText"/>
            </w:pPr>
            <w:r w:rsidRPr="00F304BE">
              <w:t>This unit involves the skills and knowledge required to undertake provisioning for d</w:t>
            </w:r>
            <w:r w:rsidRPr="00F304BE">
              <w:t>eployed elements of an organisation in support of organisational operations. There are no specific licensing or certification requirements applicable to this unit.</w:t>
            </w:r>
          </w:p>
        </w:tc>
      </w:tr>
    </w:tbl>
    <w:p w:rsidR="00D76D4F" w:rsidP="00F304BE">
      <w:pPr>
        <w:pStyle w:val="BodyText"/>
      </w:pPr>
    </w:p>
    <w:p w:rsidR="00D76D4F" w:rsidP="00F304BE">
      <w:pPr>
        <w:pStyle w:val="BodyText"/>
      </w:pPr>
    </w:p>
    <w:p w:rsidR="00000000" w:rsidRPr="00F304BE" w:rsidP="00F304BE">
      <w:pPr>
        <w:pStyle w:val="Heading1"/>
      </w:pPr>
      <w:bookmarkStart w:id="3" w:name="O_224760"/>
      <w:bookmarkEnd w:id="3"/>
      <w:r w:rsidRPr="00F304BE">
        <w:t>Application of the Unit</w:t>
      </w:r>
    </w:p>
    <w:tbl>
      <w:tblPr>
        <w:tblW w:w="9640" w:type="dxa"/>
        <w:tblLayout w:type="fixed"/>
        <w:tblCellMar>
          <w:left w:w="62" w:type="dxa"/>
          <w:right w:w="62" w:type="dxa"/>
        </w:tblCellMar>
        <w:tblLook w:val="0000"/>
      </w:tblPr>
      <w:tblGrid>
        <w:gridCol w:w="2978"/>
        <w:gridCol w:w="6662"/>
      </w:tblGrid>
      <w:tr w:rsidTr="00D76D4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BodyText"/>
            </w:pPr>
            <w:r w:rsidRPr="00F304BE">
              <w:t>The application of this unit in the workplace includes the process of planning and controlling the necessary stockholding levels of all items of supply. Supply provisioning is a quantitative analysis and involves detailed mathematical calculations of suppl</w:t>
            </w:r>
            <w:r w:rsidRPr="00F304BE">
              <w:t>y factors such as known usage rates and time factors.</w:t>
            </w:r>
          </w:p>
          <w:p w:rsidR="00000000" w:rsidRPr="00F304BE" w:rsidP="00F304BE">
            <w:pPr>
              <w:pStyle w:val="BodyText"/>
            </w:pPr>
            <w:r w:rsidRPr="00F304BE">
              <w:t>This unit of competency is typically applicable to senior logistic personnel who have a responsibility to plan and coordinate logistics supply support at an organisational level.</w:t>
            </w:r>
          </w:p>
          <w:p w:rsidR="00000000" w:rsidRPr="00F304BE" w:rsidP="00F304BE">
            <w:pPr>
              <w:pStyle w:val="BodyText"/>
            </w:pPr>
            <w:r w:rsidRPr="00F304BE">
              <w:t xml:space="preserve">This person will bring </w:t>
            </w:r>
            <w:r w:rsidRPr="00F304BE">
              <w:t>well developed management and communication skills as well as skills in a specialist discipline of supply support.</w:t>
            </w:r>
          </w:p>
          <w:p w:rsidR="00000000" w:rsidRPr="00F304BE" w:rsidP="00F304BE">
            <w:pPr>
              <w:pStyle w:val="BodyText"/>
            </w:pPr>
            <w:r w:rsidRPr="00F304BE">
              <w:t>The function is typically performed in the headquarters of an organisation with full access to information technology and support services. A</w:t>
            </w:r>
            <w:r w:rsidRPr="00F304BE">
              <w:t>ll activities are carried out in accordance with relevant organisational policy and procedures.</w:t>
            </w:r>
          </w:p>
        </w:tc>
      </w:tr>
    </w:tbl>
    <w:p w:rsidR="00D76D4F" w:rsidP="00F304BE">
      <w:pPr>
        <w:pStyle w:val="BodyText"/>
      </w:pPr>
    </w:p>
    <w:p w:rsidR="00D76D4F" w:rsidP="00F304BE">
      <w:pPr>
        <w:pStyle w:val="BodyText"/>
      </w:pPr>
    </w:p>
    <w:p w:rsidR="00000000" w:rsidRPr="00F304BE" w:rsidP="00F304BE">
      <w:pPr>
        <w:pStyle w:val="Heading1"/>
      </w:pPr>
      <w:bookmarkStart w:id="4" w:name="O_282684"/>
      <w:bookmarkEnd w:id="4"/>
      <w:r w:rsidRPr="00F304BE">
        <w:t>Licensing/Regulatory Information</w:t>
      </w:r>
    </w:p>
    <w:p w:rsidR="00000000" w:rsidRPr="00F304BE" w:rsidP="00F304BE">
      <w:pPr>
        <w:pStyle w:val="BodyText"/>
      </w:pPr>
      <w:r w:rsidRPr="00F304BE">
        <w:t>Refer to Unit Descriptor</w:t>
      </w:r>
    </w:p>
    <w:p w:rsidR="00000000" w:rsidRPr="00F304BE" w:rsidP="00F304BE">
      <w:pPr>
        <w:pStyle w:val="AllowPageBreak"/>
      </w:pPr>
    </w:p>
    <w:p w:rsidR="00000000" w:rsidRPr="00F304BE" w:rsidP="00F304BE">
      <w:pPr>
        <w:pStyle w:val="Heading1"/>
      </w:pPr>
      <w:bookmarkStart w:id="5" w:name="O_285134"/>
      <w:bookmarkEnd w:id="5"/>
      <w:r w:rsidRPr="00F304BE">
        <w:t>Pre-Requisites</w:t>
      </w:r>
    </w:p>
    <w:p w:rsidR="00000000" w:rsidRPr="00F304BE" w:rsidP="00F304BE">
      <w:pPr>
        <w:pStyle w:val="BodyText"/>
      </w:pPr>
      <w:r w:rsidRPr="00F304BE">
        <w:t>Not Applicable</w:t>
      </w:r>
    </w:p>
    <w:p w:rsidR="00000000" w:rsidRPr="00F304BE" w:rsidP="00F304BE">
      <w:pPr>
        <w:pStyle w:val="AllowPageBreak"/>
      </w:pPr>
    </w:p>
    <w:p w:rsidR="00000000" w:rsidRPr="00F304BE" w:rsidP="00F304BE">
      <w:pPr>
        <w:pStyle w:val="Heading1"/>
      </w:pPr>
      <w:bookmarkStart w:id="6" w:name="O_224759"/>
      <w:bookmarkEnd w:id="6"/>
      <w:r w:rsidRPr="00F304BE">
        <w:t>Employability Skills Information</w:t>
      </w:r>
    </w:p>
    <w:tbl>
      <w:tblPr>
        <w:tblW w:w="9640" w:type="dxa"/>
        <w:tblLayout w:type="fixed"/>
        <w:tblCellMar>
          <w:left w:w="62" w:type="dxa"/>
          <w:right w:w="62" w:type="dxa"/>
        </w:tblCellMar>
        <w:tblLook w:val="0000"/>
      </w:tblPr>
      <w:tblGrid>
        <w:gridCol w:w="2978"/>
        <w:gridCol w:w="6662"/>
      </w:tblGrid>
      <w:tr w:rsidTr="00D76D4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BodyText"/>
            </w:pPr>
            <w:r w:rsidRPr="00F304BE">
              <w:t>This unit contains employability skills.</w:t>
            </w:r>
          </w:p>
        </w:tc>
      </w:tr>
    </w:tbl>
    <w:p w:rsidR="00D76D4F" w:rsidP="00F304BE">
      <w:pPr>
        <w:pStyle w:val="BodyText"/>
      </w:pPr>
    </w:p>
    <w:p w:rsidR="00D76D4F" w:rsidP="00F304BE">
      <w:pPr>
        <w:pStyle w:val="BodyText"/>
      </w:pPr>
    </w:p>
    <w:p w:rsidR="00000000" w:rsidRPr="00F304BE" w:rsidP="00F304BE">
      <w:pPr>
        <w:pStyle w:val="Heading1"/>
      </w:pPr>
      <w:bookmarkStart w:id="7" w:name="O_292470"/>
      <w:bookmarkEnd w:id="7"/>
      <w:r w:rsidRPr="00F304BE">
        <w:t>Elements and Performance Criteria Pre-Content</w:t>
      </w:r>
    </w:p>
    <w:tbl>
      <w:tblPr>
        <w:tblW w:w="9640" w:type="dxa"/>
        <w:tblLayout w:type="fixed"/>
        <w:tblCellMar>
          <w:left w:w="62" w:type="dxa"/>
          <w:right w:w="62" w:type="dxa"/>
        </w:tblCellMar>
        <w:tblLook w:val="0000"/>
      </w:tblPr>
      <w:tblGrid>
        <w:gridCol w:w="2978"/>
        <w:gridCol w:w="6662"/>
      </w:tblGrid>
      <w:tr w:rsidTr="00D76D4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BodyText"/>
            </w:pPr>
            <w:r w:rsidRPr="00F304BE">
              <w:t>Performance criteria describe</w:t>
            </w:r>
            <w:r w:rsidRPr="00F304BE">
              <w:t xml:space="preserve"> the required performance needed to demonstrate achievement of the element. Assessment of performance is to be consistent with the evidence guide.</w:t>
            </w:r>
          </w:p>
        </w:tc>
      </w:tr>
    </w:tbl>
    <w:p w:rsidR="00000000" w:rsidRPr="00F304BE" w:rsidP="00F304BE">
      <w:pPr>
        <w:pStyle w:val="BodyText"/>
      </w:pPr>
    </w:p>
    <w:p w:rsidR="00000000" w:rsidRPr="00F304BE" w:rsidP="00F304BE">
      <w:pPr>
        <w:pStyle w:val="AllowPageBreak"/>
      </w:pPr>
    </w:p>
    <w:p w:rsidR="00000000" w:rsidRPr="00F304BE" w:rsidP="00F304BE">
      <w:pPr>
        <w:pStyle w:val="Heading1"/>
      </w:pPr>
      <w:bookmarkStart w:id="8" w:name="O_239138"/>
      <w:bookmarkEnd w:id="8"/>
      <w:r w:rsidRPr="00F304BE">
        <w:t>Elements and Performance Criteria</w:t>
      </w:r>
    </w:p>
    <w:tbl>
      <w:tblPr>
        <w:tblW w:w="9640" w:type="dxa"/>
        <w:tblLayout w:type="fixed"/>
        <w:tblCellMar>
          <w:left w:w="62" w:type="dxa"/>
          <w:right w:w="62" w:type="dxa"/>
        </w:tblCellMar>
        <w:tblLook w:val="0000"/>
      </w:tblPr>
      <w:tblGrid>
        <w:gridCol w:w="2978"/>
        <w:gridCol w:w="6662"/>
      </w:tblGrid>
      <w:tr w:rsidTr="00D76D4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304BE" w:rsidP="00F304BE">
            <w:pPr>
              <w:pStyle w:val="List"/>
            </w:pPr>
            <w:r w:rsidRPr="00F304B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304BE">
            <w:pPr>
              <w:pStyle w:val="List"/>
              <w:rPr>
                <w:lang w:val="en-NZ"/>
              </w:rPr>
            </w:pPr>
            <w:r w:rsidRPr="00F304BE">
              <w:rPr>
                <w:rStyle w:val="SpecialBold"/>
              </w:rPr>
              <w:t>PERFORMANCE CRITERIA</w:t>
            </w:r>
          </w:p>
        </w:tc>
      </w:tr>
      <w:tr w:rsidTr="00D76D4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04BE">
            <w:pPr>
              <w:pStyle w:val="List"/>
              <w:rPr>
                <w:lang w:val="en-NZ"/>
              </w:rPr>
            </w:pPr>
            <w:r w:rsidRPr="00F304BE">
              <w:rPr>
                <w:rStyle w:val="SpecialBold"/>
              </w:rPr>
              <w:t>1</w:t>
            </w:r>
            <w:r w:rsidRPr="00F304BE">
              <w:tab/>
            </w:r>
            <w:r w:rsidRPr="00F304BE">
              <w:rPr>
                <w:rStyle w:val="SpecialBold"/>
              </w:rPr>
              <w:t>Analyse the operational requirement</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List"/>
            </w:pPr>
            <w:r w:rsidRPr="00F304BE">
              <w:t>1.1</w:t>
            </w:r>
            <w:r w:rsidRPr="00F304BE">
              <w:tab/>
              <w:t>Operational requirement is analysed in order to establish the provisioning requirements</w:t>
            </w:r>
          </w:p>
          <w:p w:rsidR="00000000" w:rsidRPr="00F304BE" w:rsidP="00F304BE">
            <w:pPr>
              <w:pStyle w:val="List"/>
            </w:pPr>
            <w:r w:rsidRPr="00F304BE">
              <w:t>1.2</w:t>
            </w:r>
            <w:r w:rsidRPr="00F304BE">
              <w:tab/>
              <w:t>The operational factors are analysed to identify the variables to be considered in provisioning</w:t>
            </w:r>
          </w:p>
          <w:p w:rsidR="00000000" w:rsidRPr="00F304BE" w:rsidP="00F304BE">
            <w:pPr>
              <w:pStyle w:val="List"/>
            </w:pPr>
            <w:r w:rsidRPr="00F304BE">
              <w:t>1.3</w:t>
            </w:r>
            <w:r w:rsidRPr="00F304BE">
              <w:tab/>
              <w:t>The technical supply fac</w:t>
            </w:r>
            <w:r w:rsidRPr="00F304BE">
              <w:t>tors are analysed to identify the variables to be considered in provisioning</w:t>
            </w:r>
          </w:p>
          <w:p w:rsidR="00000000" w:rsidP="00F304BE">
            <w:pPr>
              <w:pStyle w:val="List"/>
              <w:rPr>
                <w:lang w:val="en-NZ"/>
              </w:rPr>
            </w:pPr>
            <w:r w:rsidRPr="00F304BE">
              <w:t>1.4</w:t>
            </w:r>
            <w:r w:rsidRPr="00F304BE">
              <w:tab/>
              <w:t>Liaison with other logistic planners is undertaken to inform the specialist supply aspects of the provisioning requirement</w:t>
            </w:r>
          </w:p>
        </w:tc>
      </w:tr>
      <w:tr w:rsidTr="00D76D4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04BE">
            <w:pPr>
              <w:pStyle w:val="List"/>
              <w:rPr>
                <w:lang w:val="en-NZ"/>
              </w:rPr>
            </w:pPr>
            <w:r w:rsidRPr="00F304BE">
              <w:rPr>
                <w:rStyle w:val="SpecialBold"/>
              </w:rPr>
              <w:t>2</w:t>
            </w:r>
            <w:r w:rsidRPr="00F304BE">
              <w:tab/>
            </w:r>
            <w:r w:rsidRPr="00F304BE">
              <w:rPr>
                <w:rStyle w:val="SpecialBold"/>
              </w:rPr>
              <w:t>Calculate the provisioning requirements</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List"/>
            </w:pPr>
            <w:r w:rsidRPr="00F304BE">
              <w:t>2.1</w:t>
            </w:r>
            <w:r w:rsidRPr="00F304BE">
              <w:tab/>
              <w:t>Stock</w:t>
            </w:r>
            <w:r w:rsidRPr="00F304BE">
              <w:t xml:space="preserve"> holding factors are determined and analysed in order to provide a basis for provisioning calculation</w:t>
            </w:r>
          </w:p>
          <w:p w:rsidR="00000000" w:rsidRPr="00F304BE" w:rsidP="00F304BE">
            <w:pPr>
              <w:pStyle w:val="List"/>
            </w:pPr>
            <w:r w:rsidRPr="00F304BE">
              <w:t>2.2</w:t>
            </w:r>
            <w:r w:rsidRPr="00F304BE">
              <w:tab/>
              <w:t>Time factors are determined and analysed in order to establish the duration of supply and the lead time required for provisioning</w:t>
            </w:r>
          </w:p>
          <w:p w:rsidR="00000000" w:rsidRPr="00F304BE" w:rsidP="00F304BE">
            <w:pPr>
              <w:pStyle w:val="List"/>
            </w:pPr>
            <w:r w:rsidRPr="00F304BE">
              <w:t>2.3</w:t>
            </w:r>
            <w:r w:rsidRPr="00F304BE">
              <w:tab/>
            </w:r>
            <w:r w:rsidRPr="00F304BE">
              <w:t>Usage rates are calculated to define the frequency and quantity of stock that will be consumed by dependencies</w:t>
            </w:r>
          </w:p>
          <w:p w:rsidR="00000000" w:rsidRPr="00F304BE" w:rsidP="00F304BE">
            <w:pPr>
              <w:pStyle w:val="List"/>
            </w:pPr>
            <w:r w:rsidRPr="00F304BE">
              <w:t>2.4</w:t>
            </w:r>
            <w:r w:rsidRPr="00F304BE">
              <w:tab/>
              <w:t>Total liability period is calculated to establish the period that dependencies will be required to provide initial self-sustainment before ro</w:t>
            </w:r>
            <w:r w:rsidRPr="00F304BE">
              <w:t>utine replenishment is available</w:t>
            </w:r>
          </w:p>
          <w:p w:rsidR="00000000" w:rsidRPr="00F304BE" w:rsidP="00F304BE">
            <w:pPr>
              <w:pStyle w:val="List"/>
            </w:pPr>
            <w:r w:rsidRPr="00F304BE">
              <w:t>2.5</w:t>
            </w:r>
            <w:r w:rsidRPr="00F304BE">
              <w:tab/>
              <w:t>Assets and liabilities are identified through analysis of stockholding and time factors in accordance with organisational policy and procedure</w:t>
            </w:r>
          </w:p>
          <w:p w:rsidR="00000000" w:rsidP="00F304BE">
            <w:pPr>
              <w:pStyle w:val="List"/>
              <w:rPr>
                <w:lang w:val="en-NZ"/>
              </w:rPr>
            </w:pPr>
            <w:r w:rsidRPr="00F304BE">
              <w:t>2.6</w:t>
            </w:r>
            <w:r w:rsidRPr="00F304BE">
              <w:tab/>
              <w:t>Surpluses or deficiencies are calculated based on the established assets</w:t>
            </w:r>
            <w:r w:rsidRPr="00F304BE">
              <w:t xml:space="preserve"> and liabilities</w:t>
            </w:r>
          </w:p>
        </w:tc>
      </w:tr>
      <w:tr w:rsidTr="00D76D4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04BE">
            <w:pPr>
              <w:pStyle w:val="List"/>
              <w:rPr>
                <w:lang w:val="en-NZ"/>
              </w:rPr>
            </w:pPr>
            <w:r w:rsidRPr="00F304BE">
              <w:rPr>
                <w:rStyle w:val="SpecialBold"/>
              </w:rPr>
              <w:t>3</w:t>
            </w:r>
            <w:r w:rsidRPr="00F304BE">
              <w:tab/>
            </w:r>
            <w:r w:rsidRPr="00F304BE">
              <w:rPr>
                <w:rStyle w:val="SpecialBold"/>
              </w:rPr>
              <w:t>Develop and report the provisioning requirement</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List"/>
            </w:pPr>
            <w:r w:rsidRPr="00F304BE">
              <w:t>3.1</w:t>
            </w:r>
            <w:r w:rsidRPr="00F304BE">
              <w:tab/>
              <w:t>Provisioning data is created based upon the analysis and provisioning calculations</w:t>
            </w:r>
          </w:p>
          <w:p w:rsidR="00000000" w:rsidRPr="00F304BE" w:rsidP="00F304BE">
            <w:pPr>
              <w:pStyle w:val="List"/>
            </w:pPr>
            <w:r w:rsidRPr="00F304BE">
              <w:t>3.2</w:t>
            </w:r>
            <w:r w:rsidRPr="00F304BE">
              <w:tab/>
              <w:t>Provisioning requirement is adjusted in accordance with changing operational need</w:t>
            </w:r>
          </w:p>
          <w:p w:rsidR="00000000" w:rsidRPr="00F304BE" w:rsidP="00F304BE">
            <w:pPr>
              <w:pStyle w:val="List"/>
            </w:pPr>
            <w:r w:rsidRPr="00F304BE">
              <w:t>3.3</w:t>
            </w:r>
            <w:r w:rsidRPr="00F304BE">
              <w:tab/>
              <w:t>Provisionin</w:t>
            </w:r>
            <w:r w:rsidRPr="00F304BE">
              <w:t>g requirement is communicated to stakeholders</w:t>
            </w:r>
          </w:p>
        </w:tc>
      </w:tr>
    </w:tbl>
    <w:p w:rsidR="00D76D4F" w:rsidP="00F304BE">
      <w:pPr>
        <w:pStyle w:val="BodyText"/>
      </w:pPr>
    </w:p>
    <w:p w:rsidR="00D76D4F" w:rsidP="00F304BE">
      <w:pPr>
        <w:pStyle w:val="BodyText"/>
      </w:pPr>
    </w:p>
    <w:p w:rsidR="00000000" w:rsidRPr="00F304BE" w:rsidP="00F304BE">
      <w:pPr>
        <w:pStyle w:val="Heading1"/>
      </w:pPr>
      <w:bookmarkStart w:id="9" w:name="O_262929"/>
      <w:bookmarkEnd w:id="9"/>
      <w:r w:rsidRPr="00F304BE">
        <w:t>Required Skills and Knowledge</w:t>
      </w:r>
    </w:p>
    <w:tbl>
      <w:tblPr>
        <w:tblW w:w="9640" w:type="dxa"/>
        <w:tblLayout w:type="fixed"/>
        <w:tblCellMar>
          <w:left w:w="62" w:type="dxa"/>
          <w:right w:w="62" w:type="dxa"/>
        </w:tblCellMar>
        <w:tblLook w:val="0000"/>
      </w:tblPr>
      <w:tblGrid>
        <w:gridCol w:w="9640"/>
      </w:tblGrid>
      <w:tr w:rsidTr="00D76D4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REQUIRED KNOWLEDGE AND SKILLS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This describes the essential knowledge and skills and their level required for this unit.</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Required knowledge</w:t>
            </w:r>
            <w:r w:rsidRPr="00F304BE">
              <w:t>:</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Logistics support concepts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Specialist knowledge of the organisation, function and logistic support capabilities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Organisational policy and procedure pertaining to procurement and provisioning</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Organisational role relevant to specialist provisioning</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The imperatives of supply</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Composition and capability of supply systems and installations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The national support base that supports procurement</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The provisioning calculation processes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The fundamentals of sustainment to deployed provisioning</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 xml:space="preserve">Time and </w:t>
            </w:r>
            <w:r w:rsidRPr="00F304BE">
              <w:t>stockholding factors and their effect on provisioning</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Organisational role relevant to specialist logistic support</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Environment considerations in provisioning</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Organisational writing conventions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Planning process as they apply to deployed operations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Relevant risk factors as they apply to deployed operations</w:t>
            </w:r>
          </w:p>
        </w:tc>
      </w:tr>
    </w:tbl>
    <w:p w:rsidR="00000000" w:rsidRPr="00F304BE" w:rsidP="00F304BE">
      <w:pPr>
        <w:pStyle w:val="BodyText"/>
      </w:pPr>
    </w:p>
    <w:tbl>
      <w:tblPr>
        <w:tblW w:w="9640" w:type="dxa"/>
        <w:tblLayout w:type="fixed"/>
        <w:tblCellMar>
          <w:left w:w="62" w:type="dxa"/>
          <w:right w:w="62" w:type="dxa"/>
        </w:tblCellMar>
        <w:tblLook w:val="0000"/>
      </w:tblPr>
      <w:tblGrid>
        <w:gridCol w:w="9640"/>
      </w:tblGrid>
      <w:tr w:rsidTr="00D76D4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Required skills</w:t>
            </w:r>
            <w:r w:rsidRPr="00F304BE">
              <w:t>:</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Interpret policy and instructions and apply to actions and tasks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Prepare and issue instructions that clearly communicate intent and tasks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Use problem-solving skills t</w:t>
            </w:r>
            <w:r w:rsidRPr="00F304BE">
              <w:t>o apply a broad range of problem-solving strategies to planning outcomes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Analyse the complexities of a task such as limitations, freedoms, vulnerabilities, time limitations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Undertake analysis to determine where internal and external factors impact on t</w:t>
            </w:r>
            <w:r w:rsidRPr="00F304BE">
              <w:t>he logistic support requirements, and adjust planning accordingly</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Use numeracy skills to accurately analyse and validate information and complete mathematical calculations that are required as part of the provisioning process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Use organisational skills to manage own planning tasks in concert with organisational requirements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Interpret policies and procedures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Make decisive, informed decisions that align with organisational requirements</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 xml:space="preserve">Engage with a range of stakeholders to </w:t>
            </w:r>
            <w:r w:rsidRPr="00F304BE">
              <w:t>research and collate provisioning information</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04BE">
            <w:pPr>
              <w:pStyle w:val="ListBullet"/>
              <w:rPr>
                <w:lang w:val="en-NZ"/>
              </w:rPr>
            </w:pPr>
            <w:r w:rsidRPr="00F304BE">
              <w:t>Move forward despite the difficulty of the task</w:t>
            </w:r>
          </w:p>
        </w:tc>
      </w:tr>
      <w:tr w:rsidTr="00D76D4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Use appropriate information technology and software</w:t>
            </w:r>
          </w:p>
        </w:tc>
      </w:tr>
    </w:tbl>
    <w:p w:rsidR="00D76D4F" w:rsidP="00F304BE">
      <w:pPr>
        <w:pStyle w:val="BodyText"/>
      </w:pPr>
    </w:p>
    <w:p w:rsidR="00D76D4F" w:rsidP="00F304BE">
      <w:pPr>
        <w:pStyle w:val="BodyText"/>
      </w:pPr>
    </w:p>
    <w:p w:rsidR="00000000" w:rsidRPr="00F304BE" w:rsidP="00F304BE">
      <w:pPr>
        <w:pStyle w:val="Heading1"/>
      </w:pPr>
      <w:bookmarkStart w:id="10" w:name="O_247122"/>
      <w:bookmarkEnd w:id="10"/>
      <w:r w:rsidRPr="00F304BE">
        <w:t>Evidence Guide</w:t>
      </w:r>
    </w:p>
    <w:tbl>
      <w:tblPr>
        <w:tblW w:w="9499" w:type="dxa"/>
        <w:tblLayout w:type="fixed"/>
        <w:tblCellMar>
          <w:left w:w="62" w:type="dxa"/>
          <w:right w:w="62" w:type="dxa"/>
        </w:tblCellMar>
        <w:tblLook w:val="0000"/>
      </w:tblPr>
      <w:tblGrid>
        <w:gridCol w:w="3524"/>
        <w:gridCol w:w="5975"/>
      </w:tblGrid>
      <w:tr w:rsidTr="00D76D4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EVIDENCE GUIDE</w:t>
            </w:r>
          </w:p>
        </w:tc>
      </w:tr>
      <w:tr w:rsidTr="00D76D4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The evidence guide provides advice on assessment and must be read in conjunction with the performance criteria, required knowledge and skills, the range statement and the assessment guidelines for this Training Package.</w:t>
            </w:r>
          </w:p>
        </w:tc>
      </w:tr>
      <w:tr w:rsidTr="00D76D4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Critical aspects for assessment an</w:t>
            </w:r>
            <w:r w:rsidRPr="00F304B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The evidence required to demonstrate competency in this unit must be relevant to and satisfy all of the requirements of the elements and performance criteria of this unit and include demonstration</w:t>
            </w:r>
            <w:r w:rsidRPr="00F304BE">
              <w:t xml:space="preserve"> of the following:</w:t>
            </w:r>
          </w:p>
          <w:p w:rsidR="00000000" w:rsidRPr="00F304BE" w:rsidP="00F304BE">
            <w:pPr>
              <w:pStyle w:val="ListBullet2"/>
            </w:pPr>
            <w:r w:rsidRPr="00F304BE">
              <w:t>accurately identify the inputs required to undertake provisioning in accordance with the operational task</w:t>
            </w:r>
          </w:p>
          <w:p w:rsidR="00000000" w:rsidRPr="00F304BE" w:rsidP="00F304BE">
            <w:pPr>
              <w:pStyle w:val="ListBullet2"/>
            </w:pPr>
            <w:r w:rsidRPr="00F304BE">
              <w:t>calculate provisioning requirements of all classes of supply</w:t>
            </w:r>
          </w:p>
          <w:p w:rsidR="00000000" w:rsidP="00F304BE">
            <w:pPr>
              <w:pStyle w:val="ListBullet2"/>
              <w:rPr>
                <w:lang w:val="en-NZ"/>
              </w:rPr>
            </w:pPr>
            <w:r w:rsidRPr="00F304BE">
              <w:t>produce the outputs required of provisioning to support distribution planning</w:t>
            </w:r>
          </w:p>
        </w:tc>
      </w:tr>
      <w:tr w:rsidTr="00D76D4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Competency should be demonstrated on at least one occasion covering the scope of the unit of competence</w:t>
            </w:r>
          </w:p>
          <w:p w:rsidR="00000000" w:rsidRPr="00F304BE" w:rsidP="00F304BE">
            <w:pPr>
              <w:pStyle w:val="ListBullet"/>
            </w:pPr>
            <w:r w:rsidRPr="00F304BE">
              <w:t>Resources for assessment include:</w:t>
            </w:r>
          </w:p>
          <w:p w:rsidR="00000000" w:rsidRPr="00F304BE" w:rsidP="00F304BE">
            <w:pPr>
              <w:pStyle w:val="ListBullet2"/>
            </w:pPr>
            <w:r w:rsidRPr="00F304BE">
              <w:t>a range of relevant exercises, case studies and/or other simulated practical and knowledge assessment, and/or</w:t>
            </w:r>
          </w:p>
          <w:p w:rsidR="00000000" w:rsidRPr="00F304BE" w:rsidP="00F304BE">
            <w:pPr>
              <w:pStyle w:val="ListBullet2"/>
            </w:pPr>
            <w:r w:rsidRPr="00F304BE">
              <w:t>access to an appropriate range of relevant operational situations in the workplace</w:t>
            </w:r>
          </w:p>
          <w:p w:rsidR="00000000" w:rsidRPr="00F304BE" w:rsidP="00F304BE">
            <w:pPr>
              <w:pStyle w:val="ListBullet"/>
            </w:pPr>
            <w:r w:rsidRPr="00F304BE">
              <w:t xml:space="preserve">In both real and simulated </w:t>
            </w:r>
            <w:r w:rsidRPr="00F304BE">
              <w:t>environments, access is required to:</w:t>
            </w:r>
          </w:p>
          <w:p w:rsidR="00000000" w:rsidRPr="00F304BE" w:rsidP="00F304BE">
            <w:pPr>
              <w:pStyle w:val="ListBullet2"/>
            </w:pPr>
            <w:r w:rsidRPr="00F304BE">
              <w:t>relevant and appropriate materials and equipment, and</w:t>
            </w:r>
          </w:p>
          <w:p w:rsidR="00000000" w:rsidP="00F304BE">
            <w:pPr>
              <w:pStyle w:val="ListBullet2"/>
              <w:rPr>
                <w:lang w:val="en-NZ"/>
              </w:rPr>
            </w:pPr>
            <w:r w:rsidRPr="00F304BE">
              <w:t>applicable documentation including workplace procedures, regulations, codes of practice and operation manuals</w:t>
            </w:r>
          </w:p>
        </w:tc>
      </w:tr>
      <w:tr w:rsidTr="00D76D4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Assessment of this unit must be undertaken by a registered training organisation</w:t>
            </w:r>
          </w:p>
          <w:p w:rsidR="00000000" w:rsidRPr="00F304BE" w:rsidP="00F304BE">
            <w:pPr>
              <w:pStyle w:val="ListBullet"/>
            </w:pPr>
            <w:r w:rsidRPr="00F304BE">
              <w:t>As a minimum, assessment of knowledge must be conducted through appropriate written/oral tests</w:t>
            </w:r>
          </w:p>
          <w:p w:rsidR="00000000" w:rsidRPr="00F304BE" w:rsidP="00F304BE">
            <w:pPr>
              <w:pStyle w:val="ListBullet"/>
            </w:pPr>
            <w:r w:rsidRPr="00F304BE">
              <w:t>Practical assessment must occur:</w:t>
            </w:r>
          </w:p>
          <w:p w:rsidR="00000000" w:rsidRPr="00F304BE" w:rsidP="00F304BE">
            <w:pPr>
              <w:pStyle w:val="ListBullet2"/>
            </w:pPr>
            <w:r w:rsidRPr="00F304BE">
              <w:t>through activities in an appropriately simulat</w:t>
            </w:r>
            <w:r w:rsidRPr="00F304BE">
              <w:t>ed environment, and/or</w:t>
            </w:r>
          </w:p>
          <w:p w:rsidR="00000000" w:rsidRPr="00F304BE" w:rsidP="00F304BE">
            <w:pPr>
              <w:pStyle w:val="ListBullet2"/>
            </w:pPr>
            <w:r w:rsidRPr="00F304BE">
              <w:t>in an appropriate range of situations in the workplace</w:t>
            </w:r>
          </w:p>
        </w:tc>
      </w:tr>
    </w:tbl>
    <w:p w:rsidR="00D76D4F" w:rsidP="00F304BE">
      <w:pPr>
        <w:pStyle w:val="BodyText"/>
      </w:pPr>
    </w:p>
    <w:p w:rsidR="00D76D4F" w:rsidP="00F304BE">
      <w:pPr>
        <w:pStyle w:val="BodyText"/>
      </w:pPr>
    </w:p>
    <w:p w:rsidR="00000000" w:rsidRPr="00F304BE" w:rsidP="00F304BE">
      <w:pPr>
        <w:pStyle w:val="Heading1"/>
      </w:pPr>
      <w:bookmarkStart w:id="11" w:name="O_255105"/>
      <w:bookmarkEnd w:id="11"/>
      <w:r w:rsidRPr="00F304BE">
        <w:t>Range Statement</w:t>
      </w:r>
    </w:p>
    <w:tbl>
      <w:tblPr>
        <w:tblW w:w="9640" w:type="dxa"/>
        <w:tblLayout w:type="fixed"/>
        <w:tblCellMar>
          <w:left w:w="62" w:type="dxa"/>
          <w:right w:w="62" w:type="dxa"/>
        </w:tblCellMar>
        <w:tblLook w:val="0000"/>
      </w:tblPr>
      <w:tblGrid>
        <w:gridCol w:w="3486"/>
        <w:gridCol w:w="6154"/>
      </w:tblGrid>
      <w:tr w:rsidTr="00D76D4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RANGE STATEMENT</w:t>
            </w:r>
            <w:r w:rsidRPr="00F304BE">
              <w:t xml:space="preserve"> </w:t>
            </w:r>
          </w:p>
        </w:tc>
      </w:tr>
      <w:tr w:rsidTr="00D76D4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The range statement relates to the unit of competency as a whole. It allows for different work environments and sit</w:t>
            </w:r>
            <w:r w:rsidRPr="00F304BE">
              <w:t>uations that may affect performance.</w:t>
            </w:r>
          </w:p>
        </w:tc>
      </w:tr>
      <w:tr w:rsidTr="00D76D4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Operational factors may include:</w:t>
            </w:r>
          </w:p>
        </w:tc>
        <w:tc>
          <w:tcPr>
            <w:tcW w:w="6154"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concept of operations</w:t>
            </w:r>
          </w:p>
          <w:p w:rsidR="00000000" w:rsidRPr="00F304BE" w:rsidP="00F304BE">
            <w:pPr>
              <w:pStyle w:val="ListBullet"/>
            </w:pPr>
            <w:r w:rsidRPr="00F304BE">
              <w:t>composition and locations of organisations to be supported</w:t>
            </w:r>
          </w:p>
          <w:p w:rsidR="00000000" w:rsidRPr="00F304BE" w:rsidP="00F304BE">
            <w:pPr>
              <w:pStyle w:val="ListBullet"/>
            </w:pPr>
            <w:r w:rsidRPr="00F304BE">
              <w:t>range and quantities of equipment held by each organisation</w:t>
            </w:r>
          </w:p>
          <w:p w:rsidR="00000000" w:rsidRPr="00F304BE" w:rsidP="00F304BE">
            <w:pPr>
              <w:pStyle w:val="ListBullet"/>
            </w:pPr>
            <w:r w:rsidRPr="00F304BE">
              <w:t>determination of mission essential equipment</w:t>
            </w:r>
          </w:p>
          <w:p w:rsidR="00000000" w:rsidRPr="00F304BE" w:rsidP="00F304BE">
            <w:pPr>
              <w:pStyle w:val="ListBullet"/>
            </w:pPr>
            <w:r w:rsidRPr="00F304BE">
              <w:t>operational viability period (OVP) for which the organisation is likely to be self-sufficient</w:t>
            </w:r>
          </w:p>
          <w:p w:rsidR="00000000" w:rsidRPr="00F304BE" w:rsidP="00F304BE">
            <w:pPr>
              <w:pStyle w:val="ListBullet"/>
            </w:pPr>
            <w:r w:rsidRPr="00F304BE">
              <w:t>operational situation and the degree of dispersion required</w:t>
            </w:r>
          </w:p>
          <w:p w:rsidR="00000000" w:rsidRPr="00F304BE" w:rsidP="00F304BE">
            <w:pPr>
              <w:pStyle w:val="ListBullet"/>
            </w:pPr>
            <w:r w:rsidRPr="00F304BE">
              <w:t>availability of local resources</w:t>
            </w:r>
          </w:p>
          <w:p w:rsidR="00000000" w:rsidRPr="00F304BE" w:rsidP="00F304BE">
            <w:pPr>
              <w:pStyle w:val="ListBullet"/>
            </w:pPr>
            <w:r w:rsidRPr="00F304BE">
              <w:t xml:space="preserve">repair policy, including </w:t>
            </w:r>
            <w:r w:rsidRPr="00F304BE">
              <w:t>preventive maintenance requirements for materiel in stock</w:t>
            </w:r>
          </w:p>
          <w:p w:rsidR="00000000" w:rsidRPr="00F304BE" w:rsidP="00F304BE">
            <w:pPr>
              <w:pStyle w:val="ListBullet"/>
            </w:pPr>
            <w:r w:rsidRPr="00F304BE">
              <w:t>service level required at each line of stockholding</w:t>
            </w:r>
          </w:p>
          <w:p w:rsidR="00000000" w:rsidRPr="00F304BE" w:rsidP="00F304BE">
            <w:pPr>
              <w:pStyle w:val="ListBullet"/>
            </w:pPr>
            <w:r w:rsidRPr="00F304BE">
              <w:t>effects of terrain and climatic conditions on personnel and materiel</w:t>
            </w:r>
          </w:p>
          <w:p w:rsidR="00000000" w:rsidRPr="00F304BE" w:rsidP="00F304BE">
            <w:pPr>
              <w:pStyle w:val="ListBullet"/>
            </w:pPr>
            <w:r w:rsidRPr="00F304BE">
              <w:t>any arrangements for the provision of supplies and services by the local popu</w:t>
            </w:r>
            <w:r w:rsidRPr="00F304BE">
              <w:t>lation or other supporting organisations</w:t>
            </w:r>
          </w:p>
          <w:p w:rsidR="00000000" w:rsidRPr="00F304BE" w:rsidP="00F304BE">
            <w:pPr>
              <w:pStyle w:val="ListBullet"/>
            </w:pPr>
            <w:r w:rsidRPr="00F304BE">
              <w:t>expected duration of operations</w:t>
            </w:r>
          </w:p>
          <w:p w:rsidR="00000000" w:rsidRPr="00F304BE" w:rsidP="00F304BE">
            <w:pPr>
              <w:pStyle w:val="ListBullet"/>
            </w:pPr>
            <w:r w:rsidRPr="00F304BE">
              <w:t>predicted usage rates</w:t>
            </w:r>
          </w:p>
          <w:p w:rsidR="00000000" w:rsidRPr="00F304BE" w:rsidP="00F304BE">
            <w:pPr>
              <w:pStyle w:val="ListBullet"/>
            </w:pPr>
            <w:r w:rsidRPr="00F304BE">
              <w:t>expected losses and delays within the logistic network and distribution system through adverse weather, fire or other hazard</w:t>
            </w:r>
          </w:p>
          <w:p w:rsidR="00000000" w:rsidP="00F304BE">
            <w:pPr>
              <w:pStyle w:val="ListBullet"/>
              <w:rPr>
                <w:lang w:val="en-NZ"/>
              </w:rPr>
            </w:pPr>
            <w:r w:rsidRPr="00F304BE">
              <w:t>predicted need to relocate stocks during operations</w:t>
            </w:r>
          </w:p>
        </w:tc>
      </w:tr>
      <w:tr w:rsidTr="00D76D4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Technical supply factors may include:</w:t>
            </w:r>
          </w:p>
        </w:tc>
        <w:tc>
          <w:tcPr>
            <w:tcW w:w="6154"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movement lead time between the home location and the area of operations</w:t>
            </w:r>
          </w:p>
          <w:p w:rsidR="00000000" w:rsidRPr="00F304BE" w:rsidP="00F304BE">
            <w:pPr>
              <w:pStyle w:val="ListBullet"/>
            </w:pPr>
            <w:r w:rsidRPr="00F304BE">
              <w:t>transport lift capacities available</w:t>
            </w:r>
          </w:p>
          <w:p w:rsidR="00000000" w:rsidRPr="00F304BE" w:rsidP="00F304BE">
            <w:pPr>
              <w:pStyle w:val="ListBullet"/>
            </w:pPr>
            <w:r w:rsidRPr="00F304BE">
              <w:t>planned frequency of replenishment</w:t>
            </w:r>
          </w:p>
          <w:p w:rsidR="00000000" w:rsidRPr="00F304BE" w:rsidP="00F304BE">
            <w:pPr>
              <w:pStyle w:val="ListBullet"/>
            </w:pPr>
            <w:r w:rsidRPr="00F304BE">
              <w:t>availability of suita</w:t>
            </w:r>
            <w:r w:rsidRPr="00F304BE">
              <w:t>ble areas, infrastructure and facilities, MHE and trained manpower required to provide supply support to the stock</w:t>
            </w:r>
          </w:p>
          <w:p w:rsidR="00000000" w:rsidRPr="00F304BE" w:rsidP="00F304BE">
            <w:pPr>
              <w:pStyle w:val="ListBullet"/>
            </w:pPr>
            <w:r w:rsidRPr="00F304BE">
              <w:t>engineering effort necessary to enhance the logistic network and provide for storage facilities</w:t>
            </w:r>
          </w:p>
          <w:p w:rsidR="00000000" w:rsidRPr="00F304BE" w:rsidP="00F304BE">
            <w:pPr>
              <w:pStyle w:val="ListBullet"/>
            </w:pPr>
            <w:r w:rsidRPr="00F304BE">
              <w:t>potential variability of usage rates</w:t>
            </w:r>
          </w:p>
          <w:p w:rsidR="00000000" w:rsidP="00F304BE">
            <w:pPr>
              <w:pStyle w:val="ListBullet"/>
              <w:rPr>
                <w:lang w:val="en-NZ"/>
              </w:rPr>
            </w:pPr>
            <w:r w:rsidRPr="00F304BE">
              <w:t>probabil</w:t>
            </w:r>
            <w:r w:rsidRPr="00F304BE">
              <w:t>ity of delays in either procurement or delivery</w:t>
            </w:r>
          </w:p>
        </w:tc>
      </w:tr>
      <w:tr w:rsidTr="00D76D4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Other logistic planners may include:</w:t>
            </w:r>
          </w:p>
        </w:tc>
        <w:tc>
          <w:tcPr>
            <w:tcW w:w="6154"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health specialists</w:t>
            </w:r>
          </w:p>
          <w:p w:rsidR="00000000" w:rsidRPr="00F304BE" w:rsidP="00F304BE">
            <w:pPr>
              <w:pStyle w:val="ListBullet"/>
            </w:pPr>
            <w:r w:rsidRPr="00F304BE">
              <w:t>distribution specialist</w:t>
            </w:r>
          </w:p>
          <w:p w:rsidR="00000000" w:rsidRPr="00F304BE" w:rsidP="00F304BE">
            <w:pPr>
              <w:pStyle w:val="ListBullet"/>
            </w:pPr>
            <w:r w:rsidRPr="00F304BE">
              <w:t>catering specialist</w:t>
            </w:r>
          </w:p>
          <w:p w:rsidR="00000000" w:rsidRPr="00F304BE" w:rsidP="00F304BE">
            <w:pPr>
              <w:pStyle w:val="ListBullet"/>
            </w:pPr>
            <w:r w:rsidRPr="00F304BE">
              <w:t>maintenance specialist</w:t>
            </w:r>
          </w:p>
          <w:p w:rsidR="00000000" w:rsidP="00F304BE">
            <w:pPr>
              <w:pStyle w:val="ListBullet"/>
              <w:rPr>
                <w:lang w:val="en-NZ"/>
              </w:rPr>
            </w:pPr>
            <w:r w:rsidRPr="00F304BE">
              <w:t>supply specialist</w:t>
            </w:r>
          </w:p>
        </w:tc>
      </w:tr>
      <w:tr w:rsidTr="00D76D4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Stockholding factors may include:</w:t>
            </w:r>
          </w:p>
        </w:tc>
        <w:tc>
          <w:tcPr>
            <w:tcW w:w="6154"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type of stockholding</w:t>
            </w:r>
          </w:p>
          <w:p w:rsidR="00000000" w:rsidRPr="00F304BE" w:rsidP="00F304BE">
            <w:pPr>
              <w:pStyle w:val="ListBullet"/>
            </w:pPr>
            <w:r w:rsidRPr="00F304BE">
              <w:t>dues-in</w:t>
            </w:r>
          </w:p>
          <w:p w:rsidR="00000000" w:rsidRPr="00F304BE" w:rsidP="00F304BE">
            <w:pPr>
              <w:pStyle w:val="ListBullet"/>
            </w:pPr>
            <w:r w:rsidRPr="00F304BE">
              <w:t>dues-out</w:t>
            </w:r>
          </w:p>
          <w:p w:rsidR="00000000" w:rsidRPr="00F304BE" w:rsidP="00F304BE">
            <w:pPr>
              <w:pStyle w:val="ListBullet"/>
            </w:pPr>
            <w:r w:rsidRPr="00F304BE">
              <w:t>usage rates</w:t>
            </w:r>
          </w:p>
          <w:p w:rsidR="00000000" w:rsidP="00F304BE">
            <w:pPr>
              <w:pStyle w:val="ListBullet"/>
              <w:rPr>
                <w:lang w:val="en-NZ"/>
              </w:rPr>
            </w:pPr>
            <w:r w:rsidRPr="00F304BE">
              <w:t>supply margin</w:t>
            </w:r>
          </w:p>
        </w:tc>
      </w:tr>
      <w:tr w:rsidTr="00D76D4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Time factors may include:</w:t>
            </w:r>
          </w:p>
        </w:tc>
        <w:tc>
          <w:tcPr>
            <w:tcW w:w="6154"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deployment period</w:t>
            </w:r>
          </w:p>
          <w:p w:rsidR="00000000" w:rsidRPr="00F304BE" w:rsidP="00F304BE">
            <w:pPr>
              <w:pStyle w:val="ListBullet"/>
            </w:pPr>
            <w:r w:rsidRPr="00F304BE">
              <w:t>consumption period</w:t>
            </w:r>
          </w:p>
          <w:p w:rsidR="00000000" w:rsidRPr="00F304BE" w:rsidP="00F304BE">
            <w:pPr>
              <w:pStyle w:val="ListBullet"/>
            </w:pPr>
            <w:r w:rsidRPr="00F304BE">
              <w:t>provisioning lead time, including:</w:t>
            </w:r>
          </w:p>
          <w:p w:rsidR="00000000" w:rsidRPr="00F304BE" w:rsidP="00F304BE">
            <w:pPr>
              <w:pStyle w:val="ListBullet2"/>
            </w:pPr>
            <w:r w:rsidRPr="00F304BE">
              <w:t>internal lead time</w:t>
            </w:r>
          </w:p>
          <w:p w:rsidR="00000000" w:rsidRPr="00F304BE" w:rsidP="00F304BE">
            <w:pPr>
              <w:pStyle w:val="ListBullet2"/>
            </w:pPr>
            <w:r w:rsidRPr="00F304BE">
              <w:t>supplier lead time</w:t>
            </w:r>
          </w:p>
          <w:p w:rsidR="00000000" w:rsidP="00F304BE">
            <w:pPr>
              <w:pStyle w:val="ListBullet"/>
              <w:rPr>
                <w:lang w:val="en-NZ"/>
              </w:rPr>
            </w:pPr>
            <w:r w:rsidRPr="00F304BE">
              <w:t>freight lead time</w:t>
            </w:r>
          </w:p>
        </w:tc>
      </w:tr>
      <w:tr w:rsidTr="00D76D4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t>Provisioning calculations may include:</w:t>
            </w:r>
          </w:p>
        </w:tc>
        <w:tc>
          <w:tcPr>
            <w:tcW w:w="6154" w:type="dxa"/>
            <w:tcBorders>
              <w:top w:val="nil"/>
              <w:left w:val="nil"/>
              <w:bottom w:val="nil"/>
              <w:right w:val="nil"/>
            </w:tcBorders>
            <w:tcMar>
              <w:top w:w="0" w:type="dxa"/>
              <w:left w:w="62" w:type="dxa"/>
              <w:bottom w:w="0" w:type="dxa"/>
              <w:right w:w="62" w:type="dxa"/>
            </w:tcMar>
          </w:tcPr>
          <w:p w:rsidR="00000000" w:rsidRPr="00F304BE" w:rsidP="00F304BE">
            <w:pPr>
              <w:pStyle w:val="ListBullet"/>
            </w:pPr>
            <w:r w:rsidRPr="00F304BE">
              <w:t>usage rate</w:t>
            </w:r>
          </w:p>
          <w:p w:rsidR="00000000" w:rsidRPr="00F304BE" w:rsidP="00F304BE">
            <w:pPr>
              <w:pStyle w:val="ListBullet"/>
            </w:pPr>
            <w:r w:rsidRPr="00F304BE">
              <w:t>supply margin</w:t>
            </w:r>
          </w:p>
          <w:p w:rsidR="00000000" w:rsidRPr="00F304BE" w:rsidP="00F304BE">
            <w:pPr>
              <w:pStyle w:val="ListBullet"/>
            </w:pPr>
            <w:r w:rsidRPr="00F304BE">
              <w:t>total liability period</w:t>
            </w:r>
          </w:p>
          <w:p w:rsidR="00000000" w:rsidRPr="00F304BE" w:rsidP="00F304BE">
            <w:pPr>
              <w:pStyle w:val="ListBullet"/>
            </w:pPr>
            <w:r w:rsidRPr="00F304BE">
              <w:t>minimum stockholding</w:t>
            </w:r>
          </w:p>
          <w:p w:rsidR="00000000" w:rsidRPr="00F304BE" w:rsidP="00F304BE">
            <w:pPr>
              <w:pStyle w:val="ListBullet"/>
            </w:pPr>
            <w:r w:rsidRPr="00F304BE">
              <w:t>maximum stockholding</w:t>
            </w:r>
          </w:p>
          <w:p w:rsidR="00000000" w:rsidRPr="00F304BE" w:rsidP="00F304BE">
            <w:pPr>
              <w:pStyle w:val="ListBullet"/>
            </w:pPr>
            <w:r w:rsidRPr="00F304BE">
              <w:t>reorder point</w:t>
            </w:r>
          </w:p>
          <w:p w:rsidR="00000000" w:rsidRPr="00F304BE" w:rsidP="00F304BE">
            <w:pPr>
              <w:pStyle w:val="ListBullet"/>
            </w:pPr>
            <w:r w:rsidRPr="00F304BE">
              <w:t>reorder quantity</w:t>
            </w:r>
          </w:p>
          <w:p w:rsidR="00000000" w:rsidRPr="00F304BE" w:rsidP="00F304BE">
            <w:pPr>
              <w:pStyle w:val="ListBullet"/>
            </w:pPr>
            <w:r w:rsidRPr="00F304BE">
              <w:t>assets/liabilities</w:t>
            </w:r>
          </w:p>
          <w:p w:rsidR="00000000" w:rsidRPr="00F304BE" w:rsidP="00F304BE">
            <w:pPr>
              <w:pStyle w:val="ListBullet"/>
            </w:pPr>
            <w:r w:rsidRPr="00F304BE">
              <w:t>surpluses/deficiencies</w:t>
            </w:r>
          </w:p>
        </w:tc>
      </w:tr>
    </w:tbl>
    <w:p w:rsidR="00D76D4F" w:rsidP="00F304BE">
      <w:pPr>
        <w:pStyle w:val="BodyText"/>
      </w:pPr>
    </w:p>
    <w:p w:rsidR="00D76D4F" w:rsidP="00F304BE">
      <w:pPr>
        <w:pStyle w:val="BodyText"/>
      </w:pPr>
    </w:p>
    <w:p w:rsidR="00000000" w:rsidRPr="00F304BE" w:rsidP="00F304BE">
      <w:pPr>
        <w:pStyle w:val="Heading1"/>
      </w:pPr>
      <w:bookmarkStart w:id="12" w:name="O_296118"/>
      <w:bookmarkEnd w:id="12"/>
      <w:r w:rsidRPr="00F304BE">
        <w:t>Unit Sector(s)</w:t>
      </w:r>
    </w:p>
    <w:p w:rsidR="00000000" w:rsidRPr="00F304BE" w:rsidP="00F304BE">
      <w:pPr>
        <w:pStyle w:val="BodyText"/>
      </w:pPr>
      <w:r w:rsidRPr="00F304BE">
        <w:t>Not Applicable</w:t>
      </w:r>
    </w:p>
    <w:p w:rsidR="00000000" w:rsidRPr="00F304BE" w:rsidP="00F304BE">
      <w:pPr>
        <w:pStyle w:val="AllowPageBreak"/>
      </w:pPr>
    </w:p>
    <w:p w:rsidR="00000000" w:rsidRPr="00F304BE" w:rsidP="00F304BE">
      <w:pPr>
        <w:pStyle w:val="Heading1"/>
      </w:pPr>
      <w:bookmarkStart w:id="13" w:name="O_224761"/>
      <w:bookmarkEnd w:id="13"/>
      <w:r w:rsidRPr="00F304BE">
        <w:t>Competency Field</w:t>
      </w:r>
    </w:p>
    <w:tbl>
      <w:tblPr>
        <w:tblW w:w="9640" w:type="dxa"/>
        <w:tblLayout w:type="fixed"/>
        <w:tblCellMar>
          <w:left w:w="62" w:type="dxa"/>
          <w:right w:w="62" w:type="dxa"/>
        </w:tblCellMar>
        <w:tblLook w:val="0000"/>
      </w:tblPr>
      <w:tblGrid>
        <w:gridCol w:w="2978"/>
        <w:gridCol w:w="6662"/>
      </w:tblGrid>
      <w:tr w:rsidTr="00D76D4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04BE">
            <w:pPr>
              <w:pStyle w:val="BodyText"/>
              <w:rPr>
                <w:lang w:val="en-NZ"/>
              </w:rPr>
            </w:pPr>
            <w:r w:rsidRPr="00F304BE">
              <w:rPr>
                <w:rStyle w:val="SpecialBold"/>
              </w:rPr>
              <w:t>Competency Field</w:t>
            </w:r>
            <w:r w:rsidRPr="00F304BE">
              <w:t xml:space="preserve"> </w:t>
            </w:r>
          </w:p>
        </w:tc>
        <w:tc>
          <w:tcPr>
            <w:tcW w:w="6662" w:type="dxa"/>
            <w:tcBorders>
              <w:top w:val="nil"/>
              <w:left w:val="nil"/>
              <w:bottom w:val="nil"/>
              <w:right w:val="nil"/>
            </w:tcBorders>
            <w:tcMar>
              <w:top w:w="0" w:type="dxa"/>
              <w:left w:w="62" w:type="dxa"/>
              <w:bottom w:w="0" w:type="dxa"/>
              <w:right w:w="62" w:type="dxa"/>
            </w:tcMar>
          </w:tcPr>
          <w:p w:rsidR="00000000" w:rsidRPr="00F304BE" w:rsidP="00F304BE">
            <w:pPr>
              <w:pStyle w:val="BodyText"/>
            </w:pPr>
            <w:r w:rsidRPr="00F304BE">
              <w:t>X - Logistics</w:t>
            </w:r>
          </w:p>
        </w:tc>
      </w:tr>
    </w:tbl>
    <w:p w:rsidR="00D76D4F" w:rsidP="00F304BE">
      <w:pPr>
        <w:pStyle w:val="BodyText"/>
      </w:pPr>
    </w:p>
    <w:p w:rsidR="00D76D4F" w:rsidP="00F304BE">
      <w:pPr>
        <w:pStyle w:val="BodyText"/>
      </w:pPr>
    </w:p>
    <w:p w:rsidR="00000000" w:rsidRPr="00F304BE" w:rsidP="00F304BE"/>
    <w:sectPr w:rsidSect="00F30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D4F" w:rsidP="00D76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4F" w:rsidP="00F30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6D4F" w:rsidP="00F30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6D4F" w:rsidP="00F30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D4F" w:rsidP="00D76D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4F" w:rsidP="00F304BE">
    <w:pPr>
      <w:pStyle w:val="Header"/>
      <w:framePr w:wrap="around"/>
    </w:pPr>
    <w:r>
      <w:fldChar w:fldCharType="begin"/>
    </w:r>
    <w:r>
      <w:instrText xml:space="preserve"> TITLE   \* MERGEFORMAT </w:instrText>
    </w:r>
    <w:r>
      <w:fldChar w:fldCharType="separate"/>
    </w:r>
    <w:r>
      <w:t>TLIX6049A Undertake provisioning in support of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6D4F" w:rsidP="00F30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A9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23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C2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04BE"/>
    <w:pPr>
      <w:spacing w:before="360" w:after="60"/>
      <w:outlineLvl w:val="0"/>
    </w:pPr>
    <w:rPr>
      <w:sz w:val="32"/>
    </w:rPr>
  </w:style>
  <w:style w:type="paragraph" w:styleId="Heading2">
    <w:name w:val="heading 2"/>
    <w:basedOn w:val="HeadingBase"/>
    <w:next w:val="BodyText"/>
    <w:link w:val="Heading2Char"/>
    <w:qFormat/>
    <w:rsid w:val="00F304BE"/>
    <w:pPr>
      <w:keepLines/>
      <w:spacing w:before="240" w:after="120"/>
      <w:outlineLvl w:val="1"/>
    </w:pPr>
    <w:rPr>
      <w:sz w:val="28"/>
      <w:szCs w:val="40"/>
    </w:rPr>
  </w:style>
  <w:style w:type="paragraph" w:styleId="Heading3">
    <w:name w:val="heading 3"/>
    <w:basedOn w:val="HeadingBase"/>
    <w:next w:val="BodyText"/>
    <w:link w:val="Heading3Char"/>
    <w:qFormat/>
    <w:rsid w:val="00F304BE"/>
    <w:pPr>
      <w:spacing w:before="180" w:after="120"/>
      <w:outlineLvl w:val="2"/>
    </w:pPr>
    <w:rPr>
      <w:spacing w:val="-10"/>
      <w:kern w:val="32"/>
    </w:rPr>
  </w:style>
  <w:style w:type="paragraph" w:styleId="Heading4">
    <w:name w:val="heading 4"/>
    <w:basedOn w:val="HeadingBase"/>
    <w:next w:val="BodyText"/>
    <w:link w:val="Heading4Char"/>
    <w:qFormat/>
    <w:rsid w:val="00F304BE"/>
    <w:pPr>
      <w:spacing w:before="160" w:after="120"/>
      <w:outlineLvl w:val="3"/>
    </w:pPr>
    <w:rPr>
      <w:sz w:val="22"/>
    </w:rPr>
  </w:style>
  <w:style w:type="paragraph" w:styleId="Heading5">
    <w:name w:val="heading 5"/>
    <w:basedOn w:val="HeadingBase"/>
    <w:next w:val="Normal"/>
    <w:link w:val="Heading5Char"/>
    <w:qFormat/>
    <w:rsid w:val="00F304BE"/>
    <w:pPr>
      <w:spacing w:before="80"/>
      <w:outlineLvl w:val="4"/>
    </w:pPr>
    <w:rPr>
      <w:color w:val="918585"/>
      <w:sz w:val="20"/>
    </w:rPr>
  </w:style>
  <w:style w:type="paragraph" w:styleId="Heading6">
    <w:name w:val="heading 6"/>
    <w:basedOn w:val="HeadingBase"/>
    <w:next w:val="Normal"/>
    <w:link w:val="Heading6Char"/>
    <w:qFormat/>
    <w:rsid w:val="00F304BE"/>
    <w:pPr>
      <w:spacing w:before="60"/>
      <w:outlineLvl w:val="5"/>
    </w:pPr>
    <w:rPr>
      <w:color w:val="918585"/>
      <w:sz w:val="20"/>
    </w:rPr>
  </w:style>
  <w:style w:type="paragraph" w:styleId="Heading7">
    <w:name w:val="heading 7"/>
    <w:basedOn w:val="Normal"/>
    <w:next w:val="Normal"/>
    <w:link w:val="Heading7Char"/>
    <w:qFormat/>
    <w:rsid w:val="00F304BE"/>
    <w:pPr>
      <w:ind w:left="720"/>
      <w:outlineLvl w:val="6"/>
    </w:pPr>
    <w:rPr>
      <w:i/>
    </w:rPr>
  </w:style>
  <w:style w:type="paragraph" w:styleId="Heading8">
    <w:name w:val="heading 8"/>
    <w:basedOn w:val="Normal"/>
    <w:next w:val="Normal"/>
    <w:link w:val="Heading8Char"/>
    <w:qFormat/>
    <w:rsid w:val="00F304BE"/>
    <w:pPr>
      <w:ind w:left="720"/>
      <w:outlineLvl w:val="7"/>
    </w:pPr>
    <w:rPr>
      <w:i/>
    </w:rPr>
  </w:style>
  <w:style w:type="paragraph" w:styleId="Heading9">
    <w:name w:val="heading 9"/>
    <w:basedOn w:val="Normal"/>
    <w:next w:val="Normal"/>
    <w:link w:val="Heading9Char"/>
    <w:qFormat/>
    <w:rsid w:val="00F304BE"/>
    <w:pPr>
      <w:ind w:left="720"/>
      <w:outlineLvl w:val="8"/>
    </w:pPr>
    <w:rPr>
      <w:i/>
    </w:rPr>
  </w:style>
  <w:style w:type="character" w:default="1" w:styleId="DefaultParagraphFont">
    <w:name w:val="Default Paragraph Font"/>
    <w:uiPriority w:val="1"/>
    <w:unhideWhenUsed/>
    <w:rsid w:val="00F30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4BE"/>
  </w:style>
  <w:style w:type="character" w:customStyle="1" w:styleId="Heading1Char">
    <w:name w:val="Heading 1 Char"/>
    <w:basedOn w:val="DefaultParagraphFont"/>
    <w:link w:val="Heading1"/>
    <w:rsid w:val="00F304BE"/>
    <w:rPr>
      <w:rFonts w:ascii="Times New Roman" w:eastAsia="Times New Roman" w:hAnsi="Times New Roman" w:cs="Times New Roman"/>
      <w:b/>
      <w:sz w:val="32"/>
      <w:szCs w:val="20"/>
      <w:lang w:eastAsia="en-US"/>
    </w:rPr>
  </w:style>
  <w:style w:type="paragraph" w:styleId="BodyText">
    <w:name w:val="Body Text"/>
    <w:basedOn w:val="Normal"/>
    <w:link w:val="BodyTextChar"/>
    <w:rsid w:val="00F30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4BE"/>
    <w:rPr>
      <w:rFonts w:ascii="Times New Roman" w:eastAsia="Times New Roman" w:hAnsi="Times New Roman" w:cs="Times New Roman"/>
      <w:sz w:val="24"/>
      <w:lang w:val="en-US" w:eastAsia="en-US"/>
    </w:rPr>
  </w:style>
  <w:style w:type="paragraph" w:styleId="Footer">
    <w:name w:val="footer"/>
    <w:basedOn w:val="Normal"/>
    <w:link w:val="FooterChar"/>
    <w:rsid w:val="00F30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4BE"/>
    <w:rPr>
      <w:rFonts w:ascii="Times New Roman" w:eastAsia="Times New Roman" w:hAnsi="Times New Roman" w:cs="Times New Roman"/>
      <w:sz w:val="16"/>
      <w:lang w:val="en-US" w:eastAsia="en-US"/>
    </w:rPr>
  </w:style>
  <w:style w:type="paragraph" w:styleId="List">
    <w:name w:val="List"/>
    <w:basedOn w:val="BodyText"/>
    <w:next w:val="BodyText"/>
    <w:rsid w:val="00F304BE"/>
    <w:pPr>
      <w:tabs>
        <w:tab w:val="left" w:pos="340"/>
      </w:tabs>
      <w:spacing w:before="60" w:after="60"/>
      <w:ind w:left="340" w:hanging="340"/>
    </w:pPr>
  </w:style>
  <w:style w:type="paragraph" w:styleId="ListBullet">
    <w:name w:val="List Bullet"/>
    <w:basedOn w:val="List"/>
    <w:rsid w:val="00F304BE"/>
    <w:pPr>
      <w:numPr>
        <w:numId w:val="13"/>
      </w:numPr>
      <w:tabs>
        <w:tab w:val="clear" w:pos="340"/>
      </w:tabs>
      <w:spacing w:before="40" w:after="40"/>
    </w:pPr>
  </w:style>
  <w:style w:type="character" w:customStyle="1" w:styleId="SpecialBold">
    <w:name w:val="Special Bold"/>
    <w:basedOn w:val="DefaultParagraphFont"/>
    <w:rsid w:val="00F304BE"/>
    <w:rPr>
      <w:b/>
      <w:spacing w:val="0"/>
    </w:rPr>
  </w:style>
  <w:style w:type="paragraph" w:styleId="ListBullet2">
    <w:name w:val="List Bullet 2"/>
    <w:basedOn w:val="List2"/>
    <w:rsid w:val="00F304BE"/>
    <w:pPr>
      <w:numPr>
        <w:numId w:val="14"/>
      </w:numPr>
      <w:tabs>
        <w:tab w:val="clear" w:pos="680"/>
      </w:tabs>
    </w:pPr>
  </w:style>
  <w:style w:type="paragraph" w:styleId="Header">
    <w:name w:val="header"/>
    <w:basedOn w:val="Normal"/>
    <w:link w:val="HeaderChar"/>
    <w:rsid w:val="00F30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4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04BE"/>
    <w:pPr>
      <w:spacing w:before="240" w:after="120"/>
      <w:outlineLvl w:val="0"/>
    </w:pPr>
    <w:rPr>
      <w:rFonts w:ascii="Times New Roman" w:hAnsi="Times New Roman"/>
      <w:b/>
      <w:sz w:val="28"/>
    </w:rPr>
  </w:style>
  <w:style w:type="paragraph" w:customStyle="1" w:styleId="AllowPageBreak">
    <w:name w:val="AllowPageBreak"/>
    <w:rsid w:val="00F30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0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04BE"/>
    <w:rPr>
      <w:rFonts w:ascii="Courier New" w:eastAsia="Times New Roman" w:hAnsi="Courier New" w:cs="Times New Roman"/>
      <w:i/>
      <w:szCs w:val="20"/>
      <w:lang w:val="en-US" w:eastAsia="en-US"/>
    </w:rPr>
  </w:style>
  <w:style w:type="paragraph" w:customStyle="1" w:styleId="HeadingBase">
    <w:name w:val="Heading Base"/>
    <w:rsid w:val="00F30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4BE"/>
    <w:pPr>
      <w:tabs>
        <w:tab w:val="right" w:leader="dot" w:pos="9072"/>
      </w:tabs>
      <w:ind w:left="567"/>
    </w:pPr>
    <w:rPr>
      <w:szCs w:val="22"/>
    </w:rPr>
  </w:style>
  <w:style w:type="paragraph" w:customStyle="1" w:styleId="TOCBase">
    <w:name w:val="TOC Base"/>
    <w:rsid w:val="00F30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4BE"/>
    <w:pPr>
      <w:tabs>
        <w:tab w:val="right" w:leader="dot" w:pos="9072"/>
      </w:tabs>
      <w:spacing w:before="40" w:after="40"/>
      <w:ind w:left="284"/>
    </w:pPr>
    <w:rPr>
      <w:rFonts w:ascii="Times New Roman" w:hAnsi="Times New Roman"/>
    </w:rPr>
  </w:style>
  <w:style w:type="paragraph" w:styleId="TOC1">
    <w:name w:val="toc 1"/>
    <w:basedOn w:val="TOCBase"/>
    <w:next w:val="Normal"/>
    <w:rsid w:val="00F30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4BE"/>
    <w:pPr>
      <w:spacing w:before="5040"/>
      <w:jc w:val="center"/>
    </w:pPr>
    <w:rPr>
      <w:sz w:val="48"/>
      <w:szCs w:val="72"/>
      <w:lang w:val="en-US"/>
    </w:rPr>
  </w:style>
  <w:style w:type="character" w:customStyle="1" w:styleId="TitleChar">
    <w:name w:val="Title Char"/>
    <w:basedOn w:val="DefaultParagraphFont"/>
    <w:link w:val="Title"/>
    <w:rsid w:val="00F30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4BE"/>
    <w:pPr>
      <w:tabs>
        <w:tab w:val="left" w:pos="3600"/>
        <w:tab w:val="left" w:pos="3958"/>
      </w:tabs>
    </w:pPr>
  </w:style>
  <w:style w:type="paragraph" w:customStyle="1" w:styleId="Note">
    <w:name w:val="Note"/>
    <w:basedOn w:val="BodyText"/>
    <w:rsid w:val="00F30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4BE"/>
    <w:pPr>
      <w:framePr w:wrap="auto" w:hAnchor="text" w:y="6049"/>
    </w:pPr>
    <w:rPr>
      <w:color w:val="000000"/>
      <w:sz w:val="40"/>
    </w:rPr>
  </w:style>
  <w:style w:type="paragraph" w:customStyle="1" w:styleId="TOCTitle">
    <w:name w:val="TOCTitle"/>
    <w:basedOn w:val="Heading1"/>
    <w:rsid w:val="00F304BE"/>
    <w:pPr>
      <w:spacing w:after="240"/>
      <w:jc w:val="center"/>
      <w:outlineLvl w:val="9"/>
    </w:pPr>
    <w:rPr>
      <w:caps/>
    </w:rPr>
  </w:style>
  <w:style w:type="paragraph" w:customStyle="1" w:styleId="Version">
    <w:name w:val="Version"/>
    <w:rsid w:val="00F30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4BE"/>
    <w:pPr>
      <w:keepNext w:val="0"/>
      <w:tabs>
        <w:tab w:val="right" w:pos="4176"/>
      </w:tabs>
      <w:ind w:left="198" w:hanging="198"/>
    </w:pPr>
    <w:rPr>
      <w:rFonts w:ascii="Garamond" w:hAnsi="Garamond"/>
    </w:rPr>
  </w:style>
  <w:style w:type="paragraph" w:styleId="IndexHeading">
    <w:name w:val="index heading"/>
    <w:basedOn w:val="Normal"/>
    <w:next w:val="Index1"/>
    <w:semiHidden/>
    <w:rsid w:val="00F304BE"/>
    <w:pPr>
      <w:spacing w:before="120" w:after="120"/>
    </w:pPr>
    <w:rPr>
      <w:rFonts w:ascii="Arial" w:hAnsi="Arial"/>
      <w:b/>
      <w:color w:val="918585"/>
      <w:sz w:val="24"/>
    </w:rPr>
  </w:style>
  <w:style w:type="paragraph" w:customStyle="1" w:styleId="Chapter">
    <w:name w:val="Chapter"/>
    <w:basedOn w:val="Normal"/>
    <w:rsid w:val="00F304BE"/>
    <w:pPr>
      <w:spacing w:before="240"/>
    </w:pPr>
    <w:rPr>
      <w:rFonts w:ascii="Times New Roman" w:hAnsi="Times New Roman"/>
      <w:smallCaps/>
      <w:spacing w:val="80"/>
      <w:sz w:val="28"/>
    </w:rPr>
  </w:style>
  <w:style w:type="paragraph" w:customStyle="1" w:styleId="InChapter">
    <w:name w:val="InChapter"/>
    <w:basedOn w:val="Heading3"/>
    <w:rsid w:val="00F304BE"/>
    <w:pPr>
      <w:spacing w:after="240"/>
      <w:outlineLvl w:val="9"/>
    </w:pPr>
    <w:rPr>
      <w:noProof/>
    </w:rPr>
  </w:style>
  <w:style w:type="paragraph" w:styleId="Index2">
    <w:name w:val="index 2"/>
    <w:basedOn w:val="Normal"/>
    <w:next w:val="Normal"/>
    <w:semiHidden/>
    <w:rsid w:val="00F304BE"/>
    <w:pPr>
      <w:tabs>
        <w:tab w:val="right" w:pos="4176"/>
      </w:tabs>
      <w:ind w:left="568" w:hanging="284"/>
    </w:pPr>
    <w:rPr>
      <w:rFonts w:ascii="Garamond" w:hAnsi="Garamond"/>
    </w:rPr>
  </w:style>
  <w:style w:type="paragraph" w:customStyle="1" w:styleId="Byline">
    <w:name w:val="Byline"/>
    <w:rsid w:val="00F30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4BE"/>
    <w:pPr>
      <w:tabs>
        <w:tab w:val="clear" w:pos="3600"/>
        <w:tab w:val="clear" w:pos="3958"/>
      </w:tabs>
      <w:jc w:val="right"/>
    </w:pPr>
  </w:style>
  <w:style w:type="character" w:styleId="Emphasis">
    <w:name w:val="Emphasis"/>
    <w:basedOn w:val="DefaultParagraphFont"/>
    <w:qFormat/>
    <w:rsid w:val="00F304BE"/>
    <w:rPr>
      <w:i/>
    </w:rPr>
  </w:style>
  <w:style w:type="paragraph" w:styleId="Caption">
    <w:name w:val="caption"/>
    <w:basedOn w:val="BodyText"/>
    <w:next w:val="Normal"/>
    <w:qFormat/>
    <w:rsid w:val="00F304BE"/>
    <w:pPr>
      <w:framePr w:w="2268" w:hSpace="181" w:vSpace="181" w:wrap="around" w:vAnchor="text" w:hAnchor="page" w:x="1135" w:y="285" w:anchorLock="1"/>
    </w:pPr>
    <w:rPr>
      <w:i/>
    </w:rPr>
  </w:style>
  <w:style w:type="paragraph" w:customStyle="1" w:styleId="MiniTOCTitle">
    <w:name w:val="MiniTOCTitle"/>
    <w:basedOn w:val="Heading4"/>
    <w:rsid w:val="00F304BE"/>
    <w:pPr>
      <w:spacing w:before="240"/>
      <w:outlineLvl w:val="9"/>
    </w:pPr>
    <w:rPr>
      <w:noProof/>
      <w:sz w:val="24"/>
    </w:rPr>
  </w:style>
  <w:style w:type="paragraph" w:customStyle="1" w:styleId="MiniTOCItem">
    <w:name w:val="MiniTOCItem"/>
    <w:basedOn w:val="ListBullet"/>
    <w:rsid w:val="00F304BE"/>
    <w:pPr>
      <w:numPr>
        <w:numId w:val="0"/>
      </w:numPr>
      <w:tabs>
        <w:tab w:val="right" w:leader="dot" w:pos="6521"/>
      </w:tabs>
      <w:spacing w:before="0" w:after="0"/>
    </w:pPr>
  </w:style>
  <w:style w:type="paragraph" w:customStyle="1" w:styleId="TOFTitle">
    <w:name w:val="TOFTitle"/>
    <w:basedOn w:val="TOCTitle"/>
    <w:rsid w:val="00F304BE"/>
  </w:style>
  <w:style w:type="paragraph" w:styleId="TableofFigures">
    <w:name w:val="table of figures"/>
    <w:basedOn w:val="Normal"/>
    <w:next w:val="Normal"/>
    <w:semiHidden/>
    <w:rsid w:val="00F304BE"/>
    <w:pPr>
      <w:tabs>
        <w:tab w:val="right" w:leader="dot" w:pos="9072"/>
      </w:tabs>
      <w:ind w:left="970" w:hanging="403"/>
    </w:pPr>
    <w:rPr>
      <w:rFonts w:ascii="Times New Roman" w:hAnsi="Times New Roman"/>
      <w:b/>
    </w:rPr>
  </w:style>
  <w:style w:type="paragraph" w:styleId="ListNumber">
    <w:name w:val="List Number"/>
    <w:basedOn w:val="List"/>
    <w:rsid w:val="00F304BE"/>
    <w:pPr>
      <w:numPr>
        <w:numId w:val="11"/>
      </w:numPr>
    </w:pPr>
  </w:style>
  <w:style w:type="character" w:customStyle="1" w:styleId="WingdingSymbols">
    <w:name w:val="Wingding Symbols"/>
    <w:rsid w:val="00F304BE"/>
    <w:rPr>
      <w:rFonts w:ascii="Wingdings" w:hAnsi="Wingdings"/>
    </w:rPr>
  </w:style>
  <w:style w:type="paragraph" w:customStyle="1" w:styleId="TableHeading">
    <w:name w:val="Table Heading"/>
    <w:basedOn w:val="HeadingBase"/>
    <w:rsid w:val="00F304BE"/>
    <w:pPr>
      <w:keepLines/>
      <w:pBdr>
        <w:bottom w:val="single" w:sz="6" w:space="1" w:color="918585"/>
      </w:pBdr>
      <w:spacing w:before="240"/>
    </w:pPr>
  </w:style>
  <w:style w:type="character" w:customStyle="1" w:styleId="HotSpot">
    <w:name w:val="HotSpot"/>
    <w:rsid w:val="00F304BE"/>
    <w:rPr>
      <w:color w:val="0033CC"/>
      <w:u w:val="none"/>
    </w:rPr>
  </w:style>
  <w:style w:type="paragraph" w:customStyle="1" w:styleId="BodyTextRight">
    <w:name w:val="Body Text Right"/>
    <w:basedOn w:val="BodyText"/>
    <w:rsid w:val="00F304BE"/>
    <w:pPr>
      <w:spacing w:before="0" w:after="0"/>
      <w:jc w:val="right"/>
    </w:pPr>
  </w:style>
  <w:style w:type="paragraph" w:styleId="Index3">
    <w:name w:val="index 3"/>
    <w:basedOn w:val="ListNumber2"/>
    <w:next w:val="Normal"/>
    <w:semiHidden/>
    <w:rsid w:val="00F304BE"/>
    <w:pPr>
      <w:numPr>
        <w:numId w:val="0"/>
      </w:numPr>
      <w:tabs>
        <w:tab w:val="right" w:leader="dot" w:pos="4176"/>
      </w:tabs>
    </w:pPr>
  </w:style>
  <w:style w:type="paragraph" w:styleId="ListNumber2">
    <w:name w:val="List Number 2"/>
    <w:basedOn w:val="List2"/>
    <w:rsid w:val="00F304BE"/>
    <w:pPr>
      <w:numPr>
        <w:numId w:val="10"/>
      </w:numPr>
      <w:tabs>
        <w:tab w:val="clear" w:pos="1060"/>
      </w:tabs>
    </w:pPr>
  </w:style>
  <w:style w:type="paragraph" w:customStyle="1" w:styleId="MarginNote">
    <w:name w:val="Margin Note"/>
    <w:basedOn w:val="BodyText"/>
    <w:rsid w:val="00F30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04BE"/>
    <w:rPr>
      <w:sz w:val="32"/>
    </w:rPr>
  </w:style>
  <w:style w:type="paragraph" w:customStyle="1" w:styleId="HeadingProcedure">
    <w:name w:val="Heading Procedure"/>
    <w:basedOn w:val="HeadingBase"/>
    <w:next w:val="Normal"/>
    <w:rsid w:val="00F304BE"/>
    <w:pPr>
      <w:tabs>
        <w:tab w:val="left" w:pos="0"/>
      </w:tabs>
      <w:spacing w:before="120" w:after="60"/>
    </w:pPr>
    <w:rPr>
      <w:i/>
      <w:color w:val="918585"/>
      <w:sz w:val="22"/>
    </w:rPr>
  </w:style>
  <w:style w:type="paragraph" w:customStyle="1" w:styleId="TableBodyText">
    <w:name w:val="Table Body Text"/>
    <w:basedOn w:val="BodyText"/>
    <w:rsid w:val="00F304BE"/>
    <w:pPr>
      <w:spacing w:before="60" w:after="60"/>
    </w:pPr>
  </w:style>
  <w:style w:type="paragraph" w:styleId="ListContinue">
    <w:name w:val="List Continue"/>
    <w:basedOn w:val="List"/>
    <w:rsid w:val="00F304BE"/>
    <w:pPr>
      <w:ind w:firstLine="0"/>
    </w:pPr>
  </w:style>
  <w:style w:type="paragraph" w:customStyle="1" w:styleId="ListNote">
    <w:name w:val="List Note"/>
    <w:basedOn w:val="List"/>
    <w:rsid w:val="00F304BE"/>
    <w:pPr>
      <w:pBdr>
        <w:top w:val="single" w:sz="6" w:space="2" w:color="918585"/>
        <w:bottom w:val="single" w:sz="6" w:space="2" w:color="918585"/>
      </w:pBdr>
      <w:tabs>
        <w:tab w:val="left" w:pos="1021"/>
      </w:tabs>
      <w:ind w:firstLine="0"/>
    </w:pPr>
  </w:style>
  <w:style w:type="paragraph" w:customStyle="1" w:styleId="Warning">
    <w:name w:val="Warning"/>
    <w:basedOn w:val="BodyText"/>
    <w:rsid w:val="00F304BE"/>
    <w:pPr>
      <w:shd w:val="clear" w:color="auto" w:fill="D9D9D9"/>
      <w:tabs>
        <w:tab w:val="left" w:pos="992"/>
      </w:tabs>
      <w:ind w:left="119" w:right="119"/>
    </w:pPr>
    <w:rPr>
      <w:sz w:val="20"/>
    </w:rPr>
  </w:style>
  <w:style w:type="paragraph" w:customStyle="1" w:styleId="MarginIcons">
    <w:name w:val="Margin Icons"/>
    <w:basedOn w:val="BodyText"/>
    <w:rsid w:val="00F30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4BE"/>
    <w:rPr>
      <w:rFonts w:ascii="Courier New" w:hAnsi="Courier New"/>
    </w:rPr>
  </w:style>
  <w:style w:type="paragraph" w:customStyle="1" w:styleId="NoteBullet">
    <w:name w:val="Note Bullet"/>
    <w:basedOn w:val="Note"/>
    <w:rsid w:val="00F304BE"/>
    <w:pPr>
      <w:tabs>
        <w:tab w:val="clear" w:pos="680"/>
      </w:tabs>
      <w:spacing w:before="60" w:after="60"/>
    </w:pPr>
  </w:style>
  <w:style w:type="paragraph" w:customStyle="1" w:styleId="SubHeading2">
    <w:name w:val="SubHeading2"/>
    <w:basedOn w:val="HeadingBase"/>
    <w:rsid w:val="00F304BE"/>
    <w:pPr>
      <w:spacing w:before="240" w:after="60"/>
    </w:pPr>
    <w:rPr>
      <w:sz w:val="20"/>
    </w:rPr>
  </w:style>
  <w:style w:type="paragraph" w:customStyle="1" w:styleId="SubHeading1">
    <w:name w:val="SubHeading1"/>
    <w:basedOn w:val="HeadingBase"/>
    <w:rsid w:val="00F304BE"/>
    <w:pPr>
      <w:spacing w:before="240" w:after="60"/>
    </w:pPr>
    <w:rPr>
      <w:color w:val="918585"/>
      <w:sz w:val="22"/>
    </w:rPr>
  </w:style>
  <w:style w:type="paragraph" w:customStyle="1" w:styleId="SideHeading">
    <w:name w:val="Side Heading"/>
    <w:basedOn w:val="HeadingBase"/>
    <w:rsid w:val="00F30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4BE"/>
    <w:pPr>
      <w:numPr>
        <w:numId w:val="12"/>
      </w:numPr>
    </w:pPr>
  </w:style>
  <w:style w:type="paragraph" w:styleId="PlainText">
    <w:name w:val="Plain Text"/>
    <w:basedOn w:val="Normal"/>
    <w:link w:val="PlainTextChar"/>
    <w:rsid w:val="00F304BE"/>
    <w:rPr>
      <w:sz w:val="20"/>
    </w:rPr>
  </w:style>
  <w:style w:type="character" w:customStyle="1" w:styleId="PlainTextChar">
    <w:name w:val="Plain Text Char"/>
    <w:basedOn w:val="DefaultParagraphFont"/>
    <w:link w:val="PlainText"/>
    <w:rsid w:val="00F304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04BE"/>
    <w:rPr>
      <w:b/>
      <w:smallCaps/>
    </w:rPr>
  </w:style>
  <w:style w:type="paragraph" w:customStyle="1" w:styleId="TableListNumber">
    <w:name w:val="Table List Number"/>
    <w:basedOn w:val="ListNumber"/>
    <w:rsid w:val="00F304BE"/>
    <w:pPr>
      <w:numPr>
        <w:numId w:val="0"/>
      </w:numPr>
    </w:pPr>
  </w:style>
  <w:style w:type="paragraph" w:styleId="TOC4">
    <w:name w:val="toc 4"/>
    <w:basedOn w:val="TOCBase"/>
    <w:next w:val="Normal"/>
    <w:semiHidden/>
    <w:rsid w:val="00F304BE"/>
    <w:pPr>
      <w:tabs>
        <w:tab w:val="right" w:leader="dot" w:pos="9071"/>
      </w:tabs>
      <w:ind w:left="1701"/>
    </w:pPr>
  </w:style>
  <w:style w:type="paragraph" w:customStyle="1" w:styleId="ListAlpha">
    <w:name w:val="List Alpha"/>
    <w:basedOn w:val="List"/>
    <w:rsid w:val="00F304BE"/>
    <w:pPr>
      <w:numPr>
        <w:numId w:val="9"/>
      </w:numPr>
    </w:pPr>
  </w:style>
  <w:style w:type="paragraph" w:customStyle="1" w:styleId="ListAlpha2">
    <w:name w:val="List Alpha 2"/>
    <w:basedOn w:val="List2"/>
    <w:rsid w:val="00F304BE"/>
    <w:pPr>
      <w:numPr>
        <w:numId w:val="8"/>
      </w:numPr>
    </w:pPr>
  </w:style>
  <w:style w:type="paragraph" w:styleId="List2">
    <w:name w:val="List 2"/>
    <w:basedOn w:val="BodyText"/>
    <w:rsid w:val="00F304BE"/>
    <w:pPr>
      <w:tabs>
        <w:tab w:val="left" w:pos="680"/>
      </w:tabs>
      <w:spacing w:before="60" w:after="60"/>
      <w:ind w:left="680" w:hanging="340"/>
    </w:pPr>
  </w:style>
  <w:style w:type="paragraph" w:styleId="List3">
    <w:name w:val="List 3"/>
    <w:basedOn w:val="BodyText"/>
    <w:rsid w:val="00F304BE"/>
    <w:pPr>
      <w:tabs>
        <w:tab w:val="left" w:pos="1021"/>
      </w:tabs>
      <w:spacing w:before="60" w:after="60"/>
      <w:ind w:left="1020" w:hanging="340"/>
    </w:pPr>
  </w:style>
  <w:style w:type="paragraph" w:styleId="List4">
    <w:name w:val="List 4"/>
    <w:basedOn w:val="BodyText"/>
    <w:rsid w:val="00F304BE"/>
    <w:pPr>
      <w:tabs>
        <w:tab w:val="left" w:pos="1361"/>
      </w:tabs>
      <w:spacing w:before="60" w:after="60"/>
      <w:ind w:left="1361" w:hanging="340"/>
    </w:pPr>
  </w:style>
  <w:style w:type="paragraph" w:styleId="List5">
    <w:name w:val="List 5"/>
    <w:basedOn w:val="BodyText"/>
    <w:rsid w:val="00F304BE"/>
    <w:pPr>
      <w:tabs>
        <w:tab w:val="left" w:pos="1701"/>
      </w:tabs>
      <w:spacing w:before="60" w:after="60"/>
      <w:ind w:left="1701" w:hanging="340"/>
    </w:pPr>
  </w:style>
  <w:style w:type="paragraph" w:styleId="ListBullet3">
    <w:name w:val="List Bullet 3"/>
    <w:basedOn w:val="List3"/>
    <w:rsid w:val="00F304BE"/>
    <w:pPr>
      <w:numPr>
        <w:numId w:val="15"/>
      </w:numPr>
      <w:tabs>
        <w:tab w:val="clear" w:pos="1021"/>
      </w:tabs>
      <w:ind w:left="1037" w:hanging="357"/>
    </w:pPr>
  </w:style>
  <w:style w:type="paragraph" w:styleId="ListBullet4">
    <w:name w:val="List Bullet 4"/>
    <w:basedOn w:val="List4"/>
    <w:rsid w:val="00F304BE"/>
    <w:pPr>
      <w:numPr>
        <w:numId w:val="3"/>
      </w:numPr>
    </w:pPr>
  </w:style>
  <w:style w:type="paragraph" w:styleId="ListBullet5">
    <w:name w:val="List Bullet 5"/>
    <w:basedOn w:val="List5"/>
    <w:rsid w:val="00F304BE"/>
    <w:pPr>
      <w:numPr>
        <w:numId w:val="4"/>
      </w:numPr>
    </w:pPr>
  </w:style>
  <w:style w:type="paragraph" w:styleId="ListContinue2">
    <w:name w:val="List Continue 2"/>
    <w:basedOn w:val="List2"/>
    <w:rsid w:val="00F304BE"/>
    <w:pPr>
      <w:ind w:firstLine="0"/>
    </w:pPr>
  </w:style>
  <w:style w:type="paragraph" w:styleId="ListContinue3">
    <w:name w:val="List Continue 3"/>
    <w:basedOn w:val="List3"/>
    <w:rsid w:val="00F304BE"/>
    <w:pPr>
      <w:ind w:left="1021" w:firstLine="0"/>
    </w:pPr>
  </w:style>
  <w:style w:type="paragraph" w:styleId="ListContinue4">
    <w:name w:val="List Continue 4"/>
    <w:basedOn w:val="List4"/>
    <w:rsid w:val="00F304BE"/>
    <w:pPr>
      <w:ind w:firstLine="0"/>
    </w:pPr>
  </w:style>
  <w:style w:type="paragraph" w:styleId="ListContinue5">
    <w:name w:val="List Continue 5"/>
    <w:basedOn w:val="List5"/>
    <w:rsid w:val="00F304BE"/>
    <w:pPr>
      <w:ind w:firstLine="0"/>
    </w:pPr>
  </w:style>
  <w:style w:type="paragraph" w:styleId="ListNumber3">
    <w:name w:val="List Number 3"/>
    <w:basedOn w:val="List3"/>
    <w:rsid w:val="00F304BE"/>
    <w:pPr>
      <w:numPr>
        <w:numId w:val="5"/>
      </w:numPr>
    </w:pPr>
  </w:style>
  <w:style w:type="paragraph" w:styleId="ListNumber4">
    <w:name w:val="List Number 4"/>
    <w:basedOn w:val="List4"/>
    <w:rsid w:val="00F304BE"/>
    <w:pPr>
      <w:numPr>
        <w:numId w:val="6"/>
      </w:numPr>
    </w:pPr>
  </w:style>
  <w:style w:type="paragraph" w:styleId="ListNumber5">
    <w:name w:val="List Number 5"/>
    <w:basedOn w:val="List5"/>
    <w:rsid w:val="00F304BE"/>
    <w:pPr>
      <w:numPr>
        <w:numId w:val="7"/>
      </w:numPr>
    </w:pPr>
  </w:style>
  <w:style w:type="paragraph" w:styleId="BlockText">
    <w:name w:val="Block Text"/>
    <w:basedOn w:val="Normal"/>
    <w:rsid w:val="00F304BE"/>
    <w:pPr>
      <w:spacing w:after="120"/>
      <w:ind w:left="1440" w:right="1440"/>
    </w:pPr>
  </w:style>
  <w:style w:type="character" w:customStyle="1" w:styleId="Subscript">
    <w:name w:val="Subscript"/>
    <w:basedOn w:val="DefaultParagraphFont"/>
    <w:rsid w:val="00F304BE"/>
    <w:rPr>
      <w:sz w:val="16"/>
      <w:vertAlign w:val="subscript"/>
    </w:rPr>
  </w:style>
  <w:style w:type="character" w:customStyle="1" w:styleId="Superscript">
    <w:name w:val="Superscript"/>
    <w:basedOn w:val="DefaultParagraphFont"/>
    <w:rsid w:val="00F304BE"/>
    <w:rPr>
      <w:sz w:val="16"/>
      <w:vertAlign w:val="superscript"/>
    </w:rPr>
  </w:style>
  <w:style w:type="character" w:customStyle="1" w:styleId="Symbols">
    <w:name w:val="Symbols"/>
    <w:basedOn w:val="DefaultParagraphFont"/>
    <w:rsid w:val="00F304BE"/>
    <w:rPr>
      <w:rFonts w:ascii="Symbol" w:hAnsi="Symbol"/>
    </w:rPr>
  </w:style>
  <w:style w:type="character" w:customStyle="1" w:styleId="MenuOptions">
    <w:name w:val="Menu Options"/>
    <w:basedOn w:val="DefaultParagraphFont"/>
    <w:rsid w:val="00F304BE"/>
    <w:rPr>
      <w:rFonts w:ascii="Arial Narrow" w:hAnsi="Arial Narrow"/>
      <w:smallCaps/>
    </w:rPr>
  </w:style>
  <w:style w:type="character" w:customStyle="1" w:styleId="Buttons">
    <w:name w:val="Buttons"/>
    <w:basedOn w:val="DefaultParagraphFont"/>
    <w:rsid w:val="00F304BE"/>
    <w:rPr>
      <w:b/>
    </w:rPr>
  </w:style>
  <w:style w:type="character" w:customStyle="1" w:styleId="Underlined">
    <w:name w:val="Underlined"/>
    <w:basedOn w:val="DefaultParagraphFont"/>
    <w:rsid w:val="00F304BE"/>
    <w:rPr>
      <w:u w:val="single"/>
    </w:rPr>
  </w:style>
  <w:style w:type="paragraph" w:customStyle="1" w:styleId="TableBodyTextRight">
    <w:name w:val="Table Body Text Right"/>
    <w:basedOn w:val="TableBodyText"/>
    <w:rsid w:val="00F304BE"/>
    <w:pPr>
      <w:widowControl w:val="0"/>
      <w:autoSpaceDE w:val="0"/>
      <w:autoSpaceDN w:val="0"/>
      <w:adjustRightInd w:val="0"/>
      <w:jc w:val="right"/>
    </w:pPr>
    <w:rPr>
      <w:rFonts w:cs="Arial"/>
      <w:szCs w:val="18"/>
    </w:rPr>
  </w:style>
  <w:style w:type="paragraph" w:customStyle="1" w:styleId="CopyrightText">
    <w:name w:val="Copyright Text"/>
    <w:basedOn w:val="BodyText"/>
    <w:rsid w:val="00F304BE"/>
    <w:rPr>
      <w:sz w:val="18"/>
    </w:rPr>
  </w:style>
  <w:style w:type="paragraph" w:customStyle="1" w:styleId="BodySmallRight">
    <w:name w:val="Body Small Right"/>
    <w:basedOn w:val="BodyTextRight"/>
    <w:rsid w:val="00F304BE"/>
    <w:rPr>
      <w:sz w:val="18"/>
      <w:szCs w:val="18"/>
    </w:rPr>
  </w:style>
  <w:style w:type="paragraph" w:customStyle="1" w:styleId="MarginEdition">
    <w:name w:val="Margin Edition"/>
    <w:basedOn w:val="MarginNote"/>
    <w:rsid w:val="00F304BE"/>
    <w:pPr>
      <w:spacing w:before="0" w:after="0"/>
    </w:pPr>
    <w:rPr>
      <w:rFonts w:ascii="Times New Roman" w:hAnsi="Times New Roman"/>
      <w:color w:val="999999"/>
    </w:rPr>
  </w:style>
  <w:style w:type="paragraph" w:customStyle="1" w:styleId="Spacer">
    <w:name w:val="Spacer"/>
    <w:basedOn w:val="Normal"/>
    <w:rsid w:val="00F304BE"/>
    <w:rPr>
      <w:sz w:val="2"/>
      <w:szCs w:val="2"/>
    </w:rPr>
  </w:style>
  <w:style w:type="character" w:customStyle="1" w:styleId="Small">
    <w:name w:val="Small"/>
    <w:basedOn w:val="DefaultParagraphFont"/>
    <w:rsid w:val="00F304BE"/>
    <w:rPr>
      <w:sz w:val="16"/>
    </w:rPr>
  </w:style>
  <w:style w:type="paragraph" w:customStyle="1" w:styleId="WideTable">
    <w:name w:val="Wide Table"/>
    <w:basedOn w:val="Normal"/>
    <w:rsid w:val="00F304BE"/>
    <w:pPr>
      <w:ind w:left="-1418"/>
    </w:pPr>
    <w:rPr>
      <w:sz w:val="2"/>
      <w:szCs w:val="2"/>
    </w:rPr>
  </w:style>
  <w:style w:type="character" w:styleId="PageNumber">
    <w:name w:val="page number"/>
    <w:basedOn w:val="DefaultParagraphFont"/>
    <w:rsid w:val="00F304BE"/>
  </w:style>
  <w:style w:type="paragraph" w:styleId="Quote">
    <w:name w:val="Quote"/>
    <w:basedOn w:val="Heading1"/>
    <w:link w:val="QuoteChar"/>
    <w:qFormat/>
    <w:rsid w:val="00F304BE"/>
    <w:rPr>
      <w:b w:val="0"/>
      <w:sz w:val="72"/>
      <w:szCs w:val="72"/>
      <w:lang w:val="en-NZ"/>
    </w:rPr>
  </w:style>
  <w:style w:type="character" w:customStyle="1" w:styleId="QuoteChar">
    <w:name w:val="Quote Char"/>
    <w:basedOn w:val="DefaultParagraphFont"/>
    <w:link w:val="Quote"/>
    <w:rsid w:val="00F30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4BE"/>
    <w:pPr>
      <w:pageBreakBefore/>
    </w:pPr>
  </w:style>
  <w:style w:type="paragraph" w:customStyle="1" w:styleId="Border">
    <w:name w:val="Border"/>
    <w:basedOn w:val="Normal"/>
    <w:qFormat/>
    <w:rsid w:val="00F30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4BE"/>
    <w:rPr>
      <w:b/>
      <w:bCs/>
      <w:i/>
      <w:iCs/>
      <w:color w:val="auto"/>
    </w:rPr>
  </w:style>
  <w:style w:type="paragraph" w:styleId="IntenseQuote">
    <w:name w:val="Intense Quote"/>
    <w:basedOn w:val="Normal"/>
    <w:next w:val="Normal"/>
    <w:link w:val="IntenseQuoteChar"/>
    <w:uiPriority w:val="30"/>
    <w:qFormat/>
    <w:rsid w:val="00F30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4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04BE"/>
    <w:rPr>
      <w:smallCaps/>
      <w:color w:val="auto"/>
      <w:u w:val="single"/>
    </w:rPr>
  </w:style>
  <w:style w:type="character" w:styleId="IntenseReference">
    <w:name w:val="Intense Reference"/>
    <w:basedOn w:val="DefaultParagraphFont"/>
    <w:uiPriority w:val="32"/>
    <w:qFormat/>
    <w:rsid w:val="00F304BE"/>
    <w:rPr>
      <w:b/>
      <w:bCs/>
      <w:smallCaps/>
      <w:color w:val="auto"/>
      <w:spacing w:val="5"/>
      <w:u w:val="single"/>
    </w:rPr>
  </w:style>
  <w:style w:type="paragraph" w:customStyle="1" w:styleId="2ColumnHeading">
    <w:name w:val="2Column Heading"/>
    <w:basedOn w:val="BodyText"/>
    <w:qFormat/>
    <w:rsid w:val="00F304BE"/>
    <w:pPr>
      <w:spacing w:after="60"/>
      <w:ind w:left="-2268"/>
    </w:pPr>
    <w:rPr>
      <w:b/>
    </w:rPr>
  </w:style>
  <w:style w:type="paragraph" w:customStyle="1" w:styleId="Heading1TOC">
    <w:name w:val="Heading1 TOC"/>
    <w:basedOn w:val="Normal"/>
    <w:qFormat/>
    <w:rsid w:val="00F304BE"/>
    <w:pPr>
      <w:spacing w:before="240" w:after="120"/>
    </w:pPr>
    <w:rPr>
      <w:rFonts w:ascii="Times New Roman" w:hAnsi="Times New Roman"/>
      <w:b/>
      <w:sz w:val="32"/>
    </w:rPr>
  </w:style>
  <w:style w:type="paragraph" w:customStyle="1" w:styleId="Heading2TOC">
    <w:name w:val="Heading2 TOC"/>
    <w:basedOn w:val="Normal"/>
    <w:qFormat/>
    <w:rsid w:val="00F304BE"/>
    <w:pPr>
      <w:spacing w:before="240" w:after="60"/>
    </w:pPr>
    <w:rPr>
      <w:rFonts w:ascii="Times New Roman" w:hAnsi="Times New Roman"/>
      <w:b/>
      <w:sz w:val="28"/>
    </w:rPr>
  </w:style>
  <w:style w:type="character" w:customStyle="1" w:styleId="Underline">
    <w:name w:val="Underline"/>
    <w:basedOn w:val="DefaultParagraphFont"/>
    <w:qFormat/>
    <w:rsid w:val="00F304BE"/>
    <w:rPr>
      <w:u w:val="single"/>
    </w:rPr>
  </w:style>
  <w:style w:type="character" w:customStyle="1" w:styleId="BoldandItalics">
    <w:name w:val="Bold and Italics"/>
    <w:qFormat/>
    <w:rsid w:val="00F304BE"/>
    <w:rPr>
      <w:b/>
      <w:i/>
      <w:u w:val="none"/>
    </w:rPr>
  </w:style>
  <w:style w:type="paragraph" w:styleId="BalloonText">
    <w:name w:val="Balloon Text"/>
    <w:basedOn w:val="Normal"/>
    <w:link w:val="BalloonTextChar"/>
    <w:rsid w:val="00F304BE"/>
    <w:rPr>
      <w:rFonts w:ascii="Tahoma" w:hAnsi="Tahoma" w:cs="Tahoma"/>
      <w:sz w:val="16"/>
      <w:szCs w:val="16"/>
    </w:rPr>
  </w:style>
  <w:style w:type="character" w:customStyle="1" w:styleId="BalloonTextChar">
    <w:name w:val="Balloon Text Char"/>
    <w:basedOn w:val="DefaultParagraphFont"/>
    <w:link w:val="BalloonText"/>
    <w:rsid w:val="00F30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0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4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8370</Characters>
  <Application>Microsoft Office Word</Application>
  <DocSecurity>0</DocSecurity>
  <Lines>265</Lines>
  <Paragraphs>158</Paragraphs>
  <ScaleCrop>false</ScaleCrop>
  <Company>Author-it Software Corporation Ltd.</Company>
  <LinksUpToDate>false</LinksUpToDate>
  <CharactersWithSpaces>9607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TLIX6049A Undertake provisioning in support of deployed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