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B50" w:rsidP="008D6B50">
      <w:pPr>
        <w:pStyle w:val="Title"/>
      </w:pPr>
      <w:r>
        <w:fldChar w:fldCharType="begin"/>
      </w:r>
      <w:r>
        <w:instrText xml:space="preserve"> TITLE   \* MERGEFORMAT </w:instrText>
      </w:r>
      <w:r>
        <w:fldChar w:fldCharType="separate"/>
      </w:r>
      <w:r>
        <w:t>TLIX6048A Manage the deployment and delivery of logistic support</w:t>
      </w:r>
      <w:r>
        <w:fldChar w:fldCharType="end"/>
      </w:r>
    </w:p>
    <w:p w:rsidR="008D6B50" w:rsidP="008D6B50">
      <w:pPr>
        <w:pStyle w:val="Version"/>
        <w:sectPr w:rsidSect="005E03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34E" w:rsidP="005E034E">
      <w:pPr>
        <w:pStyle w:val="SuperHeading"/>
      </w:pPr>
      <w:r w:rsidRPr="005E034E">
        <w:t>TLIX6048A Manage the deployment and delivery of logistic support</w:t>
      </w:r>
    </w:p>
    <w:p w:rsidR="00000000" w:rsidRPr="005E034E" w:rsidP="005E034E">
      <w:pPr>
        <w:pStyle w:val="Heading1"/>
      </w:pPr>
      <w:bookmarkStart w:id="1" w:name="O_274423"/>
      <w:bookmarkEnd w:id="1"/>
      <w:r w:rsidRPr="005E034E">
        <w:t>Modification History</w:t>
      </w:r>
    </w:p>
    <w:p w:rsidR="00000000" w:rsidRPr="005E034E" w:rsidP="005E034E">
      <w:pPr>
        <w:pStyle w:val="BodyText"/>
      </w:pPr>
      <w:r w:rsidRPr="005E034E">
        <w:t>Not Applicable</w:t>
      </w:r>
    </w:p>
    <w:p w:rsidR="00000000" w:rsidRPr="005E034E" w:rsidP="005E034E">
      <w:pPr>
        <w:pStyle w:val="AllowPageBreak"/>
      </w:pPr>
    </w:p>
    <w:p w:rsidR="00000000" w:rsidRPr="005E034E" w:rsidP="005E034E">
      <w:pPr>
        <w:pStyle w:val="Heading1"/>
      </w:pPr>
      <w:bookmarkStart w:id="2" w:name="O_224754"/>
      <w:bookmarkEnd w:id="2"/>
      <w:r w:rsidRPr="005E034E">
        <w:t>Unit Descriptor</w:t>
      </w:r>
    </w:p>
    <w:tbl>
      <w:tblPr>
        <w:tblW w:w="9640" w:type="dxa"/>
        <w:tblLayout w:type="fixed"/>
        <w:tblCellMar>
          <w:left w:w="62" w:type="dxa"/>
          <w:right w:w="62" w:type="dxa"/>
        </w:tblCellMar>
        <w:tblLook w:val="0000"/>
      </w:tblPr>
      <w:tblGrid>
        <w:gridCol w:w="2978"/>
        <w:gridCol w:w="6662"/>
      </w:tblGrid>
      <w:tr w:rsidTr="008D6B5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E034E" w:rsidP="005E034E">
            <w:pPr>
              <w:pStyle w:val="BodyText"/>
            </w:pPr>
            <w:r w:rsidRPr="005E034E">
              <w:t>This unit involves the skills and knowledge required to manage the deployment and deli</w:t>
            </w:r>
            <w:r w:rsidRPr="005E034E">
              <w:t>very of complex or significant logistics support in a deployed context in support of organisational operations. Licensing, legislative, regulatory or certification requirements are applicable to this unit.</w:t>
            </w:r>
          </w:p>
        </w:tc>
      </w:tr>
    </w:tbl>
    <w:p w:rsidR="008D6B50" w:rsidP="005E034E">
      <w:pPr>
        <w:pStyle w:val="BodyText"/>
      </w:pPr>
    </w:p>
    <w:p w:rsidR="008D6B50" w:rsidP="005E034E">
      <w:pPr>
        <w:pStyle w:val="BodyText"/>
      </w:pPr>
    </w:p>
    <w:p w:rsidR="00000000" w:rsidRPr="005E034E" w:rsidP="005E034E">
      <w:pPr>
        <w:pStyle w:val="Heading1"/>
      </w:pPr>
      <w:bookmarkStart w:id="3" w:name="O_224756"/>
      <w:bookmarkEnd w:id="3"/>
      <w:r w:rsidRPr="005E034E">
        <w:t>Application of the Unit</w:t>
      </w:r>
    </w:p>
    <w:tbl>
      <w:tblPr>
        <w:tblW w:w="9640" w:type="dxa"/>
        <w:tblLayout w:type="fixed"/>
        <w:tblCellMar>
          <w:left w:w="62" w:type="dxa"/>
          <w:right w:w="62" w:type="dxa"/>
        </w:tblCellMar>
        <w:tblLook w:val="0000"/>
      </w:tblPr>
      <w:tblGrid>
        <w:gridCol w:w="2978"/>
        <w:gridCol w:w="6662"/>
      </w:tblGrid>
      <w:tr w:rsidTr="008D6B5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E034E" w:rsidP="005E034E">
            <w:pPr>
              <w:pStyle w:val="BodyText"/>
            </w:pPr>
            <w:r w:rsidRPr="005E034E">
              <w:t>The application of this unit in the workplace includes preparing for logistics operations, deploying a logistics team from a home location to a field environment, managing the internal operation of the logistic support and the extra</w:t>
            </w:r>
            <w:r w:rsidRPr="005E034E">
              <w:t>ction and return to a home location.</w:t>
            </w:r>
          </w:p>
          <w:p w:rsidR="00000000" w:rsidRPr="005E034E" w:rsidP="005E034E">
            <w:pPr>
              <w:pStyle w:val="BodyText"/>
            </w:pPr>
            <w:r w:rsidRPr="005E034E">
              <w:t>This unit of competency is applicable to senior logistic personnel who have a responsibility to organise and manage the delivery of integrated logistics support in a field deployment context. This unit is designed for l</w:t>
            </w:r>
            <w:r w:rsidRPr="005E034E">
              <w:t>arge operations that require significant logistic support; a typical example would be an overseas deployment for disaster support and would involve numerous logistic elements such as transport, warehousing, maintenance, supply and health.</w:t>
            </w:r>
          </w:p>
          <w:p w:rsidR="00000000" w:rsidRPr="005E034E" w:rsidP="005E034E">
            <w:pPr>
              <w:pStyle w:val="BodyText"/>
            </w:pPr>
            <w:r w:rsidRPr="005E034E">
              <w:t xml:space="preserve">This person will </w:t>
            </w:r>
            <w:r w:rsidRPr="005E034E">
              <w:t>bring well developed management skills and leadership to perform the scope of this unit of competency. Logistics teams may be comprised of a range of capabilities from different disciplines including road transport, supply, maintenance, catering and health</w:t>
            </w:r>
            <w:r w:rsidRPr="005E034E">
              <w:t>. The composition of the logistics team will be guided by the type and scale of operation being supported. All activities are carried out in accordance with relevant organisational policy and procedures.</w:t>
            </w:r>
          </w:p>
        </w:tc>
      </w:tr>
    </w:tbl>
    <w:p w:rsidR="008D6B50" w:rsidP="005E034E">
      <w:pPr>
        <w:pStyle w:val="BodyText"/>
      </w:pPr>
    </w:p>
    <w:p w:rsidR="008D6B50" w:rsidP="005E034E">
      <w:pPr>
        <w:pStyle w:val="BodyText"/>
      </w:pPr>
    </w:p>
    <w:p w:rsidR="00000000" w:rsidRPr="005E034E" w:rsidP="005E034E">
      <w:pPr>
        <w:pStyle w:val="Heading1"/>
      </w:pPr>
      <w:bookmarkStart w:id="4" w:name="O_282683"/>
      <w:bookmarkEnd w:id="4"/>
      <w:r w:rsidRPr="005E034E">
        <w:t>Licensing/Regulatory Information</w:t>
      </w:r>
    </w:p>
    <w:p w:rsidR="00000000" w:rsidRPr="005E034E" w:rsidP="005E034E">
      <w:pPr>
        <w:pStyle w:val="BodyText"/>
      </w:pPr>
      <w:r w:rsidRPr="005E034E">
        <w:t>Refer to Unit Descriptor</w:t>
      </w:r>
    </w:p>
    <w:p w:rsidR="00000000" w:rsidRPr="005E034E" w:rsidP="005E034E">
      <w:pPr>
        <w:pStyle w:val="AllowPageBreak"/>
      </w:pPr>
    </w:p>
    <w:p w:rsidR="00000000" w:rsidRPr="005E034E" w:rsidP="005E034E">
      <w:pPr>
        <w:pStyle w:val="Heading1"/>
      </w:pPr>
      <w:bookmarkStart w:id="5" w:name="O_285133"/>
      <w:bookmarkEnd w:id="5"/>
      <w:r w:rsidRPr="005E034E">
        <w:t>Pre-Requisites</w:t>
      </w:r>
    </w:p>
    <w:p w:rsidR="00000000" w:rsidRPr="005E034E" w:rsidP="005E034E">
      <w:pPr>
        <w:pStyle w:val="BodyText"/>
      </w:pPr>
      <w:r w:rsidRPr="005E034E">
        <w:t>Not Applicable</w:t>
      </w:r>
    </w:p>
    <w:p w:rsidR="00000000" w:rsidRPr="005E034E" w:rsidP="005E034E">
      <w:pPr>
        <w:pStyle w:val="AllowPageBreak"/>
      </w:pPr>
    </w:p>
    <w:p w:rsidR="00000000" w:rsidRPr="005E034E" w:rsidP="005E034E">
      <w:pPr>
        <w:pStyle w:val="Heading1"/>
      </w:pPr>
      <w:bookmarkStart w:id="6" w:name="O_224755"/>
      <w:bookmarkEnd w:id="6"/>
      <w:r w:rsidRPr="005E034E">
        <w:t>Employability Skills Information</w:t>
      </w:r>
    </w:p>
    <w:tbl>
      <w:tblPr>
        <w:tblW w:w="9640" w:type="dxa"/>
        <w:tblLayout w:type="fixed"/>
        <w:tblCellMar>
          <w:left w:w="62" w:type="dxa"/>
          <w:right w:w="62" w:type="dxa"/>
        </w:tblCellMar>
        <w:tblLook w:val="0000"/>
      </w:tblPr>
      <w:tblGrid>
        <w:gridCol w:w="2978"/>
        <w:gridCol w:w="6662"/>
      </w:tblGrid>
      <w:tr w:rsidTr="008D6B5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E034E" w:rsidP="005E034E">
            <w:pPr>
              <w:pStyle w:val="BodyText"/>
            </w:pPr>
            <w:r w:rsidRPr="005E034E">
              <w:t>This unit contains employability skills.</w:t>
            </w:r>
          </w:p>
        </w:tc>
      </w:tr>
    </w:tbl>
    <w:p w:rsidR="008D6B50" w:rsidP="005E034E">
      <w:pPr>
        <w:pStyle w:val="BodyText"/>
      </w:pPr>
    </w:p>
    <w:p w:rsidR="008D6B50" w:rsidP="005E034E">
      <w:pPr>
        <w:pStyle w:val="BodyText"/>
      </w:pPr>
    </w:p>
    <w:p w:rsidR="00000000" w:rsidRPr="005E034E" w:rsidP="005E034E">
      <w:pPr>
        <w:pStyle w:val="Heading1"/>
      </w:pPr>
      <w:bookmarkStart w:id="7" w:name="O_292469"/>
      <w:bookmarkEnd w:id="7"/>
      <w:r w:rsidRPr="005E034E">
        <w:t>Elements and Performance Criteria Pre-Content</w:t>
      </w:r>
    </w:p>
    <w:tbl>
      <w:tblPr>
        <w:tblW w:w="9640" w:type="dxa"/>
        <w:tblLayout w:type="fixed"/>
        <w:tblCellMar>
          <w:left w:w="62" w:type="dxa"/>
          <w:right w:w="62" w:type="dxa"/>
        </w:tblCellMar>
        <w:tblLook w:val="0000"/>
      </w:tblPr>
      <w:tblGrid>
        <w:gridCol w:w="2978"/>
        <w:gridCol w:w="6662"/>
      </w:tblGrid>
      <w:tr w:rsidTr="008D6B5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E034E" w:rsidP="005E034E">
            <w:pPr>
              <w:pStyle w:val="BodyText"/>
            </w:pPr>
            <w:r w:rsidRPr="005E034E">
              <w:t>Performance criteria describe the required performance needed to demonstrate achievement of the element. Assessment of performance is to be consistent with the evidence guide.</w:t>
            </w:r>
          </w:p>
        </w:tc>
      </w:tr>
    </w:tbl>
    <w:p w:rsidR="00000000" w:rsidRPr="005E034E" w:rsidP="005E034E">
      <w:pPr>
        <w:pStyle w:val="BodyText"/>
      </w:pPr>
    </w:p>
    <w:p w:rsidR="00000000" w:rsidRPr="005E034E" w:rsidP="005E034E">
      <w:pPr>
        <w:pStyle w:val="AllowPageBreak"/>
      </w:pPr>
    </w:p>
    <w:p w:rsidR="00000000" w:rsidRPr="005E034E" w:rsidP="005E034E">
      <w:pPr>
        <w:pStyle w:val="Heading1"/>
      </w:pPr>
      <w:bookmarkStart w:id="8" w:name="O_239137"/>
      <w:bookmarkEnd w:id="8"/>
      <w:r w:rsidRPr="005E034E">
        <w:t>Elements and Performance Criteria</w:t>
      </w:r>
    </w:p>
    <w:tbl>
      <w:tblPr>
        <w:tblW w:w="9640" w:type="dxa"/>
        <w:tblLayout w:type="fixed"/>
        <w:tblCellMar>
          <w:left w:w="62" w:type="dxa"/>
          <w:right w:w="62" w:type="dxa"/>
        </w:tblCellMar>
        <w:tblLook w:val="0000"/>
      </w:tblPr>
      <w:tblGrid>
        <w:gridCol w:w="2978"/>
        <w:gridCol w:w="6662"/>
      </w:tblGrid>
      <w:tr w:rsidTr="008D6B5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E034E" w:rsidP="005E034E">
            <w:pPr>
              <w:pStyle w:val="List"/>
            </w:pPr>
            <w:r w:rsidRPr="005E034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E034E">
            <w:pPr>
              <w:pStyle w:val="List"/>
              <w:rPr>
                <w:lang w:val="en-NZ"/>
              </w:rPr>
            </w:pPr>
            <w:r w:rsidRPr="005E034E">
              <w:rPr>
                <w:rStyle w:val="SpecialBold"/>
              </w:rPr>
              <w:t>PERFORMANCE CRITERIA</w:t>
            </w:r>
          </w:p>
        </w:tc>
      </w:tr>
      <w:tr w:rsidTr="008D6B5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E034E">
            <w:pPr>
              <w:pStyle w:val="List"/>
              <w:rPr>
                <w:lang w:val="en-NZ"/>
              </w:rPr>
            </w:pPr>
            <w:r w:rsidRPr="005E034E">
              <w:rPr>
                <w:rStyle w:val="SpecialBold"/>
              </w:rPr>
              <w:t>1</w:t>
            </w:r>
            <w:r w:rsidRPr="005E034E">
              <w:tab/>
            </w:r>
            <w:r w:rsidRPr="005E034E">
              <w:rPr>
                <w:rStyle w:val="SpecialBold"/>
              </w:rPr>
              <w:t>Manage the preparation of logistic elements for deployment</w:t>
            </w:r>
          </w:p>
        </w:tc>
        <w:tc>
          <w:tcPr>
            <w:tcW w:w="6662" w:type="dxa"/>
            <w:tcBorders>
              <w:top w:val="nil"/>
              <w:left w:val="nil"/>
              <w:bottom w:val="nil"/>
              <w:right w:val="nil"/>
            </w:tcBorders>
            <w:tcMar>
              <w:top w:w="0" w:type="dxa"/>
              <w:left w:w="62" w:type="dxa"/>
              <w:bottom w:w="0" w:type="dxa"/>
              <w:right w:w="62" w:type="dxa"/>
            </w:tcMar>
          </w:tcPr>
          <w:p w:rsidR="00000000" w:rsidRPr="005E034E" w:rsidP="005E034E">
            <w:pPr>
              <w:pStyle w:val="List"/>
            </w:pPr>
            <w:r w:rsidRPr="005E034E">
              <w:t>1.1</w:t>
            </w:r>
            <w:r w:rsidRPr="005E034E">
              <w:tab/>
              <w:t>Operational requirement is analysed in order to establish the scope and intent of logistic support</w:t>
            </w:r>
          </w:p>
          <w:p w:rsidR="00000000" w:rsidRPr="005E034E" w:rsidP="005E034E">
            <w:pPr>
              <w:pStyle w:val="List"/>
            </w:pPr>
            <w:r w:rsidRPr="005E034E">
              <w:t>1.2</w:t>
            </w:r>
            <w:r w:rsidRPr="005E034E">
              <w:tab/>
              <w:t>Deployment requi</w:t>
            </w:r>
            <w:r w:rsidRPr="005E034E">
              <w:t>rements are received and interpreted to determine logistic support required</w:t>
            </w:r>
          </w:p>
          <w:p w:rsidR="00000000" w:rsidRPr="005E034E" w:rsidP="005E034E">
            <w:pPr>
              <w:pStyle w:val="List"/>
            </w:pPr>
            <w:r w:rsidRPr="005E034E">
              <w:t>1.3</w:t>
            </w:r>
            <w:r w:rsidRPr="005E034E">
              <w:tab/>
              <w:t>Occupational health and safety (OH&amp;S) requirements and recognised safety precautions are applied throughout the operation in accordance with standard procedures</w:t>
            </w:r>
          </w:p>
          <w:p w:rsidR="00000000" w:rsidRPr="005E034E" w:rsidP="005E034E">
            <w:pPr>
              <w:pStyle w:val="List"/>
            </w:pPr>
            <w:r w:rsidRPr="005E034E">
              <w:t>1.4</w:t>
            </w:r>
            <w:r w:rsidRPr="005E034E">
              <w:tab/>
              <w:t>Corporate t</w:t>
            </w:r>
            <w:r w:rsidRPr="005E034E">
              <w:t>raining requirements are formulated, resourced and implemented to ensure staff competence</w:t>
            </w:r>
          </w:p>
          <w:p w:rsidR="00000000" w:rsidRPr="005E034E" w:rsidP="005E034E">
            <w:pPr>
              <w:pStyle w:val="List"/>
            </w:pPr>
            <w:r w:rsidRPr="005E034E">
              <w:t>1.5</w:t>
            </w:r>
            <w:r w:rsidRPr="005E034E">
              <w:tab/>
              <w:t>Deficiencies in manpower and equipment are identified and an organisational response is developed</w:t>
            </w:r>
          </w:p>
          <w:p w:rsidR="00000000" w:rsidRPr="005E034E" w:rsidP="005E034E">
            <w:pPr>
              <w:pStyle w:val="List"/>
            </w:pPr>
            <w:r w:rsidRPr="005E034E">
              <w:t>1.6</w:t>
            </w:r>
            <w:r w:rsidRPr="005E034E">
              <w:tab/>
              <w:t>Forecast shortages on arrival in the operating area are anti</w:t>
            </w:r>
            <w:r w:rsidRPr="005E034E">
              <w:t>cipated and action is taken to ensure logistic support can be established and sustained</w:t>
            </w:r>
          </w:p>
          <w:p w:rsidR="00000000" w:rsidRPr="005E034E" w:rsidP="005E034E">
            <w:pPr>
              <w:pStyle w:val="List"/>
            </w:pPr>
            <w:r w:rsidRPr="005E034E">
              <w:t>1.7</w:t>
            </w:r>
            <w:r w:rsidRPr="005E034E">
              <w:tab/>
              <w:t>The preparation, packaging and marking of equipment and stores, including hazardous material, is managed to ensure effective and efficient movement</w:t>
            </w:r>
          </w:p>
          <w:p w:rsidR="00000000" w:rsidRPr="005E034E" w:rsidP="005E034E">
            <w:pPr>
              <w:pStyle w:val="List"/>
            </w:pPr>
            <w:r w:rsidRPr="005E034E">
              <w:t>1.8</w:t>
            </w:r>
            <w:r w:rsidRPr="005E034E">
              <w:tab/>
              <w:t>Movement doc</w:t>
            </w:r>
            <w:r w:rsidRPr="005E034E">
              <w:t>umentation of both personnel and materiel is managed to ensure it is completed</w:t>
            </w:r>
          </w:p>
          <w:p w:rsidR="00000000" w:rsidRPr="005E034E" w:rsidP="005E034E">
            <w:pPr>
              <w:pStyle w:val="List"/>
            </w:pPr>
            <w:r w:rsidRPr="005E034E">
              <w:t>1.9</w:t>
            </w:r>
            <w:r w:rsidRPr="005E034E">
              <w:tab/>
              <w:t>Organisational requirements are managed to ensure all personnel are ready for deployment and provided with support for the duration of the operation</w:t>
            </w:r>
          </w:p>
          <w:p w:rsidR="00000000" w:rsidP="005E034E">
            <w:pPr>
              <w:pStyle w:val="List"/>
              <w:rPr>
                <w:lang w:val="en-NZ"/>
              </w:rPr>
            </w:pPr>
            <w:r w:rsidRPr="005E034E">
              <w:t>1.10</w:t>
            </w:r>
            <w:r w:rsidRPr="005E034E">
              <w:tab/>
              <w:t>Instructions are pr</w:t>
            </w:r>
            <w:r w:rsidRPr="005E034E">
              <w:t>epared and issued to logistic element managers to enable them to prepare for deployment</w:t>
            </w:r>
          </w:p>
        </w:tc>
      </w:tr>
      <w:tr w:rsidTr="008D6B5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E034E">
            <w:pPr>
              <w:pStyle w:val="List"/>
              <w:rPr>
                <w:lang w:val="en-NZ"/>
              </w:rPr>
            </w:pPr>
            <w:r w:rsidRPr="005E034E">
              <w:rPr>
                <w:rStyle w:val="SpecialBold"/>
              </w:rPr>
              <w:t>2</w:t>
            </w:r>
            <w:r w:rsidRPr="005E034E">
              <w:tab/>
            </w:r>
            <w:r w:rsidRPr="005E034E">
              <w:rPr>
                <w:rStyle w:val="SpecialBold"/>
              </w:rPr>
              <w:t>Manage the movement of the logistic elements</w:t>
            </w:r>
          </w:p>
        </w:tc>
        <w:tc>
          <w:tcPr>
            <w:tcW w:w="6662" w:type="dxa"/>
            <w:tcBorders>
              <w:top w:val="nil"/>
              <w:left w:val="nil"/>
              <w:bottom w:val="nil"/>
              <w:right w:val="nil"/>
            </w:tcBorders>
            <w:tcMar>
              <w:top w:w="0" w:type="dxa"/>
              <w:left w:w="62" w:type="dxa"/>
              <w:bottom w:w="0" w:type="dxa"/>
              <w:right w:w="62" w:type="dxa"/>
            </w:tcMar>
          </w:tcPr>
          <w:p w:rsidR="00000000" w:rsidRPr="005E034E" w:rsidP="005E034E">
            <w:pPr>
              <w:pStyle w:val="List"/>
            </w:pPr>
            <w:r w:rsidRPr="005E034E">
              <w:t>2.1</w:t>
            </w:r>
            <w:r w:rsidRPr="005E034E">
              <w:tab/>
            </w:r>
            <w:r w:rsidRPr="005E034E">
              <w:t>Movement to the point of departure and arrival is coordinated to ensure the efficient movement all personnel and material</w:t>
            </w:r>
          </w:p>
          <w:p w:rsidR="00000000" w:rsidRPr="005E034E" w:rsidP="005E034E">
            <w:pPr>
              <w:pStyle w:val="List"/>
            </w:pPr>
            <w:r w:rsidRPr="005E034E">
              <w:t>2.2</w:t>
            </w:r>
            <w:r w:rsidRPr="005E034E">
              <w:tab/>
              <w:t xml:space="preserve">The preparation of material for movement is managed to ensure the packaging, containerisation and sequencing of transportation is </w:t>
            </w:r>
            <w:r w:rsidRPr="005E034E">
              <w:t>consistent with the operational need</w:t>
            </w:r>
          </w:p>
          <w:p w:rsidR="00000000" w:rsidRPr="005E034E" w:rsidP="005E034E">
            <w:pPr>
              <w:pStyle w:val="List"/>
            </w:pPr>
            <w:r w:rsidRPr="005E034E">
              <w:t>2.3</w:t>
            </w:r>
            <w:r w:rsidRPr="005E034E">
              <w:tab/>
              <w:t>Waivers required for the movement of hazardous cargo are obtained in accordance with organisational policy and procedure</w:t>
            </w:r>
          </w:p>
          <w:p w:rsidR="00000000" w:rsidRPr="005E034E" w:rsidP="005E034E">
            <w:pPr>
              <w:pStyle w:val="List"/>
            </w:pPr>
            <w:r w:rsidRPr="005E034E">
              <w:t>2.4</w:t>
            </w:r>
            <w:r w:rsidRPr="005E034E">
              <w:tab/>
              <w:t>Relevant agencies are liaised with to ensure the effective and efficient movement of all p</w:t>
            </w:r>
            <w:r w:rsidRPr="005E034E">
              <w:t>ersonnel and material</w:t>
            </w:r>
          </w:p>
          <w:p w:rsidR="00000000" w:rsidP="005E034E">
            <w:pPr>
              <w:pStyle w:val="List"/>
              <w:rPr>
                <w:lang w:val="en-NZ"/>
              </w:rPr>
            </w:pPr>
            <w:r w:rsidRPr="005E034E">
              <w:t>2.5</w:t>
            </w:r>
            <w:r w:rsidRPr="005E034E">
              <w:tab/>
              <w:t>Logistic support to the reception and staging area is coordinated to avoid congestion of personnel and materiel during disembarkation in the operational area</w:t>
            </w:r>
          </w:p>
        </w:tc>
      </w:tr>
      <w:tr w:rsidTr="008D6B5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E034E">
            <w:pPr>
              <w:pStyle w:val="List"/>
              <w:rPr>
                <w:lang w:val="en-NZ"/>
              </w:rPr>
            </w:pPr>
            <w:r w:rsidRPr="005E034E">
              <w:rPr>
                <w:rStyle w:val="SpecialBold"/>
              </w:rPr>
              <w:t>3</w:t>
            </w:r>
            <w:r w:rsidRPr="005E034E">
              <w:tab/>
            </w:r>
            <w:r w:rsidRPr="005E034E">
              <w:rPr>
                <w:rStyle w:val="SpecialBold"/>
              </w:rPr>
              <w:t>Manage the deployment and concentration of logistic elements within t</w:t>
            </w:r>
            <w:r w:rsidRPr="005E034E">
              <w:rPr>
                <w:rStyle w:val="SpecialBold"/>
              </w:rPr>
              <w:t>he area of operations</w:t>
            </w:r>
          </w:p>
        </w:tc>
        <w:tc>
          <w:tcPr>
            <w:tcW w:w="6662" w:type="dxa"/>
            <w:tcBorders>
              <w:top w:val="nil"/>
              <w:left w:val="nil"/>
              <w:bottom w:val="nil"/>
              <w:right w:val="nil"/>
            </w:tcBorders>
            <w:tcMar>
              <w:top w:w="0" w:type="dxa"/>
              <w:left w:w="62" w:type="dxa"/>
              <w:bottom w:w="0" w:type="dxa"/>
              <w:right w:w="62" w:type="dxa"/>
            </w:tcMar>
          </w:tcPr>
          <w:p w:rsidR="00000000" w:rsidRPr="005E034E" w:rsidP="005E034E">
            <w:pPr>
              <w:pStyle w:val="List"/>
            </w:pPr>
            <w:r w:rsidRPr="005E034E">
              <w:t>3.1</w:t>
            </w:r>
            <w:r w:rsidRPr="005E034E">
              <w:tab/>
              <w:t>Operational deployment instructions are received and interpreted to determine deployment requirements, tasks and operational commander's intent</w:t>
            </w:r>
          </w:p>
          <w:p w:rsidR="00000000" w:rsidRPr="005E034E" w:rsidP="005E034E">
            <w:pPr>
              <w:pStyle w:val="List"/>
            </w:pPr>
            <w:r w:rsidRPr="005E034E">
              <w:t>3.2</w:t>
            </w:r>
            <w:r w:rsidRPr="005E034E">
              <w:tab/>
              <w:t>Logistic deployment instructions are prepared and issued to logistic element manag</w:t>
            </w:r>
            <w:r w:rsidRPr="005E034E">
              <w:t>ers</w:t>
            </w:r>
          </w:p>
          <w:p w:rsidR="00000000" w:rsidRPr="005E034E" w:rsidP="005E034E">
            <w:pPr>
              <w:pStyle w:val="List"/>
            </w:pPr>
            <w:r w:rsidRPr="005E034E">
              <w:t>3.3</w:t>
            </w:r>
            <w:r w:rsidRPr="005E034E">
              <w:tab/>
              <w:t>Movement to the deployment site is managed in accordance with the operational environment and management instructions</w:t>
            </w:r>
          </w:p>
          <w:p w:rsidR="00000000" w:rsidRPr="005E034E" w:rsidP="005E034E">
            <w:pPr>
              <w:pStyle w:val="List"/>
            </w:pPr>
            <w:r w:rsidRPr="005E034E">
              <w:t>3.4</w:t>
            </w:r>
            <w:r w:rsidRPr="005E034E">
              <w:tab/>
              <w:t>Logistic team is sited</w:t>
            </w:r>
          </w:p>
          <w:p w:rsidR="00000000" w:rsidRPr="005E034E" w:rsidP="005E034E">
            <w:pPr>
              <w:pStyle w:val="List"/>
            </w:pPr>
            <w:r w:rsidRPr="005E034E">
              <w:t>3.5</w:t>
            </w:r>
            <w:r w:rsidRPr="005E034E">
              <w:tab/>
              <w:t>Operational or organisational constraints are recognised and logistic tasks are directed to align w</w:t>
            </w:r>
            <w:r w:rsidRPr="005E034E">
              <w:t>ith these constraints</w:t>
            </w:r>
          </w:p>
          <w:p w:rsidR="00000000" w:rsidRPr="005E034E" w:rsidP="005E034E">
            <w:pPr>
              <w:pStyle w:val="List"/>
            </w:pPr>
            <w:r w:rsidRPr="005E034E">
              <w:t>3.6</w:t>
            </w:r>
            <w:r w:rsidRPr="005E034E">
              <w:tab/>
              <w:t>The activity is monitored to ensure that the logistic elements are conducting activity with appropriate authority and in accordance with organisational policy and procedures</w:t>
            </w:r>
          </w:p>
          <w:p w:rsidR="00000000" w:rsidRPr="005E034E" w:rsidP="005E034E">
            <w:pPr>
              <w:pStyle w:val="List"/>
            </w:pPr>
            <w:r w:rsidRPr="005E034E">
              <w:t>3.7</w:t>
            </w:r>
            <w:r w:rsidRPr="005E034E">
              <w:tab/>
              <w:t xml:space="preserve">The delivery of logistic support is managed to meet </w:t>
            </w:r>
            <w:r w:rsidRPr="005E034E">
              <w:t>the demands of the operation</w:t>
            </w:r>
          </w:p>
          <w:p w:rsidR="00000000" w:rsidRPr="005E034E" w:rsidP="005E034E">
            <w:pPr>
              <w:pStyle w:val="List"/>
            </w:pPr>
            <w:r w:rsidRPr="005E034E">
              <w:t>3.8</w:t>
            </w:r>
            <w:r w:rsidRPr="005E034E">
              <w:tab/>
              <w:t>Logistic support priorities are set in order to align the activities with the organisational objectives</w:t>
            </w:r>
          </w:p>
          <w:p w:rsidR="00000000" w:rsidRPr="005E034E" w:rsidP="005E034E">
            <w:pPr>
              <w:pStyle w:val="List"/>
            </w:pPr>
            <w:r w:rsidRPr="005E034E">
              <w:t>3.9</w:t>
            </w:r>
            <w:r w:rsidRPr="005E034E">
              <w:tab/>
              <w:t>Logistic information systems are utilised to monitor and coordinate logistic support operations and to inform the d</w:t>
            </w:r>
            <w:r w:rsidRPr="005E034E">
              <w:t>ecision making process</w:t>
            </w:r>
          </w:p>
          <w:p w:rsidR="00000000" w:rsidRPr="005E034E" w:rsidP="005E034E">
            <w:pPr>
              <w:pStyle w:val="List"/>
            </w:pPr>
            <w:r w:rsidRPr="005E034E">
              <w:t>3.10</w:t>
            </w:r>
            <w:r w:rsidRPr="005E034E">
              <w:tab/>
              <w:t>Technical advice regarding the usage and allocation of logistic support is provided to maximise the efficiency and effectiveness of services to the supported organisation</w:t>
            </w:r>
          </w:p>
          <w:p w:rsidR="00000000" w:rsidRPr="005E034E" w:rsidP="005E034E">
            <w:pPr>
              <w:pStyle w:val="List"/>
            </w:pPr>
            <w:r w:rsidRPr="005E034E">
              <w:t>3.11</w:t>
            </w:r>
            <w:r w:rsidRPr="005E034E">
              <w:tab/>
              <w:t>Liaison with agencies involved in the operation is c</w:t>
            </w:r>
            <w:r w:rsidRPr="005E034E">
              <w:t>arried out to ensure the most effective coordination of effort</w:t>
            </w:r>
          </w:p>
          <w:p w:rsidR="00000000" w:rsidRPr="005E034E" w:rsidP="005E034E">
            <w:pPr>
              <w:pStyle w:val="List"/>
            </w:pPr>
            <w:r w:rsidRPr="005E034E">
              <w:t>3.12</w:t>
            </w:r>
            <w:r w:rsidRPr="005E034E">
              <w:tab/>
              <w:t>Management and stakeholders are advised when significant issues or developments arise that may adversely impact on the operation</w:t>
            </w:r>
          </w:p>
          <w:p w:rsidR="00000000" w:rsidP="005E034E">
            <w:pPr>
              <w:pStyle w:val="List"/>
              <w:rPr>
                <w:lang w:val="en-NZ"/>
              </w:rPr>
            </w:pPr>
            <w:r w:rsidRPr="005E034E">
              <w:t>3.13</w:t>
            </w:r>
            <w:r w:rsidRPr="005E034E">
              <w:tab/>
              <w:t>Reports and returns relevant to integrated logistic su</w:t>
            </w:r>
            <w:r w:rsidRPr="005E034E">
              <w:t>pport are prepared and issued in accordance with organisational policy and procedure</w:t>
            </w:r>
          </w:p>
        </w:tc>
      </w:tr>
      <w:tr w:rsidTr="008D6B5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E034E">
            <w:pPr>
              <w:pStyle w:val="List"/>
              <w:rPr>
                <w:lang w:val="en-NZ"/>
              </w:rPr>
            </w:pPr>
            <w:r w:rsidRPr="005E034E">
              <w:rPr>
                <w:rStyle w:val="SpecialBold"/>
              </w:rPr>
              <w:t>4</w:t>
            </w:r>
            <w:r w:rsidRPr="005E034E">
              <w:tab/>
            </w:r>
            <w:r w:rsidRPr="005E034E">
              <w:rPr>
                <w:rStyle w:val="SpecialBold"/>
              </w:rPr>
              <w:t>Manage the extraction of logistic elements from the area of operations and redeployment to home location</w:t>
            </w:r>
          </w:p>
        </w:tc>
        <w:tc>
          <w:tcPr>
            <w:tcW w:w="6662" w:type="dxa"/>
            <w:tcBorders>
              <w:top w:val="nil"/>
              <w:left w:val="nil"/>
              <w:bottom w:val="nil"/>
              <w:right w:val="nil"/>
            </w:tcBorders>
            <w:tcMar>
              <w:top w:w="0" w:type="dxa"/>
              <w:left w:w="62" w:type="dxa"/>
              <w:bottom w:w="0" w:type="dxa"/>
              <w:right w:w="62" w:type="dxa"/>
            </w:tcMar>
          </w:tcPr>
          <w:p w:rsidR="00000000" w:rsidRPr="005E034E" w:rsidP="005E034E">
            <w:pPr>
              <w:pStyle w:val="List"/>
            </w:pPr>
            <w:r w:rsidRPr="005E034E">
              <w:t>4.1</w:t>
            </w:r>
            <w:r w:rsidRPr="005E034E">
              <w:tab/>
            </w:r>
            <w:r w:rsidRPr="005E034E">
              <w:t>Redeployment instructions are prepared and issued to logistic element managers</w:t>
            </w:r>
          </w:p>
          <w:p w:rsidR="00000000" w:rsidRPr="005E034E" w:rsidP="005E034E">
            <w:pPr>
              <w:pStyle w:val="List"/>
            </w:pPr>
            <w:r w:rsidRPr="005E034E">
              <w:t>4.2</w:t>
            </w:r>
            <w:r w:rsidRPr="005E034E">
              <w:tab/>
              <w:t>The scaling down and withdrawal of the deployment site is monitored to ensure it is consistent with the operational environment and organisational requirements</w:t>
            </w:r>
          </w:p>
          <w:p w:rsidR="00000000" w:rsidRPr="005E034E" w:rsidP="005E034E">
            <w:pPr>
              <w:pStyle w:val="List"/>
            </w:pPr>
            <w:r w:rsidRPr="005E034E">
              <w:t>4.3</w:t>
            </w:r>
            <w:r w:rsidRPr="005E034E">
              <w:tab/>
              <w:t xml:space="preserve">Movement </w:t>
            </w:r>
            <w:r w:rsidRPr="005E034E">
              <w:t>to the departure port is coordinated to ensure it is consistent with the operational requirements</w:t>
            </w:r>
          </w:p>
          <w:p w:rsidR="00000000" w:rsidRPr="005E034E" w:rsidP="005E034E">
            <w:pPr>
              <w:pStyle w:val="List"/>
            </w:pPr>
            <w:r w:rsidRPr="005E034E">
              <w:t>4.4</w:t>
            </w:r>
            <w:r w:rsidRPr="005E034E">
              <w:tab/>
              <w:t>Return movement to home base is coordinated through relevant authorities in accordance with organisational policy and procedure</w:t>
            </w:r>
          </w:p>
        </w:tc>
      </w:tr>
    </w:tbl>
    <w:p w:rsidR="008D6B50" w:rsidP="005E034E">
      <w:pPr>
        <w:pStyle w:val="BodyText"/>
      </w:pPr>
    </w:p>
    <w:p w:rsidR="008D6B50" w:rsidP="005E034E">
      <w:pPr>
        <w:pStyle w:val="BodyText"/>
      </w:pPr>
    </w:p>
    <w:p w:rsidR="00000000" w:rsidRPr="005E034E" w:rsidP="005E034E">
      <w:pPr>
        <w:pStyle w:val="Heading1"/>
      </w:pPr>
      <w:bookmarkStart w:id="9" w:name="O_262928"/>
      <w:bookmarkEnd w:id="9"/>
      <w:r w:rsidRPr="005E034E">
        <w:t>Requ</w:t>
      </w:r>
      <w:r w:rsidRPr="005E034E">
        <w:t>ired Skills and Knowledge</w:t>
      </w:r>
    </w:p>
    <w:tbl>
      <w:tblPr>
        <w:tblW w:w="9640" w:type="dxa"/>
        <w:tblLayout w:type="fixed"/>
        <w:tblCellMar>
          <w:left w:w="62" w:type="dxa"/>
          <w:right w:w="62" w:type="dxa"/>
        </w:tblCellMar>
        <w:tblLook w:val="0000"/>
      </w:tblPr>
      <w:tblGrid>
        <w:gridCol w:w="9640"/>
      </w:tblGrid>
      <w:tr w:rsidTr="008D6B5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rPr>
                <w:rStyle w:val="SpecialBold"/>
              </w:rPr>
              <w:t>REQUIRED KNOWLEDGE AND SKILLS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t>This describes the essential knowledge and skills and their level required for this unit.</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rPr>
                <w:rStyle w:val="SpecialBold"/>
              </w:rPr>
              <w:t>Required knowledge</w:t>
            </w:r>
            <w:r w:rsidRPr="005E034E">
              <w:t>:</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 xml:space="preserve">Logistics concepts including a knowledge of mobilisation, deployment, reception, </w:t>
            </w:r>
            <w:r w:rsidRPr="005E034E">
              <w:t>staging, onward movement, integration, sustainment, redeployment and reconstitution</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Specialist knowledge of the organisation, function and logistic capabilities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Organisational policy and procedure</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Channels of communication and processes for obtaining advice, approvals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Legislation, regulations, and guidelines relating to deployment logistic support</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Equal employment opportunity, equity and diversity principles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Environmental considerations in log</w:t>
            </w:r>
            <w:r w:rsidRPr="005E034E">
              <w:t>istic support</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Organisational writing conventions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Planning process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Functional and technical siting requirements of specialist logistic teams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General knowledge of specialist logistic support services, including transport, material maintenance, supply</w:t>
            </w:r>
            <w:r w:rsidRPr="005E034E">
              <w:t>, catering and health support</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The likely logistic needs of deployed dependencies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E034E" w:rsidP="005E034E">
            <w:pPr>
              <w:pStyle w:val="ListBullet"/>
            </w:pPr>
            <w:r w:rsidRPr="005E034E">
              <w:t>Planning process</w:t>
            </w:r>
          </w:p>
        </w:tc>
      </w:tr>
    </w:tbl>
    <w:p w:rsidR="00000000" w:rsidRPr="005E034E" w:rsidP="005E034E">
      <w:pPr>
        <w:pStyle w:val="BodyText"/>
      </w:pPr>
    </w:p>
    <w:tbl>
      <w:tblPr>
        <w:tblW w:w="9640" w:type="dxa"/>
        <w:tblLayout w:type="fixed"/>
        <w:tblCellMar>
          <w:left w:w="62" w:type="dxa"/>
          <w:right w:w="62" w:type="dxa"/>
        </w:tblCellMar>
        <w:tblLook w:val="0000"/>
      </w:tblPr>
      <w:tblGrid>
        <w:gridCol w:w="9640"/>
      </w:tblGrid>
      <w:tr w:rsidTr="008D6B5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rPr>
                <w:rStyle w:val="SpecialBold"/>
              </w:rPr>
              <w:t>Required skills</w:t>
            </w:r>
            <w:r w:rsidRPr="005E034E">
              <w:t>:</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Interpret instructions and apply this to the development of actions and tasks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Analyse the complexities of a task</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Identify the operation's intent and recognise how own planning contributes to operation success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Work cooperatively as a member of a team</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 xml:space="preserve">Undertake analysis to determine where internal and external factors impact on the health support requirements, and </w:t>
            </w:r>
            <w:r w:rsidRPr="005E034E">
              <w:t>adjust planning accordingly</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Use numeracy skills to accurately analyse and validate information</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Use organisational skills to manage own planning tasks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Use problem-solving skills to apply a broad range of problem-solving strategies to planning outcomes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Move forward despite the difficulty of the task</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Make decisive, informed decisions that align with organisational requirements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Liaise with internal and external organisations and representatives to plan and accomplish tasks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Control risk during the planning and execution of integrated logistic support</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Interpret policy and procedures</w:t>
            </w:r>
          </w:p>
        </w:tc>
      </w:tr>
      <w:tr w:rsidTr="008D6B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E034E" w:rsidP="005E034E">
            <w:pPr>
              <w:pStyle w:val="ListBullet"/>
            </w:pPr>
            <w:r w:rsidRPr="005E034E">
              <w:t>Use appropriate information technology and software</w:t>
            </w:r>
          </w:p>
        </w:tc>
      </w:tr>
    </w:tbl>
    <w:p w:rsidR="008D6B50" w:rsidP="005E034E">
      <w:pPr>
        <w:pStyle w:val="BodyText"/>
      </w:pPr>
    </w:p>
    <w:p w:rsidR="008D6B50" w:rsidP="005E034E">
      <w:pPr>
        <w:pStyle w:val="BodyText"/>
      </w:pPr>
    </w:p>
    <w:p w:rsidR="00000000" w:rsidRPr="005E034E" w:rsidP="005E034E">
      <w:pPr>
        <w:pStyle w:val="Heading1"/>
      </w:pPr>
      <w:bookmarkStart w:id="10" w:name="O_247121"/>
      <w:bookmarkEnd w:id="10"/>
      <w:r w:rsidRPr="005E034E">
        <w:t>Evidence Guide</w:t>
      </w:r>
    </w:p>
    <w:tbl>
      <w:tblPr>
        <w:tblW w:w="9499" w:type="dxa"/>
        <w:tblLayout w:type="fixed"/>
        <w:tblCellMar>
          <w:left w:w="62" w:type="dxa"/>
          <w:right w:w="62" w:type="dxa"/>
        </w:tblCellMar>
        <w:tblLook w:val="0000"/>
      </w:tblPr>
      <w:tblGrid>
        <w:gridCol w:w="3524"/>
        <w:gridCol w:w="5975"/>
      </w:tblGrid>
      <w:tr w:rsidTr="008D6B5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rPr>
                <w:rStyle w:val="SpecialBold"/>
              </w:rPr>
              <w:t>EVIDENCE GUIDE</w:t>
            </w:r>
          </w:p>
        </w:tc>
      </w:tr>
      <w:tr w:rsidTr="008D6B5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t>The evidence guide provides advice on assessment and must be read in conjunction with the performance criteria, required knowledge and skills, the range statement and the assessment guidelines for this Training Package.</w:t>
            </w:r>
          </w:p>
        </w:tc>
      </w:tr>
      <w:tr w:rsidTr="008D6B5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rPr>
                <w:rStyle w:val="SpecialBold"/>
              </w:rPr>
              <w:t>Critical aspects for assessment an</w:t>
            </w:r>
            <w:r w:rsidRPr="005E034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5E034E">
            <w:pPr>
              <w:pStyle w:val="ListBullet"/>
              <w:rPr>
                <w:lang w:val="en-NZ"/>
              </w:rPr>
            </w:pPr>
            <w:r w:rsidRPr="005E034E">
              <w:t>The evidence required to demonstrate competency in this unit must be relevant to and satisfy all of the requirements of the elements and performance criteria of this unit</w:t>
            </w:r>
          </w:p>
        </w:tc>
      </w:tr>
      <w:tr w:rsidTr="008D6B5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E034E" w:rsidP="005E034E">
            <w:pPr>
              <w:pStyle w:val="ListBullet"/>
            </w:pPr>
            <w:r w:rsidRPr="005E034E">
              <w:t>Competency should be demonstrated on at least one occasion covering the scope of the unit of competence</w:t>
            </w:r>
          </w:p>
          <w:p w:rsidR="00000000" w:rsidRPr="005E034E" w:rsidP="005E034E">
            <w:pPr>
              <w:pStyle w:val="ListBullet"/>
            </w:pPr>
            <w:r w:rsidRPr="005E034E">
              <w:t>Resources for assessment include:</w:t>
            </w:r>
          </w:p>
          <w:p w:rsidR="00000000" w:rsidRPr="005E034E" w:rsidP="005E034E">
            <w:pPr>
              <w:pStyle w:val="ListBullet2"/>
            </w:pPr>
            <w:r w:rsidRPr="005E034E">
              <w:t xml:space="preserve">a range of relevant exercises, case studies and/or other simulated </w:t>
            </w:r>
            <w:r w:rsidRPr="005E034E">
              <w:t>practical and knowledge assessment, and/or</w:t>
            </w:r>
          </w:p>
          <w:p w:rsidR="00000000" w:rsidRPr="005E034E" w:rsidP="005E034E">
            <w:pPr>
              <w:pStyle w:val="ListBullet2"/>
            </w:pPr>
            <w:r w:rsidRPr="005E034E">
              <w:t>access to an appropriate range of relevant operational situations in the workplace</w:t>
            </w:r>
          </w:p>
          <w:p w:rsidR="00000000" w:rsidRPr="005E034E" w:rsidP="005E034E">
            <w:pPr>
              <w:pStyle w:val="ListBullet"/>
            </w:pPr>
            <w:r w:rsidRPr="005E034E">
              <w:t>In both real and simulated environments, access is required to:</w:t>
            </w:r>
          </w:p>
          <w:p w:rsidR="00000000" w:rsidRPr="005E034E" w:rsidP="005E034E">
            <w:pPr>
              <w:pStyle w:val="ListBullet2"/>
            </w:pPr>
            <w:r w:rsidRPr="005E034E">
              <w:t>relevant and appropriate materials and equipment, and</w:t>
            </w:r>
          </w:p>
          <w:p w:rsidR="00000000" w:rsidP="005E034E">
            <w:pPr>
              <w:pStyle w:val="ListBullet2"/>
              <w:rPr>
                <w:lang w:val="en-NZ"/>
              </w:rPr>
            </w:pPr>
            <w:r w:rsidRPr="005E034E">
              <w:t>applicable documentation including workplace procedures, regulations, codes of practice and operation manuals</w:t>
            </w:r>
          </w:p>
        </w:tc>
      </w:tr>
      <w:tr w:rsidTr="008D6B5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E034E" w:rsidP="005E034E">
            <w:pPr>
              <w:pStyle w:val="ListBullet"/>
            </w:pPr>
            <w:r w:rsidRPr="005E034E">
              <w:t>Assessment of this unit must be undertaken by a registered training organisation</w:t>
            </w:r>
          </w:p>
          <w:p w:rsidR="00000000" w:rsidRPr="005E034E" w:rsidP="005E034E">
            <w:pPr>
              <w:pStyle w:val="ListBullet"/>
            </w:pPr>
            <w:r w:rsidRPr="005E034E">
              <w:t>As a minimum, assessment of knowledge must be conducted through appropriate written/oral tests</w:t>
            </w:r>
          </w:p>
          <w:p w:rsidR="00000000" w:rsidRPr="005E034E" w:rsidP="005E034E">
            <w:pPr>
              <w:pStyle w:val="ListBullet"/>
            </w:pPr>
            <w:r w:rsidRPr="005E034E">
              <w:t>Practical assessment must occur:</w:t>
            </w:r>
          </w:p>
          <w:p w:rsidR="00000000" w:rsidRPr="005E034E" w:rsidP="005E034E">
            <w:pPr>
              <w:pStyle w:val="ListBullet2"/>
            </w:pPr>
            <w:r w:rsidRPr="005E034E">
              <w:t>through activities in an appropriately simulated environment, and/or</w:t>
            </w:r>
          </w:p>
          <w:p w:rsidR="00000000" w:rsidRPr="005E034E" w:rsidP="005E034E">
            <w:pPr>
              <w:pStyle w:val="ListBullet2"/>
            </w:pPr>
            <w:r w:rsidRPr="005E034E">
              <w:t>in an appropriate range of situations in the workplace</w:t>
            </w:r>
          </w:p>
        </w:tc>
      </w:tr>
    </w:tbl>
    <w:p w:rsidR="008D6B50" w:rsidP="005E034E">
      <w:pPr>
        <w:pStyle w:val="BodyText"/>
      </w:pPr>
    </w:p>
    <w:p w:rsidR="008D6B50" w:rsidP="005E034E">
      <w:pPr>
        <w:pStyle w:val="BodyText"/>
      </w:pPr>
    </w:p>
    <w:p w:rsidR="00000000" w:rsidRPr="005E034E" w:rsidP="005E034E">
      <w:pPr>
        <w:pStyle w:val="Heading1"/>
      </w:pPr>
      <w:bookmarkStart w:id="11" w:name="O_255104"/>
      <w:bookmarkEnd w:id="11"/>
      <w:r w:rsidRPr="005E034E">
        <w:t>Range Statement</w:t>
      </w:r>
    </w:p>
    <w:tbl>
      <w:tblPr>
        <w:tblW w:w="9640" w:type="dxa"/>
        <w:tblLayout w:type="fixed"/>
        <w:tblCellMar>
          <w:left w:w="62" w:type="dxa"/>
          <w:right w:w="62" w:type="dxa"/>
        </w:tblCellMar>
        <w:tblLook w:val="0000"/>
      </w:tblPr>
      <w:tblGrid>
        <w:gridCol w:w="3486"/>
        <w:gridCol w:w="6154"/>
      </w:tblGrid>
      <w:tr w:rsidTr="008D6B5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rPr>
                <w:rStyle w:val="SpecialBold"/>
              </w:rPr>
              <w:t>RANGE STATEMENT</w:t>
            </w:r>
            <w:r w:rsidRPr="005E034E">
              <w:t xml:space="preserve"> </w:t>
            </w:r>
          </w:p>
        </w:tc>
      </w:tr>
      <w:tr w:rsidTr="008D6B5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t>The range statement relates to the unit of competency as a whole. It allows for different work environments and situations that may affect performance.</w:t>
            </w:r>
          </w:p>
        </w:tc>
      </w:tr>
      <w:tr w:rsidTr="008D6B5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t>Integrated logistic team or logistic elements may</w:t>
            </w:r>
            <w:r w:rsidRPr="005E034E">
              <w:t xml:space="preserve"> include:</w:t>
            </w:r>
          </w:p>
        </w:tc>
        <w:tc>
          <w:tcPr>
            <w:tcW w:w="6154" w:type="dxa"/>
            <w:tcBorders>
              <w:top w:val="nil"/>
              <w:left w:val="nil"/>
              <w:bottom w:val="nil"/>
              <w:right w:val="nil"/>
            </w:tcBorders>
            <w:tcMar>
              <w:top w:w="0" w:type="dxa"/>
              <w:left w:w="62" w:type="dxa"/>
              <w:bottom w:w="0" w:type="dxa"/>
              <w:right w:w="62" w:type="dxa"/>
            </w:tcMar>
          </w:tcPr>
          <w:p w:rsidR="00000000" w:rsidRPr="005E034E" w:rsidP="005E034E">
            <w:pPr>
              <w:pStyle w:val="ListBullet"/>
            </w:pPr>
            <w:r w:rsidRPr="005E034E">
              <w:t>a combined logistic team which may include:</w:t>
            </w:r>
          </w:p>
          <w:p w:rsidR="00000000" w:rsidRPr="005E034E" w:rsidP="005E034E">
            <w:pPr>
              <w:pStyle w:val="ListBullet2"/>
            </w:pPr>
            <w:r w:rsidRPr="005E034E">
              <w:t>maintenance support team</w:t>
            </w:r>
          </w:p>
          <w:p w:rsidR="00000000" w:rsidRPr="005E034E" w:rsidP="005E034E">
            <w:pPr>
              <w:pStyle w:val="ListBullet2"/>
            </w:pPr>
            <w:r w:rsidRPr="005E034E">
              <w:t>health support team</w:t>
            </w:r>
          </w:p>
          <w:p w:rsidR="00000000" w:rsidRPr="005E034E" w:rsidP="005E034E">
            <w:pPr>
              <w:pStyle w:val="ListBullet2"/>
            </w:pPr>
            <w:r w:rsidRPr="005E034E">
              <w:t>transport and distribution support team</w:t>
            </w:r>
          </w:p>
          <w:p w:rsidR="00000000" w:rsidRPr="005E034E" w:rsidP="005E034E">
            <w:pPr>
              <w:pStyle w:val="ListBullet2"/>
            </w:pPr>
            <w:r w:rsidRPr="005E034E">
              <w:t>supply support team</w:t>
            </w:r>
          </w:p>
          <w:p w:rsidR="00000000" w:rsidP="005E034E">
            <w:pPr>
              <w:pStyle w:val="ListBullet2"/>
              <w:rPr>
                <w:lang w:val="en-NZ"/>
              </w:rPr>
            </w:pPr>
            <w:r w:rsidRPr="005E034E">
              <w:t>catering support team</w:t>
            </w:r>
          </w:p>
        </w:tc>
      </w:tr>
      <w:tr w:rsidTr="008D6B5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t>Corporate training requirements may include:</w:t>
            </w:r>
          </w:p>
        </w:tc>
        <w:tc>
          <w:tcPr>
            <w:tcW w:w="6154" w:type="dxa"/>
            <w:tcBorders>
              <w:top w:val="nil"/>
              <w:left w:val="nil"/>
              <w:bottom w:val="nil"/>
              <w:right w:val="nil"/>
            </w:tcBorders>
            <w:tcMar>
              <w:top w:w="0" w:type="dxa"/>
              <w:left w:w="62" w:type="dxa"/>
              <w:bottom w:w="0" w:type="dxa"/>
              <w:right w:w="62" w:type="dxa"/>
            </w:tcMar>
          </w:tcPr>
          <w:p w:rsidR="00000000" w:rsidRPr="005E034E" w:rsidP="005E034E">
            <w:pPr>
              <w:pStyle w:val="ListBullet"/>
            </w:pPr>
            <w:r w:rsidRPr="005E034E">
              <w:t>medical/health training</w:t>
            </w:r>
          </w:p>
          <w:p w:rsidR="00000000" w:rsidRPr="005E034E" w:rsidP="005E034E">
            <w:pPr>
              <w:pStyle w:val="ListBullet"/>
            </w:pPr>
            <w:r w:rsidRPr="005E034E">
              <w:t>mission specific training</w:t>
            </w:r>
          </w:p>
          <w:p w:rsidR="00000000" w:rsidRPr="005E034E" w:rsidP="005E034E">
            <w:pPr>
              <w:pStyle w:val="ListBullet"/>
            </w:pPr>
            <w:r w:rsidRPr="005E034E">
              <w:t>team training</w:t>
            </w:r>
          </w:p>
          <w:p w:rsidR="00000000" w:rsidP="005E034E">
            <w:pPr>
              <w:pStyle w:val="ListBullet"/>
              <w:rPr>
                <w:lang w:val="en-NZ"/>
              </w:rPr>
            </w:pPr>
            <w:r w:rsidRPr="005E034E">
              <w:t>corporate governance training</w:t>
            </w:r>
          </w:p>
        </w:tc>
      </w:tr>
      <w:tr w:rsidTr="008D6B5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t>Equipment and stores may include:</w:t>
            </w:r>
          </w:p>
        </w:tc>
        <w:tc>
          <w:tcPr>
            <w:tcW w:w="6154" w:type="dxa"/>
            <w:tcBorders>
              <w:top w:val="nil"/>
              <w:left w:val="nil"/>
              <w:bottom w:val="nil"/>
              <w:right w:val="nil"/>
            </w:tcBorders>
            <w:tcMar>
              <w:top w:w="0" w:type="dxa"/>
              <w:left w:w="62" w:type="dxa"/>
              <w:bottom w:w="0" w:type="dxa"/>
              <w:right w:w="62" w:type="dxa"/>
            </w:tcMar>
          </w:tcPr>
          <w:p w:rsidR="00000000" w:rsidRPr="005E034E" w:rsidP="005E034E">
            <w:pPr>
              <w:pStyle w:val="ListBullet"/>
            </w:pPr>
            <w:r w:rsidRPr="005E034E">
              <w:t>vehicles</w:t>
            </w:r>
          </w:p>
          <w:p w:rsidR="00000000" w:rsidRPr="005E034E" w:rsidP="005E034E">
            <w:pPr>
              <w:pStyle w:val="ListBullet"/>
            </w:pPr>
            <w:r w:rsidRPr="005E034E">
              <w:t>trailers</w:t>
            </w:r>
          </w:p>
          <w:p w:rsidR="00000000" w:rsidRPr="005E034E" w:rsidP="005E034E">
            <w:pPr>
              <w:pStyle w:val="ListBullet"/>
            </w:pPr>
            <w:r w:rsidRPr="005E034E">
              <w:t>field accommodation</w:t>
            </w:r>
          </w:p>
          <w:p w:rsidR="00000000" w:rsidRPr="005E034E" w:rsidP="005E034E">
            <w:pPr>
              <w:pStyle w:val="ListBullet"/>
            </w:pPr>
            <w:r w:rsidRPr="005E034E">
              <w:t>materials handling equipment</w:t>
            </w:r>
          </w:p>
          <w:p w:rsidR="00000000" w:rsidRPr="005E034E" w:rsidP="005E034E">
            <w:pPr>
              <w:pStyle w:val="ListBullet"/>
            </w:pPr>
            <w:r w:rsidRPr="005E034E">
              <w:t>communication devices</w:t>
            </w:r>
          </w:p>
          <w:p w:rsidR="00000000" w:rsidRPr="005E034E" w:rsidP="005E034E">
            <w:pPr>
              <w:pStyle w:val="ListBullet"/>
            </w:pPr>
            <w:r w:rsidRPr="005E034E">
              <w:t>health supplies and equipment</w:t>
            </w:r>
          </w:p>
          <w:p w:rsidR="00000000" w:rsidRPr="005E034E" w:rsidP="005E034E">
            <w:pPr>
              <w:pStyle w:val="ListBullet"/>
            </w:pPr>
            <w:r w:rsidRPr="005E034E">
              <w:t>catering facilities</w:t>
            </w:r>
          </w:p>
          <w:p w:rsidR="00000000" w:rsidP="005E034E">
            <w:pPr>
              <w:pStyle w:val="ListBullet"/>
              <w:rPr>
                <w:lang w:val="en-NZ"/>
              </w:rPr>
            </w:pPr>
            <w:r w:rsidRPr="005E034E">
              <w:t>field maint</w:t>
            </w:r>
            <w:r w:rsidRPr="005E034E">
              <w:t>enance equipment</w:t>
            </w:r>
          </w:p>
        </w:tc>
      </w:tr>
      <w:tr w:rsidTr="008D6B5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t>Organisational requirements may include:</w:t>
            </w:r>
          </w:p>
        </w:tc>
        <w:tc>
          <w:tcPr>
            <w:tcW w:w="6154" w:type="dxa"/>
            <w:tcBorders>
              <w:top w:val="nil"/>
              <w:left w:val="nil"/>
              <w:bottom w:val="nil"/>
              <w:right w:val="nil"/>
            </w:tcBorders>
            <w:tcMar>
              <w:top w:w="0" w:type="dxa"/>
              <w:left w:w="62" w:type="dxa"/>
              <w:bottom w:w="0" w:type="dxa"/>
              <w:right w:w="62" w:type="dxa"/>
            </w:tcMar>
          </w:tcPr>
          <w:p w:rsidR="00000000" w:rsidRPr="005E034E" w:rsidP="005E034E">
            <w:pPr>
              <w:pStyle w:val="ListBullet"/>
            </w:pPr>
            <w:r w:rsidRPr="005E034E">
              <w:t>identification documents</w:t>
            </w:r>
          </w:p>
          <w:p w:rsidR="00000000" w:rsidRPr="005E034E" w:rsidP="005E034E">
            <w:pPr>
              <w:pStyle w:val="ListBullet"/>
            </w:pPr>
            <w:r w:rsidRPr="005E034E">
              <w:t>medical and dental clearances (including inoculations)</w:t>
            </w:r>
          </w:p>
          <w:p w:rsidR="00000000" w:rsidRPr="005E034E" w:rsidP="005E034E">
            <w:pPr>
              <w:pStyle w:val="ListBullet"/>
            </w:pPr>
            <w:r w:rsidRPr="005E034E">
              <w:t>phone, email and postal services</w:t>
            </w:r>
          </w:p>
          <w:p w:rsidR="00000000" w:rsidRPr="005E034E" w:rsidP="005E034E">
            <w:pPr>
              <w:pStyle w:val="ListBullet"/>
            </w:pPr>
            <w:r w:rsidRPr="005E034E">
              <w:t>pay and allowances briefs</w:t>
            </w:r>
          </w:p>
          <w:p w:rsidR="00000000" w:rsidRPr="005E034E" w:rsidP="005E034E">
            <w:pPr>
              <w:pStyle w:val="ListBullet"/>
            </w:pPr>
            <w:r w:rsidRPr="005E034E">
              <w:t>full birth certificate or citizenship requirements</w:t>
            </w:r>
          </w:p>
          <w:p w:rsidR="00000000" w:rsidRPr="005E034E" w:rsidP="005E034E">
            <w:pPr>
              <w:pStyle w:val="ListBullet"/>
            </w:pPr>
            <w:r w:rsidRPr="005E034E">
              <w:t>official secrecy requirements acknowledgement</w:t>
            </w:r>
          </w:p>
          <w:p w:rsidR="00000000" w:rsidRPr="005E034E" w:rsidP="005E034E">
            <w:pPr>
              <w:pStyle w:val="ListBullet"/>
            </w:pPr>
            <w:r w:rsidRPr="005E034E">
              <w:t>delegations</w:t>
            </w:r>
          </w:p>
          <w:p w:rsidR="00000000" w:rsidRPr="005E034E" w:rsidP="005E034E">
            <w:pPr>
              <w:pStyle w:val="ListBullet"/>
            </w:pPr>
            <w:r w:rsidRPr="005E034E">
              <w:t>relevant licences</w:t>
            </w:r>
          </w:p>
          <w:p w:rsidR="00000000" w:rsidRPr="005E034E" w:rsidP="005E034E">
            <w:pPr>
              <w:pStyle w:val="ListBullet"/>
            </w:pPr>
            <w:r w:rsidRPr="005E034E">
              <w:t>notification of death or injury arrangements</w:t>
            </w:r>
          </w:p>
          <w:p w:rsidR="00000000" w:rsidP="005E034E">
            <w:pPr>
              <w:pStyle w:val="ListBullet"/>
              <w:rPr>
                <w:lang w:val="en-NZ"/>
              </w:rPr>
            </w:pPr>
            <w:r w:rsidRPr="005E034E">
              <w:t>overseas notification form for electoral office</w:t>
            </w:r>
          </w:p>
        </w:tc>
      </w:tr>
      <w:tr w:rsidTr="008D6B5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t>Organisational policy and procedure may include:</w:t>
            </w:r>
          </w:p>
        </w:tc>
        <w:tc>
          <w:tcPr>
            <w:tcW w:w="6154" w:type="dxa"/>
            <w:tcBorders>
              <w:top w:val="nil"/>
              <w:left w:val="nil"/>
              <w:bottom w:val="nil"/>
              <w:right w:val="nil"/>
            </w:tcBorders>
            <w:tcMar>
              <w:top w:w="0" w:type="dxa"/>
              <w:left w:w="62" w:type="dxa"/>
              <w:bottom w:w="0" w:type="dxa"/>
              <w:right w:w="62" w:type="dxa"/>
            </w:tcMar>
          </w:tcPr>
          <w:p w:rsidR="00000000" w:rsidRPr="005E034E" w:rsidP="005E034E">
            <w:pPr>
              <w:pStyle w:val="ListBullet"/>
            </w:pPr>
            <w:r w:rsidRPr="005E034E">
              <w:t>instructions</w:t>
            </w:r>
          </w:p>
          <w:p w:rsidR="00000000" w:rsidRPr="005E034E" w:rsidP="005E034E">
            <w:pPr>
              <w:pStyle w:val="ListBullet"/>
            </w:pPr>
            <w:r w:rsidRPr="005E034E">
              <w:t>operating manuals</w:t>
            </w:r>
          </w:p>
          <w:p w:rsidR="00000000" w:rsidRPr="005E034E" w:rsidP="005E034E">
            <w:pPr>
              <w:pStyle w:val="ListBullet"/>
            </w:pPr>
            <w:r w:rsidRPr="005E034E">
              <w:t>standard operating procedures</w:t>
            </w:r>
          </w:p>
          <w:p w:rsidR="00000000" w:rsidRPr="005E034E" w:rsidP="005E034E">
            <w:pPr>
              <w:pStyle w:val="ListBullet"/>
            </w:pPr>
            <w:r w:rsidRPr="005E034E">
              <w:t>relevant Australian Standards</w:t>
            </w:r>
          </w:p>
          <w:p w:rsidR="00000000" w:rsidP="005E034E">
            <w:pPr>
              <w:pStyle w:val="ListBullet"/>
              <w:rPr>
                <w:lang w:val="en-NZ"/>
              </w:rPr>
            </w:pPr>
            <w:r w:rsidRPr="005E034E">
              <w:t>relevant Commonwealth Acts</w:t>
            </w:r>
          </w:p>
        </w:tc>
      </w:tr>
      <w:tr w:rsidTr="008D6B5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t>Relevant agencies may include:</w:t>
            </w:r>
          </w:p>
        </w:tc>
        <w:tc>
          <w:tcPr>
            <w:tcW w:w="6154" w:type="dxa"/>
            <w:tcBorders>
              <w:top w:val="nil"/>
              <w:left w:val="nil"/>
              <w:bottom w:val="nil"/>
              <w:right w:val="nil"/>
            </w:tcBorders>
            <w:tcMar>
              <w:top w:w="0" w:type="dxa"/>
              <w:left w:w="62" w:type="dxa"/>
              <w:bottom w:w="0" w:type="dxa"/>
              <w:right w:w="62" w:type="dxa"/>
            </w:tcMar>
          </w:tcPr>
          <w:p w:rsidR="00000000" w:rsidRPr="005E034E" w:rsidP="005E034E">
            <w:pPr>
              <w:pStyle w:val="ListBullet"/>
            </w:pPr>
            <w:r w:rsidRPr="005E034E">
              <w:t>Australian Customs</w:t>
            </w:r>
          </w:p>
          <w:p w:rsidR="00000000" w:rsidRPr="005E034E" w:rsidP="005E034E">
            <w:pPr>
              <w:pStyle w:val="ListBullet"/>
            </w:pPr>
            <w:r w:rsidRPr="005E034E">
              <w:t>Civil Aviation Authorities</w:t>
            </w:r>
          </w:p>
          <w:p w:rsidR="00000000" w:rsidRPr="005E034E" w:rsidP="005E034E">
            <w:pPr>
              <w:pStyle w:val="ListBullet"/>
            </w:pPr>
            <w:r w:rsidRPr="005E034E">
              <w:t>Port Authorities</w:t>
            </w:r>
          </w:p>
          <w:p w:rsidR="00000000" w:rsidRPr="005E034E" w:rsidP="005E034E">
            <w:pPr>
              <w:pStyle w:val="ListBullet"/>
            </w:pPr>
            <w:r w:rsidRPr="005E034E">
              <w:t>Australian Quarantine and Inspection Services</w:t>
            </w:r>
          </w:p>
          <w:p w:rsidR="00000000" w:rsidRPr="005E034E" w:rsidP="005E034E">
            <w:pPr>
              <w:pStyle w:val="ListBullet"/>
            </w:pPr>
            <w:r w:rsidRPr="005E034E">
              <w:t>headquarters/central office</w:t>
            </w:r>
          </w:p>
          <w:p w:rsidR="00000000" w:rsidP="005E034E">
            <w:pPr>
              <w:pStyle w:val="ListBullet"/>
              <w:rPr>
                <w:lang w:val="en-NZ"/>
              </w:rPr>
            </w:pPr>
            <w:r w:rsidRPr="005E034E">
              <w:t>other supporting organisations</w:t>
            </w:r>
          </w:p>
        </w:tc>
      </w:tr>
      <w:tr w:rsidTr="008D6B5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t>Siting may include:</w:t>
            </w:r>
          </w:p>
        </w:tc>
        <w:tc>
          <w:tcPr>
            <w:tcW w:w="6154" w:type="dxa"/>
            <w:tcBorders>
              <w:top w:val="nil"/>
              <w:left w:val="nil"/>
              <w:bottom w:val="nil"/>
              <w:right w:val="nil"/>
            </w:tcBorders>
            <w:tcMar>
              <w:top w:w="0" w:type="dxa"/>
              <w:left w:w="62" w:type="dxa"/>
              <w:bottom w:w="0" w:type="dxa"/>
              <w:right w:w="62" w:type="dxa"/>
            </w:tcMar>
          </w:tcPr>
          <w:p w:rsidR="00000000" w:rsidRPr="005E034E" w:rsidP="005E034E">
            <w:pPr>
              <w:pStyle w:val="ListBullet"/>
            </w:pPr>
            <w:r w:rsidRPr="005E034E">
              <w:t>the physical placement of logistic capabilities onto an area in order to achieve efficiency and functionality of the logistic support to be provided</w:t>
            </w:r>
          </w:p>
          <w:p w:rsidR="00000000" w:rsidRPr="005E034E" w:rsidP="005E034E">
            <w:pPr>
              <w:pStyle w:val="ListBullet"/>
            </w:pPr>
            <w:r w:rsidRPr="005E034E">
              <w:t>siting considerations may include:</w:t>
            </w:r>
          </w:p>
          <w:p w:rsidR="00000000" w:rsidRPr="005E034E" w:rsidP="005E034E">
            <w:pPr>
              <w:pStyle w:val="ListBullet2"/>
            </w:pPr>
            <w:r w:rsidRPr="005E034E">
              <w:t>access</w:t>
            </w:r>
          </w:p>
          <w:p w:rsidR="00000000" w:rsidRPr="005E034E" w:rsidP="005E034E">
            <w:pPr>
              <w:pStyle w:val="ListBullet2"/>
            </w:pPr>
            <w:r w:rsidRPr="005E034E">
              <w:t>ground</w:t>
            </w:r>
          </w:p>
          <w:p w:rsidR="00000000" w:rsidRPr="005E034E" w:rsidP="005E034E">
            <w:pPr>
              <w:pStyle w:val="ListBullet2"/>
            </w:pPr>
            <w:r w:rsidRPr="005E034E">
              <w:t>hard-standing</w:t>
            </w:r>
          </w:p>
          <w:p w:rsidR="00000000" w:rsidRPr="005E034E" w:rsidP="005E034E">
            <w:pPr>
              <w:pStyle w:val="ListBullet2"/>
            </w:pPr>
            <w:r w:rsidRPr="005E034E">
              <w:t>drainage</w:t>
            </w:r>
          </w:p>
          <w:p w:rsidR="00000000" w:rsidRPr="005E034E" w:rsidP="005E034E">
            <w:pPr>
              <w:pStyle w:val="ListBullet2"/>
            </w:pPr>
            <w:r w:rsidRPr="005E034E">
              <w:t>circuits</w:t>
            </w:r>
          </w:p>
          <w:p w:rsidR="00000000" w:rsidRPr="005E034E" w:rsidP="005E034E">
            <w:pPr>
              <w:pStyle w:val="ListBullet2"/>
            </w:pPr>
            <w:r w:rsidRPr="005E034E">
              <w:t>facilities and infrastructure</w:t>
            </w:r>
          </w:p>
          <w:p w:rsidR="00000000" w:rsidRPr="005E034E" w:rsidP="005E034E">
            <w:pPr>
              <w:pStyle w:val="ListBullet2"/>
            </w:pPr>
            <w:r w:rsidRPr="005E034E">
              <w:t>security</w:t>
            </w:r>
          </w:p>
          <w:p w:rsidR="00000000" w:rsidRPr="005E034E" w:rsidP="005E034E">
            <w:pPr>
              <w:pStyle w:val="ListBullet2"/>
            </w:pPr>
            <w:r w:rsidRPr="005E034E">
              <w:t>size</w:t>
            </w:r>
          </w:p>
        </w:tc>
      </w:tr>
    </w:tbl>
    <w:p w:rsidR="008D6B50" w:rsidP="005E034E">
      <w:pPr>
        <w:pStyle w:val="BodyText"/>
      </w:pPr>
    </w:p>
    <w:p w:rsidR="008D6B50" w:rsidP="005E034E">
      <w:pPr>
        <w:pStyle w:val="BodyText"/>
      </w:pPr>
    </w:p>
    <w:p w:rsidR="00000000" w:rsidRPr="005E034E" w:rsidP="005E034E">
      <w:pPr>
        <w:pStyle w:val="Heading1"/>
      </w:pPr>
      <w:bookmarkStart w:id="12" w:name="O_296117"/>
      <w:bookmarkEnd w:id="12"/>
      <w:r w:rsidRPr="005E034E">
        <w:t>Unit Sector(s)</w:t>
      </w:r>
    </w:p>
    <w:p w:rsidR="00000000" w:rsidRPr="005E034E" w:rsidP="005E034E">
      <w:pPr>
        <w:pStyle w:val="BodyText"/>
      </w:pPr>
      <w:r w:rsidRPr="005E034E">
        <w:t>Not Applicable</w:t>
      </w:r>
    </w:p>
    <w:p w:rsidR="00000000" w:rsidRPr="005E034E" w:rsidP="005E034E">
      <w:pPr>
        <w:pStyle w:val="AllowPageBreak"/>
      </w:pPr>
    </w:p>
    <w:p w:rsidR="00000000" w:rsidRPr="005E034E" w:rsidP="005E034E">
      <w:pPr>
        <w:pStyle w:val="Heading1"/>
      </w:pPr>
      <w:bookmarkStart w:id="13" w:name="O_224757"/>
      <w:bookmarkEnd w:id="13"/>
      <w:r w:rsidRPr="005E034E">
        <w:t>Competency Field</w:t>
      </w:r>
    </w:p>
    <w:tbl>
      <w:tblPr>
        <w:tblW w:w="9640" w:type="dxa"/>
        <w:tblLayout w:type="fixed"/>
        <w:tblCellMar>
          <w:left w:w="62" w:type="dxa"/>
          <w:right w:w="62" w:type="dxa"/>
        </w:tblCellMar>
        <w:tblLook w:val="0000"/>
      </w:tblPr>
      <w:tblGrid>
        <w:gridCol w:w="2978"/>
        <w:gridCol w:w="6662"/>
      </w:tblGrid>
      <w:tr w:rsidTr="008D6B5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E034E">
            <w:pPr>
              <w:pStyle w:val="BodyText"/>
              <w:rPr>
                <w:lang w:val="en-NZ"/>
              </w:rPr>
            </w:pPr>
            <w:r w:rsidRPr="005E034E">
              <w:rPr>
                <w:rStyle w:val="SpecialBold"/>
              </w:rPr>
              <w:t>Competency Field</w:t>
            </w:r>
            <w:r w:rsidRPr="005E034E">
              <w:t xml:space="preserve"> </w:t>
            </w:r>
          </w:p>
        </w:tc>
        <w:tc>
          <w:tcPr>
            <w:tcW w:w="6662" w:type="dxa"/>
            <w:tcBorders>
              <w:top w:val="nil"/>
              <w:left w:val="nil"/>
              <w:bottom w:val="nil"/>
              <w:right w:val="nil"/>
            </w:tcBorders>
            <w:tcMar>
              <w:top w:w="0" w:type="dxa"/>
              <w:left w:w="62" w:type="dxa"/>
              <w:bottom w:w="0" w:type="dxa"/>
              <w:right w:w="62" w:type="dxa"/>
            </w:tcMar>
          </w:tcPr>
          <w:p w:rsidR="00000000" w:rsidRPr="005E034E" w:rsidP="005E034E">
            <w:pPr>
              <w:pStyle w:val="BodyText"/>
            </w:pPr>
            <w:r w:rsidRPr="005E034E">
              <w:t>X - Logistics</w:t>
            </w:r>
          </w:p>
        </w:tc>
      </w:tr>
    </w:tbl>
    <w:p w:rsidR="008D6B50" w:rsidP="005E034E">
      <w:pPr>
        <w:pStyle w:val="BodyText"/>
      </w:pPr>
    </w:p>
    <w:p w:rsidR="008D6B50" w:rsidP="005E034E">
      <w:pPr>
        <w:pStyle w:val="BodyText"/>
      </w:pPr>
    </w:p>
    <w:p w:rsidR="00000000" w:rsidRPr="005E034E" w:rsidP="005E034E"/>
    <w:sectPr w:rsidSect="005E03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B50" w:rsidP="008D6B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B50" w:rsidP="005E0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6B50" w:rsidP="005E03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D6B50" w:rsidP="005E03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B50" w:rsidP="008D6B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B50" w:rsidP="005E034E">
    <w:pPr>
      <w:pStyle w:val="Header"/>
      <w:framePr w:wrap="around"/>
    </w:pPr>
    <w:r>
      <w:fldChar w:fldCharType="begin"/>
    </w:r>
    <w:r>
      <w:instrText xml:space="preserve"> TITLE   \* MERGEFORMAT </w:instrText>
    </w:r>
    <w:r>
      <w:fldChar w:fldCharType="separate"/>
    </w:r>
    <w:r>
      <w:t>TLIX6048A Manage the deployment and delivery of logistic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6B50" w:rsidP="005E03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70B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1C3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AD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3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034E"/>
    <w:pPr>
      <w:spacing w:before="360" w:after="60"/>
      <w:outlineLvl w:val="0"/>
    </w:pPr>
    <w:rPr>
      <w:sz w:val="32"/>
    </w:rPr>
  </w:style>
  <w:style w:type="paragraph" w:styleId="Heading2">
    <w:name w:val="heading 2"/>
    <w:basedOn w:val="HeadingBase"/>
    <w:next w:val="BodyText"/>
    <w:link w:val="Heading2Char"/>
    <w:qFormat/>
    <w:rsid w:val="005E034E"/>
    <w:pPr>
      <w:keepLines/>
      <w:spacing w:before="240" w:after="120"/>
      <w:outlineLvl w:val="1"/>
    </w:pPr>
    <w:rPr>
      <w:sz w:val="28"/>
      <w:szCs w:val="40"/>
    </w:rPr>
  </w:style>
  <w:style w:type="paragraph" w:styleId="Heading3">
    <w:name w:val="heading 3"/>
    <w:basedOn w:val="HeadingBase"/>
    <w:next w:val="BodyText"/>
    <w:link w:val="Heading3Char"/>
    <w:qFormat/>
    <w:rsid w:val="005E034E"/>
    <w:pPr>
      <w:spacing w:before="180" w:after="120"/>
      <w:outlineLvl w:val="2"/>
    </w:pPr>
    <w:rPr>
      <w:spacing w:val="-10"/>
      <w:kern w:val="32"/>
    </w:rPr>
  </w:style>
  <w:style w:type="paragraph" w:styleId="Heading4">
    <w:name w:val="heading 4"/>
    <w:basedOn w:val="HeadingBase"/>
    <w:next w:val="BodyText"/>
    <w:link w:val="Heading4Char"/>
    <w:qFormat/>
    <w:rsid w:val="005E034E"/>
    <w:pPr>
      <w:spacing w:before="160" w:after="120"/>
      <w:outlineLvl w:val="3"/>
    </w:pPr>
    <w:rPr>
      <w:sz w:val="22"/>
    </w:rPr>
  </w:style>
  <w:style w:type="paragraph" w:styleId="Heading5">
    <w:name w:val="heading 5"/>
    <w:basedOn w:val="HeadingBase"/>
    <w:next w:val="Normal"/>
    <w:link w:val="Heading5Char"/>
    <w:qFormat/>
    <w:rsid w:val="005E034E"/>
    <w:pPr>
      <w:spacing w:before="80"/>
      <w:outlineLvl w:val="4"/>
    </w:pPr>
    <w:rPr>
      <w:color w:val="918585"/>
      <w:sz w:val="20"/>
    </w:rPr>
  </w:style>
  <w:style w:type="paragraph" w:styleId="Heading6">
    <w:name w:val="heading 6"/>
    <w:basedOn w:val="HeadingBase"/>
    <w:next w:val="Normal"/>
    <w:link w:val="Heading6Char"/>
    <w:qFormat/>
    <w:rsid w:val="005E034E"/>
    <w:pPr>
      <w:spacing w:before="60"/>
      <w:outlineLvl w:val="5"/>
    </w:pPr>
    <w:rPr>
      <w:color w:val="918585"/>
      <w:sz w:val="20"/>
    </w:rPr>
  </w:style>
  <w:style w:type="paragraph" w:styleId="Heading7">
    <w:name w:val="heading 7"/>
    <w:basedOn w:val="Normal"/>
    <w:next w:val="Normal"/>
    <w:link w:val="Heading7Char"/>
    <w:qFormat/>
    <w:rsid w:val="005E034E"/>
    <w:pPr>
      <w:ind w:left="720"/>
      <w:outlineLvl w:val="6"/>
    </w:pPr>
    <w:rPr>
      <w:i/>
    </w:rPr>
  </w:style>
  <w:style w:type="paragraph" w:styleId="Heading8">
    <w:name w:val="heading 8"/>
    <w:basedOn w:val="Normal"/>
    <w:next w:val="Normal"/>
    <w:link w:val="Heading8Char"/>
    <w:qFormat/>
    <w:rsid w:val="005E034E"/>
    <w:pPr>
      <w:ind w:left="720"/>
      <w:outlineLvl w:val="7"/>
    </w:pPr>
    <w:rPr>
      <w:i/>
    </w:rPr>
  </w:style>
  <w:style w:type="paragraph" w:styleId="Heading9">
    <w:name w:val="heading 9"/>
    <w:basedOn w:val="Normal"/>
    <w:next w:val="Normal"/>
    <w:link w:val="Heading9Char"/>
    <w:qFormat/>
    <w:rsid w:val="005E034E"/>
    <w:pPr>
      <w:ind w:left="720"/>
      <w:outlineLvl w:val="8"/>
    </w:pPr>
    <w:rPr>
      <w:i/>
    </w:rPr>
  </w:style>
  <w:style w:type="character" w:default="1" w:styleId="DefaultParagraphFont">
    <w:name w:val="Default Paragraph Font"/>
    <w:uiPriority w:val="1"/>
    <w:unhideWhenUsed/>
    <w:rsid w:val="005E0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34E"/>
  </w:style>
  <w:style w:type="character" w:customStyle="1" w:styleId="Heading1Char">
    <w:name w:val="Heading 1 Char"/>
    <w:basedOn w:val="DefaultParagraphFont"/>
    <w:link w:val="Heading1"/>
    <w:rsid w:val="005E034E"/>
    <w:rPr>
      <w:rFonts w:ascii="Times New Roman" w:eastAsia="Times New Roman" w:hAnsi="Times New Roman" w:cs="Times New Roman"/>
      <w:b/>
      <w:sz w:val="32"/>
      <w:szCs w:val="20"/>
      <w:lang w:eastAsia="en-US"/>
    </w:rPr>
  </w:style>
  <w:style w:type="paragraph" w:styleId="BodyText">
    <w:name w:val="Body Text"/>
    <w:basedOn w:val="Normal"/>
    <w:link w:val="BodyTextChar"/>
    <w:rsid w:val="005E03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34E"/>
    <w:rPr>
      <w:rFonts w:ascii="Times New Roman" w:eastAsia="Times New Roman" w:hAnsi="Times New Roman" w:cs="Times New Roman"/>
      <w:sz w:val="24"/>
      <w:lang w:val="en-US" w:eastAsia="en-US"/>
    </w:rPr>
  </w:style>
  <w:style w:type="paragraph" w:styleId="Footer">
    <w:name w:val="footer"/>
    <w:basedOn w:val="Normal"/>
    <w:link w:val="FooterChar"/>
    <w:rsid w:val="005E0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34E"/>
    <w:rPr>
      <w:rFonts w:ascii="Times New Roman" w:eastAsia="Times New Roman" w:hAnsi="Times New Roman" w:cs="Times New Roman"/>
      <w:sz w:val="16"/>
      <w:lang w:val="en-US" w:eastAsia="en-US"/>
    </w:rPr>
  </w:style>
  <w:style w:type="paragraph" w:styleId="List">
    <w:name w:val="List"/>
    <w:basedOn w:val="BodyText"/>
    <w:next w:val="BodyText"/>
    <w:rsid w:val="005E034E"/>
    <w:pPr>
      <w:tabs>
        <w:tab w:val="left" w:pos="340"/>
      </w:tabs>
      <w:spacing w:before="60" w:after="60"/>
      <w:ind w:left="340" w:hanging="340"/>
    </w:pPr>
  </w:style>
  <w:style w:type="paragraph" w:styleId="ListBullet">
    <w:name w:val="List Bullet"/>
    <w:basedOn w:val="List"/>
    <w:rsid w:val="005E034E"/>
    <w:pPr>
      <w:numPr>
        <w:numId w:val="13"/>
      </w:numPr>
      <w:tabs>
        <w:tab w:val="clear" w:pos="340"/>
      </w:tabs>
      <w:spacing w:before="40" w:after="40"/>
    </w:pPr>
  </w:style>
  <w:style w:type="character" w:customStyle="1" w:styleId="SpecialBold">
    <w:name w:val="Special Bold"/>
    <w:basedOn w:val="DefaultParagraphFont"/>
    <w:rsid w:val="005E034E"/>
    <w:rPr>
      <w:b/>
      <w:spacing w:val="0"/>
    </w:rPr>
  </w:style>
  <w:style w:type="paragraph" w:styleId="ListBullet2">
    <w:name w:val="List Bullet 2"/>
    <w:basedOn w:val="List2"/>
    <w:rsid w:val="005E034E"/>
    <w:pPr>
      <w:numPr>
        <w:numId w:val="14"/>
      </w:numPr>
      <w:tabs>
        <w:tab w:val="clear" w:pos="680"/>
      </w:tabs>
    </w:pPr>
  </w:style>
  <w:style w:type="paragraph" w:styleId="Header">
    <w:name w:val="header"/>
    <w:basedOn w:val="Normal"/>
    <w:link w:val="HeaderChar"/>
    <w:rsid w:val="005E0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3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034E"/>
    <w:pPr>
      <w:spacing w:before="240" w:after="120"/>
      <w:outlineLvl w:val="0"/>
    </w:pPr>
    <w:rPr>
      <w:rFonts w:ascii="Times New Roman" w:hAnsi="Times New Roman"/>
      <w:b/>
      <w:sz w:val="28"/>
    </w:rPr>
  </w:style>
  <w:style w:type="paragraph" w:customStyle="1" w:styleId="AllowPageBreak">
    <w:name w:val="AllowPageBreak"/>
    <w:rsid w:val="005E03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0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3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03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034E"/>
    <w:rPr>
      <w:rFonts w:ascii="Courier New" w:eastAsia="Times New Roman" w:hAnsi="Courier New" w:cs="Times New Roman"/>
      <w:i/>
      <w:szCs w:val="20"/>
      <w:lang w:val="en-US" w:eastAsia="en-US"/>
    </w:rPr>
  </w:style>
  <w:style w:type="paragraph" w:customStyle="1" w:styleId="HeadingBase">
    <w:name w:val="Heading Base"/>
    <w:rsid w:val="005E0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34E"/>
    <w:pPr>
      <w:tabs>
        <w:tab w:val="right" w:leader="dot" w:pos="9072"/>
      </w:tabs>
      <w:ind w:left="567"/>
    </w:pPr>
    <w:rPr>
      <w:szCs w:val="22"/>
    </w:rPr>
  </w:style>
  <w:style w:type="paragraph" w:customStyle="1" w:styleId="TOCBase">
    <w:name w:val="TOC Base"/>
    <w:rsid w:val="005E0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34E"/>
    <w:pPr>
      <w:tabs>
        <w:tab w:val="right" w:leader="dot" w:pos="9072"/>
      </w:tabs>
      <w:spacing w:before="40" w:after="40"/>
      <w:ind w:left="284"/>
    </w:pPr>
    <w:rPr>
      <w:rFonts w:ascii="Times New Roman" w:hAnsi="Times New Roman"/>
    </w:rPr>
  </w:style>
  <w:style w:type="paragraph" w:styleId="TOC1">
    <w:name w:val="toc 1"/>
    <w:basedOn w:val="TOCBase"/>
    <w:next w:val="Normal"/>
    <w:rsid w:val="005E03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034E"/>
    <w:pPr>
      <w:spacing w:before="5040"/>
      <w:jc w:val="center"/>
    </w:pPr>
    <w:rPr>
      <w:sz w:val="48"/>
      <w:szCs w:val="72"/>
      <w:lang w:val="en-US"/>
    </w:rPr>
  </w:style>
  <w:style w:type="character" w:customStyle="1" w:styleId="TitleChar">
    <w:name w:val="Title Char"/>
    <w:basedOn w:val="DefaultParagraphFont"/>
    <w:link w:val="Title"/>
    <w:rsid w:val="005E0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34E"/>
    <w:pPr>
      <w:tabs>
        <w:tab w:val="left" w:pos="3600"/>
        <w:tab w:val="left" w:pos="3958"/>
      </w:tabs>
    </w:pPr>
  </w:style>
  <w:style w:type="paragraph" w:customStyle="1" w:styleId="Note">
    <w:name w:val="Note"/>
    <w:basedOn w:val="BodyText"/>
    <w:rsid w:val="005E0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34E"/>
    <w:pPr>
      <w:framePr w:wrap="auto" w:hAnchor="text" w:y="6049"/>
    </w:pPr>
    <w:rPr>
      <w:color w:val="000000"/>
      <w:sz w:val="40"/>
    </w:rPr>
  </w:style>
  <w:style w:type="paragraph" w:customStyle="1" w:styleId="TOCTitle">
    <w:name w:val="TOCTitle"/>
    <w:basedOn w:val="Heading1"/>
    <w:rsid w:val="005E034E"/>
    <w:pPr>
      <w:spacing w:after="240"/>
      <w:jc w:val="center"/>
      <w:outlineLvl w:val="9"/>
    </w:pPr>
    <w:rPr>
      <w:caps/>
    </w:rPr>
  </w:style>
  <w:style w:type="paragraph" w:customStyle="1" w:styleId="Version">
    <w:name w:val="Version"/>
    <w:rsid w:val="005E03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34E"/>
    <w:pPr>
      <w:keepNext w:val="0"/>
      <w:tabs>
        <w:tab w:val="right" w:pos="4176"/>
      </w:tabs>
      <w:ind w:left="198" w:hanging="198"/>
    </w:pPr>
    <w:rPr>
      <w:rFonts w:ascii="Garamond" w:hAnsi="Garamond"/>
    </w:rPr>
  </w:style>
  <w:style w:type="paragraph" w:styleId="IndexHeading">
    <w:name w:val="index heading"/>
    <w:basedOn w:val="Normal"/>
    <w:next w:val="Index1"/>
    <w:semiHidden/>
    <w:rsid w:val="005E034E"/>
    <w:pPr>
      <w:spacing w:before="120" w:after="120"/>
    </w:pPr>
    <w:rPr>
      <w:rFonts w:ascii="Arial" w:hAnsi="Arial"/>
      <w:b/>
      <w:color w:val="918585"/>
      <w:sz w:val="24"/>
    </w:rPr>
  </w:style>
  <w:style w:type="paragraph" w:customStyle="1" w:styleId="Chapter">
    <w:name w:val="Chapter"/>
    <w:basedOn w:val="Normal"/>
    <w:rsid w:val="005E034E"/>
    <w:pPr>
      <w:spacing w:before="240"/>
    </w:pPr>
    <w:rPr>
      <w:rFonts w:ascii="Times New Roman" w:hAnsi="Times New Roman"/>
      <w:smallCaps/>
      <w:spacing w:val="80"/>
      <w:sz w:val="28"/>
    </w:rPr>
  </w:style>
  <w:style w:type="paragraph" w:customStyle="1" w:styleId="InChapter">
    <w:name w:val="InChapter"/>
    <w:basedOn w:val="Heading3"/>
    <w:rsid w:val="005E034E"/>
    <w:pPr>
      <w:spacing w:after="240"/>
      <w:outlineLvl w:val="9"/>
    </w:pPr>
    <w:rPr>
      <w:noProof/>
    </w:rPr>
  </w:style>
  <w:style w:type="paragraph" w:styleId="Index2">
    <w:name w:val="index 2"/>
    <w:basedOn w:val="Normal"/>
    <w:next w:val="Normal"/>
    <w:semiHidden/>
    <w:rsid w:val="005E034E"/>
    <w:pPr>
      <w:tabs>
        <w:tab w:val="right" w:pos="4176"/>
      </w:tabs>
      <w:ind w:left="568" w:hanging="284"/>
    </w:pPr>
    <w:rPr>
      <w:rFonts w:ascii="Garamond" w:hAnsi="Garamond"/>
    </w:rPr>
  </w:style>
  <w:style w:type="paragraph" w:customStyle="1" w:styleId="Byline">
    <w:name w:val="Byline"/>
    <w:rsid w:val="005E0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34E"/>
    <w:pPr>
      <w:tabs>
        <w:tab w:val="clear" w:pos="3600"/>
        <w:tab w:val="clear" w:pos="3958"/>
      </w:tabs>
      <w:jc w:val="right"/>
    </w:pPr>
  </w:style>
  <w:style w:type="character" w:styleId="Emphasis">
    <w:name w:val="Emphasis"/>
    <w:basedOn w:val="DefaultParagraphFont"/>
    <w:qFormat/>
    <w:rsid w:val="005E034E"/>
    <w:rPr>
      <w:i/>
    </w:rPr>
  </w:style>
  <w:style w:type="paragraph" w:styleId="Caption">
    <w:name w:val="caption"/>
    <w:basedOn w:val="BodyText"/>
    <w:next w:val="Normal"/>
    <w:qFormat/>
    <w:rsid w:val="005E034E"/>
    <w:pPr>
      <w:framePr w:w="2268" w:hSpace="181" w:vSpace="181" w:wrap="around" w:vAnchor="text" w:hAnchor="page" w:x="1135" w:y="285" w:anchorLock="1"/>
    </w:pPr>
    <w:rPr>
      <w:i/>
    </w:rPr>
  </w:style>
  <w:style w:type="paragraph" w:customStyle="1" w:styleId="MiniTOCTitle">
    <w:name w:val="MiniTOCTitle"/>
    <w:basedOn w:val="Heading4"/>
    <w:rsid w:val="005E034E"/>
    <w:pPr>
      <w:spacing w:before="240"/>
      <w:outlineLvl w:val="9"/>
    </w:pPr>
    <w:rPr>
      <w:noProof/>
      <w:sz w:val="24"/>
    </w:rPr>
  </w:style>
  <w:style w:type="paragraph" w:customStyle="1" w:styleId="MiniTOCItem">
    <w:name w:val="MiniTOCItem"/>
    <w:basedOn w:val="ListBullet"/>
    <w:rsid w:val="005E034E"/>
    <w:pPr>
      <w:numPr>
        <w:numId w:val="0"/>
      </w:numPr>
      <w:tabs>
        <w:tab w:val="right" w:leader="dot" w:pos="6521"/>
      </w:tabs>
      <w:spacing w:before="0" w:after="0"/>
    </w:pPr>
  </w:style>
  <w:style w:type="paragraph" w:customStyle="1" w:styleId="TOFTitle">
    <w:name w:val="TOFTitle"/>
    <w:basedOn w:val="TOCTitle"/>
    <w:rsid w:val="005E034E"/>
  </w:style>
  <w:style w:type="paragraph" w:styleId="TableofFigures">
    <w:name w:val="table of figures"/>
    <w:basedOn w:val="Normal"/>
    <w:next w:val="Normal"/>
    <w:semiHidden/>
    <w:rsid w:val="005E034E"/>
    <w:pPr>
      <w:tabs>
        <w:tab w:val="right" w:leader="dot" w:pos="9072"/>
      </w:tabs>
      <w:ind w:left="970" w:hanging="403"/>
    </w:pPr>
    <w:rPr>
      <w:rFonts w:ascii="Times New Roman" w:hAnsi="Times New Roman"/>
      <w:b/>
    </w:rPr>
  </w:style>
  <w:style w:type="paragraph" w:styleId="ListNumber">
    <w:name w:val="List Number"/>
    <w:basedOn w:val="List"/>
    <w:rsid w:val="005E034E"/>
    <w:pPr>
      <w:numPr>
        <w:numId w:val="11"/>
      </w:numPr>
    </w:pPr>
  </w:style>
  <w:style w:type="character" w:customStyle="1" w:styleId="WingdingSymbols">
    <w:name w:val="Wingding Symbols"/>
    <w:rsid w:val="005E034E"/>
    <w:rPr>
      <w:rFonts w:ascii="Wingdings" w:hAnsi="Wingdings"/>
    </w:rPr>
  </w:style>
  <w:style w:type="paragraph" w:customStyle="1" w:styleId="TableHeading">
    <w:name w:val="Table Heading"/>
    <w:basedOn w:val="HeadingBase"/>
    <w:rsid w:val="005E034E"/>
    <w:pPr>
      <w:keepLines/>
      <w:pBdr>
        <w:bottom w:val="single" w:sz="6" w:space="1" w:color="918585"/>
      </w:pBdr>
      <w:spacing w:before="240"/>
    </w:pPr>
  </w:style>
  <w:style w:type="character" w:customStyle="1" w:styleId="HotSpot">
    <w:name w:val="HotSpot"/>
    <w:rsid w:val="005E034E"/>
    <w:rPr>
      <w:color w:val="0033CC"/>
      <w:u w:val="none"/>
    </w:rPr>
  </w:style>
  <w:style w:type="paragraph" w:customStyle="1" w:styleId="BodyTextRight">
    <w:name w:val="Body Text Right"/>
    <w:basedOn w:val="BodyText"/>
    <w:rsid w:val="005E034E"/>
    <w:pPr>
      <w:spacing w:before="0" w:after="0"/>
      <w:jc w:val="right"/>
    </w:pPr>
  </w:style>
  <w:style w:type="paragraph" w:styleId="Index3">
    <w:name w:val="index 3"/>
    <w:basedOn w:val="ListNumber2"/>
    <w:next w:val="Normal"/>
    <w:semiHidden/>
    <w:rsid w:val="005E034E"/>
    <w:pPr>
      <w:numPr>
        <w:numId w:val="0"/>
      </w:numPr>
      <w:tabs>
        <w:tab w:val="right" w:leader="dot" w:pos="4176"/>
      </w:tabs>
    </w:pPr>
  </w:style>
  <w:style w:type="paragraph" w:styleId="ListNumber2">
    <w:name w:val="List Number 2"/>
    <w:basedOn w:val="List2"/>
    <w:rsid w:val="005E034E"/>
    <w:pPr>
      <w:numPr>
        <w:numId w:val="10"/>
      </w:numPr>
      <w:tabs>
        <w:tab w:val="clear" w:pos="1060"/>
      </w:tabs>
    </w:pPr>
  </w:style>
  <w:style w:type="paragraph" w:customStyle="1" w:styleId="MarginNote">
    <w:name w:val="Margin Note"/>
    <w:basedOn w:val="BodyText"/>
    <w:rsid w:val="005E0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3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034E"/>
    <w:rPr>
      <w:sz w:val="32"/>
    </w:rPr>
  </w:style>
  <w:style w:type="paragraph" w:customStyle="1" w:styleId="HeadingProcedure">
    <w:name w:val="Heading Procedure"/>
    <w:basedOn w:val="HeadingBase"/>
    <w:next w:val="Normal"/>
    <w:rsid w:val="005E034E"/>
    <w:pPr>
      <w:tabs>
        <w:tab w:val="left" w:pos="0"/>
      </w:tabs>
      <w:spacing w:before="120" w:after="60"/>
    </w:pPr>
    <w:rPr>
      <w:i/>
      <w:color w:val="918585"/>
      <w:sz w:val="22"/>
    </w:rPr>
  </w:style>
  <w:style w:type="paragraph" w:customStyle="1" w:styleId="TableBodyText">
    <w:name w:val="Table Body Text"/>
    <w:basedOn w:val="BodyText"/>
    <w:rsid w:val="005E034E"/>
    <w:pPr>
      <w:spacing w:before="60" w:after="60"/>
    </w:pPr>
  </w:style>
  <w:style w:type="paragraph" w:styleId="ListContinue">
    <w:name w:val="List Continue"/>
    <w:basedOn w:val="List"/>
    <w:rsid w:val="005E034E"/>
    <w:pPr>
      <w:ind w:firstLine="0"/>
    </w:pPr>
  </w:style>
  <w:style w:type="paragraph" w:customStyle="1" w:styleId="ListNote">
    <w:name w:val="List Note"/>
    <w:basedOn w:val="List"/>
    <w:rsid w:val="005E034E"/>
    <w:pPr>
      <w:pBdr>
        <w:top w:val="single" w:sz="6" w:space="2" w:color="918585"/>
        <w:bottom w:val="single" w:sz="6" w:space="2" w:color="918585"/>
      </w:pBdr>
      <w:tabs>
        <w:tab w:val="left" w:pos="1021"/>
      </w:tabs>
      <w:ind w:firstLine="0"/>
    </w:pPr>
  </w:style>
  <w:style w:type="paragraph" w:customStyle="1" w:styleId="Warning">
    <w:name w:val="Warning"/>
    <w:basedOn w:val="BodyText"/>
    <w:rsid w:val="005E034E"/>
    <w:pPr>
      <w:shd w:val="clear" w:color="auto" w:fill="D9D9D9"/>
      <w:tabs>
        <w:tab w:val="left" w:pos="992"/>
      </w:tabs>
      <w:ind w:left="119" w:right="119"/>
    </w:pPr>
    <w:rPr>
      <w:sz w:val="20"/>
    </w:rPr>
  </w:style>
  <w:style w:type="paragraph" w:customStyle="1" w:styleId="MarginIcons">
    <w:name w:val="Margin Icons"/>
    <w:basedOn w:val="BodyText"/>
    <w:rsid w:val="005E0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34E"/>
    <w:rPr>
      <w:rFonts w:ascii="Courier New" w:hAnsi="Courier New"/>
    </w:rPr>
  </w:style>
  <w:style w:type="paragraph" w:customStyle="1" w:styleId="NoteBullet">
    <w:name w:val="Note Bullet"/>
    <w:basedOn w:val="Note"/>
    <w:rsid w:val="005E034E"/>
    <w:pPr>
      <w:tabs>
        <w:tab w:val="clear" w:pos="680"/>
      </w:tabs>
      <w:spacing w:before="60" w:after="60"/>
    </w:pPr>
  </w:style>
  <w:style w:type="paragraph" w:customStyle="1" w:styleId="SubHeading2">
    <w:name w:val="SubHeading2"/>
    <w:basedOn w:val="HeadingBase"/>
    <w:rsid w:val="005E034E"/>
    <w:pPr>
      <w:spacing w:before="240" w:after="60"/>
    </w:pPr>
    <w:rPr>
      <w:sz w:val="20"/>
    </w:rPr>
  </w:style>
  <w:style w:type="paragraph" w:customStyle="1" w:styleId="SubHeading1">
    <w:name w:val="SubHeading1"/>
    <w:basedOn w:val="HeadingBase"/>
    <w:rsid w:val="005E034E"/>
    <w:pPr>
      <w:spacing w:before="240" w:after="60"/>
    </w:pPr>
    <w:rPr>
      <w:color w:val="918585"/>
      <w:sz w:val="22"/>
    </w:rPr>
  </w:style>
  <w:style w:type="paragraph" w:customStyle="1" w:styleId="SideHeading">
    <w:name w:val="Side Heading"/>
    <w:basedOn w:val="HeadingBase"/>
    <w:rsid w:val="005E0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34E"/>
    <w:pPr>
      <w:numPr>
        <w:numId w:val="12"/>
      </w:numPr>
    </w:pPr>
  </w:style>
  <w:style w:type="paragraph" w:styleId="PlainText">
    <w:name w:val="Plain Text"/>
    <w:basedOn w:val="Normal"/>
    <w:link w:val="PlainTextChar"/>
    <w:rsid w:val="005E034E"/>
    <w:rPr>
      <w:sz w:val="20"/>
    </w:rPr>
  </w:style>
  <w:style w:type="character" w:customStyle="1" w:styleId="PlainTextChar">
    <w:name w:val="Plain Text Char"/>
    <w:basedOn w:val="DefaultParagraphFont"/>
    <w:link w:val="PlainText"/>
    <w:rsid w:val="005E03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034E"/>
    <w:rPr>
      <w:b/>
      <w:smallCaps/>
    </w:rPr>
  </w:style>
  <w:style w:type="paragraph" w:customStyle="1" w:styleId="TableListNumber">
    <w:name w:val="Table List Number"/>
    <w:basedOn w:val="ListNumber"/>
    <w:rsid w:val="005E034E"/>
    <w:pPr>
      <w:numPr>
        <w:numId w:val="0"/>
      </w:numPr>
    </w:pPr>
  </w:style>
  <w:style w:type="paragraph" w:styleId="TOC4">
    <w:name w:val="toc 4"/>
    <w:basedOn w:val="TOCBase"/>
    <w:next w:val="Normal"/>
    <w:semiHidden/>
    <w:rsid w:val="005E034E"/>
    <w:pPr>
      <w:tabs>
        <w:tab w:val="right" w:leader="dot" w:pos="9071"/>
      </w:tabs>
      <w:ind w:left="1701"/>
    </w:pPr>
  </w:style>
  <w:style w:type="paragraph" w:customStyle="1" w:styleId="ListAlpha">
    <w:name w:val="List Alpha"/>
    <w:basedOn w:val="List"/>
    <w:rsid w:val="005E034E"/>
    <w:pPr>
      <w:numPr>
        <w:numId w:val="9"/>
      </w:numPr>
    </w:pPr>
  </w:style>
  <w:style w:type="paragraph" w:customStyle="1" w:styleId="ListAlpha2">
    <w:name w:val="List Alpha 2"/>
    <w:basedOn w:val="List2"/>
    <w:rsid w:val="005E034E"/>
    <w:pPr>
      <w:numPr>
        <w:numId w:val="8"/>
      </w:numPr>
    </w:pPr>
  </w:style>
  <w:style w:type="paragraph" w:styleId="List2">
    <w:name w:val="List 2"/>
    <w:basedOn w:val="BodyText"/>
    <w:rsid w:val="005E034E"/>
    <w:pPr>
      <w:tabs>
        <w:tab w:val="left" w:pos="680"/>
      </w:tabs>
      <w:spacing w:before="60" w:after="60"/>
      <w:ind w:left="680" w:hanging="340"/>
    </w:pPr>
  </w:style>
  <w:style w:type="paragraph" w:styleId="List3">
    <w:name w:val="List 3"/>
    <w:basedOn w:val="BodyText"/>
    <w:rsid w:val="005E034E"/>
    <w:pPr>
      <w:tabs>
        <w:tab w:val="left" w:pos="1021"/>
      </w:tabs>
      <w:spacing w:before="60" w:after="60"/>
      <w:ind w:left="1020" w:hanging="340"/>
    </w:pPr>
  </w:style>
  <w:style w:type="paragraph" w:styleId="List4">
    <w:name w:val="List 4"/>
    <w:basedOn w:val="BodyText"/>
    <w:rsid w:val="005E034E"/>
    <w:pPr>
      <w:tabs>
        <w:tab w:val="left" w:pos="1361"/>
      </w:tabs>
      <w:spacing w:before="60" w:after="60"/>
      <w:ind w:left="1361" w:hanging="340"/>
    </w:pPr>
  </w:style>
  <w:style w:type="paragraph" w:styleId="List5">
    <w:name w:val="List 5"/>
    <w:basedOn w:val="BodyText"/>
    <w:rsid w:val="005E034E"/>
    <w:pPr>
      <w:tabs>
        <w:tab w:val="left" w:pos="1701"/>
      </w:tabs>
      <w:spacing w:before="60" w:after="60"/>
      <w:ind w:left="1701" w:hanging="340"/>
    </w:pPr>
  </w:style>
  <w:style w:type="paragraph" w:styleId="ListBullet3">
    <w:name w:val="List Bullet 3"/>
    <w:basedOn w:val="List3"/>
    <w:rsid w:val="005E034E"/>
    <w:pPr>
      <w:numPr>
        <w:numId w:val="15"/>
      </w:numPr>
      <w:tabs>
        <w:tab w:val="clear" w:pos="1021"/>
      </w:tabs>
      <w:ind w:left="1037" w:hanging="357"/>
    </w:pPr>
  </w:style>
  <w:style w:type="paragraph" w:styleId="ListBullet4">
    <w:name w:val="List Bullet 4"/>
    <w:basedOn w:val="List4"/>
    <w:rsid w:val="005E034E"/>
    <w:pPr>
      <w:numPr>
        <w:numId w:val="3"/>
      </w:numPr>
    </w:pPr>
  </w:style>
  <w:style w:type="paragraph" w:styleId="ListBullet5">
    <w:name w:val="List Bullet 5"/>
    <w:basedOn w:val="List5"/>
    <w:rsid w:val="005E034E"/>
    <w:pPr>
      <w:numPr>
        <w:numId w:val="4"/>
      </w:numPr>
    </w:pPr>
  </w:style>
  <w:style w:type="paragraph" w:styleId="ListContinue2">
    <w:name w:val="List Continue 2"/>
    <w:basedOn w:val="List2"/>
    <w:rsid w:val="005E034E"/>
    <w:pPr>
      <w:ind w:firstLine="0"/>
    </w:pPr>
  </w:style>
  <w:style w:type="paragraph" w:styleId="ListContinue3">
    <w:name w:val="List Continue 3"/>
    <w:basedOn w:val="List3"/>
    <w:rsid w:val="005E034E"/>
    <w:pPr>
      <w:ind w:left="1021" w:firstLine="0"/>
    </w:pPr>
  </w:style>
  <w:style w:type="paragraph" w:styleId="ListContinue4">
    <w:name w:val="List Continue 4"/>
    <w:basedOn w:val="List4"/>
    <w:rsid w:val="005E034E"/>
    <w:pPr>
      <w:ind w:firstLine="0"/>
    </w:pPr>
  </w:style>
  <w:style w:type="paragraph" w:styleId="ListContinue5">
    <w:name w:val="List Continue 5"/>
    <w:basedOn w:val="List5"/>
    <w:rsid w:val="005E034E"/>
    <w:pPr>
      <w:ind w:firstLine="0"/>
    </w:pPr>
  </w:style>
  <w:style w:type="paragraph" w:styleId="ListNumber3">
    <w:name w:val="List Number 3"/>
    <w:basedOn w:val="List3"/>
    <w:rsid w:val="005E034E"/>
    <w:pPr>
      <w:numPr>
        <w:numId w:val="5"/>
      </w:numPr>
    </w:pPr>
  </w:style>
  <w:style w:type="paragraph" w:styleId="ListNumber4">
    <w:name w:val="List Number 4"/>
    <w:basedOn w:val="List4"/>
    <w:rsid w:val="005E034E"/>
    <w:pPr>
      <w:numPr>
        <w:numId w:val="6"/>
      </w:numPr>
    </w:pPr>
  </w:style>
  <w:style w:type="paragraph" w:styleId="ListNumber5">
    <w:name w:val="List Number 5"/>
    <w:basedOn w:val="List5"/>
    <w:rsid w:val="005E034E"/>
    <w:pPr>
      <w:numPr>
        <w:numId w:val="7"/>
      </w:numPr>
    </w:pPr>
  </w:style>
  <w:style w:type="paragraph" w:styleId="BlockText">
    <w:name w:val="Block Text"/>
    <w:basedOn w:val="Normal"/>
    <w:rsid w:val="005E034E"/>
    <w:pPr>
      <w:spacing w:after="120"/>
      <w:ind w:left="1440" w:right="1440"/>
    </w:pPr>
  </w:style>
  <w:style w:type="character" w:customStyle="1" w:styleId="Subscript">
    <w:name w:val="Subscript"/>
    <w:basedOn w:val="DefaultParagraphFont"/>
    <w:rsid w:val="005E034E"/>
    <w:rPr>
      <w:sz w:val="16"/>
      <w:vertAlign w:val="subscript"/>
    </w:rPr>
  </w:style>
  <w:style w:type="character" w:customStyle="1" w:styleId="Superscript">
    <w:name w:val="Superscript"/>
    <w:basedOn w:val="DefaultParagraphFont"/>
    <w:rsid w:val="005E034E"/>
    <w:rPr>
      <w:sz w:val="16"/>
      <w:vertAlign w:val="superscript"/>
    </w:rPr>
  </w:style>
  <w:style w:type="character" w:customStyle="1" w:styleId="Symbols">
    <w:name w:val="Symbols"/>
    <w:basedOn w:val="DefaultParagraphFont"/>
    <w:rsid w:val="005E034E"/>
    <w:rPr>
      <w:rFonts w:ascii="Symbol" w:hAnsi="Symbol"/>
    </w:rPr>
  </w:style>
  <w:style w:type="character" w:customStyle="1" w:styleId="MenuOptions">
    <w:name w:val="Menu Options"/>
    <w:basedOn w:val="DefaultParagraphFont"/>
    <w:rsid w:val="005E034E"/>
    <w:rPr>
      <w:rFonts w:ascii="Arial Narrow" w:hAnsi="Arial Narrow"/>
      <w:smallCaps/>
    </w:rPr>
  </w:style>
  <w:style w:type="character" w:customStyle="1" w:styleId="Buttons">
    <w:name w:val="Buttons"/>
    <w:basedOn w:val="DefaultParagraphFont"/>
    <w:rsid w:val="005E034E"/>
    <w:rPr>
      <w:b/>
    </w:rPr>
  </w:style>
  <w:style w:type="character" w:customStyle="1" w:styleId="Underlined">
    <w:name w:val="Underlined"/>
    <w:basedOn w:val="DefaultParagraphFont"/>
    <w:rsid w:val="005E034E"/>
    <w:rPr>
      <w:u w:val="single"/>
    </w:rPr>
  </w:style>
  <w:style w:type="paragraph" w:customStyle="1" w:styleId="TableBodyTextRight">
    <w:name w:val="Table Body Text Right"/>
    <w:basedOn w:val="TableBodyText"/>
    <w:rsid w:val="005E034E"/>
    <w:pPr>
      <w:widowControl w:val="0"/>
      <w:autoSpaceDE w:val="0"/>
      <w:autoSpaceDN w:val="0"/>
      <w:adjustRightInd w:val="0"/>
      <w:jc w:val="right"/>
    </w:pPr>
    <w:rPr>
      <w:rFonts w:cs="Arial"/>
      <w:szCs w:val="18"/>
    </w:rPr>
  </w:style>
  <w:style w:type="paragraph" w:customStyle="1" w:styleId="CopyrightText">
    <w:name w:val="Copyright Text"/>
    <w:basedOn w:val="BodyText"/>
    <w:rsid w:val="005E034E"/>
    <w:rPr>
      <w:sz w:val="18"/>
    </w:rPr>
  </w:style>
  <w:style w:type="paragraph" w:customStyle="1" w:styleId="BodySmallRight">
    <w:name w:val="Body Small Right"/>
    <w:basedOn w:val="BodyTextRight"/>
    <w:rsid w:val="005E034E"/>
    <w:rPr>
      <w:sz w:val="18"/>
      <w:szCs w:val="18"/>
    </w:rPr>
  </w:style>
  <w:style w:type="paragraph" w:customStyle="1" w:styleId="MarginEdition">
    <w:name w:val="Margin Edition"/>
    <w:basedOn w:val="MarginNote"/>
    <w:rsid w:val="005E034E"/>
    <w:pPr>
      <w:spacing w:before="0" w:after="0"/>
    </w:pPr>
    <w:rPr>
      <w:rFonts w:ascii="Times New Roman" w:hAnsi="Times New Roman"/>
      <w:color w:val="999999"/>
    </w:rPr>
  </w:style>
  <w:style w:type="paragraph" w:customStyle="1" w:styleId="Spacer">
    <w:name w:val="Spacer"/>
    <w:basedOn w:val="Normal"/>
    <w:rsid w:val="005E034E"/>
    <w:rPr>
      <w:sz w:val="2"/>
      <w:szCs w:val="2"/>
    </w:rPr>
  </w:style>
  <w:style w:type="character" w:customStyle="1" w:styleId="Small">
    <w:name w:val="Small"/>
    <w:basedOn w:val="DefaultParagraphFont"/>
    <w:rsid w:val="005E034E"/>
    <w:rPr>
      <w:sz w:val="16"/>
    </w:rPr>
  </w:style>
  <w:style w:type="paragraph" w:customStyle="1" w:styleId="WideTable">
    <w:name w:val="Wide Table"/>
    <w:basedOn w:val="Normal"/>
    <w:rsid w:val="005E034E"/>
    <w:pPr>
      <w:ind w:left="-1418"/>
    </w:pPr>
    <w:rPr>
      <w:sz w:val="2"/>
      <w:szCs w:val="2"/>
    </w:rPr>
  </w:style>
  <w:style w:type="character" w:styleId="PageNumber">
    <w:name w:val="page number"/>
    <w:basedOn w:val="DefaultParagraphFont"/>
    <w:rsid w:val="005E034E"/>
  </w:style>
  <w:style w:type="paragraph" w:styleId="Quote">
    <w:name w:val="Quote"/>
    <w:basedOn w:val="Heading1"/>
    <w:link w:val="QuoteChar"/>
    <w:qFormat/>
    <w:rsid w:val="005E034E"/>
    <w:rPr>
      <w:b w:val="0"/>
      <w:sz w:val="72"/>
      <w:szCs w:val="72"/>
      <w:lang w:val="en-NZ"/>
    </w:rPr>
  </w:style>
  <w:style w:type="character" w:customStyle="1" w:styleId="QuoteChar">
    <w:name w:val="Quote Char"/>
    <w:basedOn w:val="DefaultParagraphFont"/>
    <w:link w:val="Quote"/>
    <w:rsid w:val="005E0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34E"/>
    <w:pPr>
      <w:pageBreakBefore/>
    </w:pPr>
  </w:style>
  <w:style w:type="paragraph" w:customStyle="1" w:styleId="Border">
    <w:name w:val="Border"/>
    <w:basedOn w:val="Normal"/>
    <w:qFormat/>
    <w:rsid w:val="005E0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34E"/>
    <w:rPr>
      <w:b/>
      <w:bCs/>
      <w:i/>
      <w:iCs/>
      <w:color w:val="auto"/>
    </w:rPr>
  </w:style>
  <w:style w:type="paragraph" w:styleId="IntenseQuote">
    <w:name w:val="Intense Quote"/>
    <w:basedOn w:val="Normal"/>
    <w:next w:val="Normal"/>
    <w:link w:val="IntenseQuoteChar"/>
    <w:uiPriority w:val="30"/>
    <w:qFormat/>
    <w:rsid w:val="005E0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3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034E"/>
    <w:rPr>
      <w:smallCaps/>
      <w:color w:val="auto"/>
      <w:u w:val="single"/>
    </w:rPr>
  </w:style>
  <w:style w:type="character" w:styleId="IntenseReference">
    <w:name w:val="Intense Reference"/>
    <w:basedOn w:val="DefaultParagraphFont"/>
    <w:uiPriority w:val="32"/>
    <w:qFormat/>
    <w:rsid w:val="005E034E"/>
    <w:rPr>
      <w:b/>
      <w:bCs/>
      <w:smallCaps/>
      <w:color w:val="auto"/>
      <w:spacing w:val="5"/>
      <w:u w:val="single"/>
    </w:rPr>
  </w:style>
  <w:style w:type="paragraph" w:customStyle="1" w:styleId="2ColumnHeading">
    <w:name w:val="2Column Heading"/>
    <w:basedOn w:val="BodyText"/>
    <w:qFormat/>
    <w:rsid w:val="005E034E"/>
    <w:pPr>
      <w:spacing w:after="60"/>
      <w:ind w:left="-2268"/>
    </w:pPr>
    <w:rPr>
      <w:b/>
    </w:rPr>
  </w:style>
  <w:style w:type="paragraph" w:customStyle="1" w:styleId="Heading1TOC">
    <w:name w:val="Heading1 TOC"/>
    <w:basedOn w:val="Normal"/>
    <w:qFormat/>
    <w:rsid w:val="005E034E"/>
    <w:pPr>
      <w:spacing w:before="240" w:after="120"/>
    </w:pPr>
    <w:rPr>
      <w:rFonts w:ascii="Times New Roman" w:hAnsi="Times New Roman"/>
      <w:b/>
      <w:sz w:val="32"/>
    </w:rPr>
  </w:style>
  <w:style w:type="paragraph" w:customStyle="1" w:styleId="Heading2TOC">
    <w:name w:val="Heading2 TOC"/>
    <w:basedOn w:val="Normal"/>
    <w:qFormat/>
    <w:rsid w:val="005E034E"/>
    <w:pPr>
      <w:spacing w:before="240" w:after="60"/>
    </w:pPr>
    <w:rPr>
      <w:rFonts w:ascii="Times New Roman" w:hAnsi="Times New Roman"/>
      <w:b/>
      <w:sz w:val="28"/>
    </w:rPr>
  </w:style>
  <w:style w:type="character" w:customStyle="1" w:styleId="Underline">
    <w:name w:val="Underline"/>
    <w:basedOn w:val="DefaultParagraphFont"/>
    <w:qFormat/>
    <w:rsid w:val="005E034E"/>
    <w:rPr>
      <w:u w:val="single"/>
    </w:rPr>
  </w:style>
  <w:style w:type="character" w:customStyle="1" w:styleId="BoldandItalics">
    <w:name w:val="Bold and Italics"/>
    <w:qFormat/>
    <w:rsid w:val="005E034E"/>
    <w:rPr>
      <w:b/>
      <w:i/>
      <w:u w:val="none"/>
    </w:rPr>
  </w:style>
  <w:style w:type="paragraph" w:styleId="BalloonText">
    <w:name w:val="Balloon Text"/>
    <w:basedOn w:val="Normal"/>
    <w:link w:val="BalloonTextChar"/>
    <w:rsid w:val="005E034E"/>
    <w:rPr>
      <w:rFonts w:ascii="Tahoma" w:hAnsi="Tahoma" w:cs="Tahoma"/>
      <w:sz w:val="16"/>
      <w:szCs w:val="16"/>
    </w:rPr>
  </w:style>
  <w:style w:type="character" w:customStyle="1" w:styleId="BalloonTextChar">
    <w:name w:val="Balloon Text Char"/>
    <w:basedOn w:val="DefaultParagraphFont"/>
    <w:link w:val="BalloonText"/>
    <w:rsid w:val="005E03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03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3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1654</Words>
  <Characters>10484</Characters>
  <Application>Microsoft Office Word</Application>
  <DocSecurity>0</DocSecurity>
  <Lines>317</Lines>
  <Paragraphs>177</Paragraphs>
  <ScaleCrop>false</ScaleCrop>
  <Company>Author-it Software Corporation Ltd.</Company>
  <LinksUpToDate>false</LinksUpToDate>
  <CharactersWithSpaces>12051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TLIX6048A Manage the deployment and delivery of logistic support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2012-05-27T04:16:00Z</dcterms:created>
  <dcterms:modified xsi:type="dcterms:W3CDTF">2012-05-27T04:16:00Z</dcterms:modified>
</cp:coreProperties>
</file>