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44E" w:rsidP="0044444E">
      <w:pPr>
        <w:pStyle w:val="Title"/>
      </w:pPr>
      <w:r>
        <w:fldChar w:fldCharType="begin"/>
      </w:r>
      <w:r>
        <w:instrText xml:space="preserve"> TITLE   \* MERGEFORMAT </w:instrText>
      </w:r>
      <w:r>
        <w:fldChar w:fldCharType="separate"/>
      </w:r>
      <w:r>
        <w:t>TLIX6001A Formulate materiel logistics strategies</w:t>
      </w:r>
      <w:r>
        <w:fldChar w:fldCharType="end"/>
      </w:r>
    </w:p>
    <w:p w:rsidR="0044444E" w:rsidP="0044444E">
      <w:pPr>
        <w:pStyle w:val="Version"/>
        <w:sectPr w:rsidSect="00C92C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CFE" w:rsidP="00C92CFE">
      <w:pPr>
        <w:pStyle w:val="SuperHeading"/>
      </w:pPr>
      <w:r w:rsidRPr="00C92CFE">
        <w:t>TLIX6001A Formulate materiel logistics strategies</w:t>
      </w:r>
    </w:p>
    <w:p w:rsidR="00000000" w:rsidRPr="00C92CFE" w:rsidP="00C92CFE">
      <w:pPr>
        <w:pStyle w:val="Heading1"/>
      </w:pPr>
      <w:bookmarkStart w:id="1" w:name="O_274419"/>
      <w:bookmarkEnd w:id="1"/>
      <w:r w:rsidRPr="00C92CFE">
        <w:t>Modification History</w:t>
      </w:r>
    </w:p>
    <w:p w:rsidR="00000000" w:rsidRPr="00C92CFE" w:rsidP="00C92CFE">
      <w:pPr>
        <w:pStyle w:val="BodyText"/>
      </w:pPr>
      <w:r w:rsidRPr="00C92CFE">
        <w:t>Not Applicable</w:t>
      </w:r>
    </w:p>
    <w:p w:rsidR="00000000" w:rsidRPr="00C92CFE" w:rsidP="00C92CFE">
      <w:pPr>
        <w:pStyle w:val="AllowPageBreak"/>
      </w:pPr>
    </w:p>
    <w:p w:rsidR="00000000" w:rsidRPr="00C92CFE" w:rsidP="00C92CFE">
      <w:pPr>
        <w:pStyle w:val="Heading1"/>
      </w:pPr>
      <w:bookmarkStart w:id="2" w:name="O_224738"/>
      <w:bookmarkEnd w:id="2"/>
      <w:r w:rsidRPr="00C92CFE">
        <w:t>Unit Descriptor</w:t>
      </w:r>
    </w:p>
    <w:tbl>
      <w:tblPr>
        <w:tblW w:w="9640" w:type="dxa"/>
        <w:tblLayout w:type="fixed"/>
        <w:tblCellMar>
          <w:left w:w="62" w:type="dxa"/>
          <w:right w:w="62" w:type="dxa"/>
        </w:tblCellMar>
        <w:tblLook w:val="0000"/>
      </w:tblPr>
      <w:tblGrid>
        <w:gridCol w:w="2978"/>
        <w:gridCol w:w="6662"/>
      </w:tblGrid>
      <w:tr w:rsidTr="004444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92CFE" w:rsidP="00C92CFE">
            <w:pPr>
              <w:pStyle w:val="BodyText"/>
            </w:pPr>
            <w:r w:rsidRPr="00C92CFE">
              <w:t>This unit involves the skills and knowledge required to formulate materiel logistics strategies acros</w:t>
            </w:r>
            <w:r w:rsidRPr="00C92CFE">
              <w:t>s the life cycle. These strategies are formulated to ensure that the materiel and materiel systems are able to meet their stated capability requirement. Materiel systems are a composite of equipment, skills and techniques capable of performing or supportin</w:t>
            </w:r>
            <w:r w:rsidRPr="00C92CFE">
              <w:t>g an operational role, or both. A complete materiel system includes all equipment, related facilities, materiel, software, services and personnel required for its operation and support, to the degree that it can be considered self-sufficient in its intende</w:t>
            </w:r>
            <w:r w:rsidRPr="00C92CFE">
              <w:t>d operational environment. Materiel logistics is the life cycle management of materiel to achieve the stated objectives of the capability managers. There are no specific licensing or certification requirements applicable to this unit.</w:t>
            </w:r>
          </w:p>
        </w:tc>
      </w:tr>
    </w:tbl>
    <w:p w:rsidR="0044444E" w:rsidP="00C92CFE">
      <w:pPr>
        <w:pStyle w:val="BodyText"/>
      </w:pPr>
    </w:p>
    <w:p w:rsidR="0044444E" w:rsidP="00C92CFE">
      <w:pPr>
        <w:pStyle w:val="BodyText"/>
      </w:pPr>
    </w:p>
    <w:p w:rsidR="00000000" w:rsidRPr="00C92CFE" w:rsidP="00C92CFE">
      <w:pPr>
        <w:pStyle w:val="Heading1"/>
      </w:pPr>
      <w:bookmarkStart w:id="3" w:name="O_224740"/>
      <w:bookmarkEnd w:id="3"/>
      <w:r w:rsidRPr="00C92CFE">
        <w:t>Application of the Unit</w:t>
      </w:r>
    </w:p>
    <w:tbl>
      <w:tblPr>
        <w:tblW w:w="9640" w:type="dxa"/>
        <w:tblLayout w:type="fixed"/>
        <w:tblCellMar>
          <w:left w:w="62" w:type="dxa"/>
          <w:right w:w="62" w:type="dxa"/>
        </w:tblCellMar>
        <w:tblLook w:val="0000"/>
      </w:tblPr>
      <w:tblGrid>
        <w:gridCol w:w="2978"/>
        <w:gridCol w:w="6662"/>
      </w:tblGrid>
      <w:tr w:rsidTr="004444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92CFE" w:rsidP="00C92CFE">
            <w:pPr>
              <w:pStyle w:val="BodyText"/>
            </w:pPr>
            <w:r w:rsidRPr="00C92CFE">
              <w:t>This unit was developed for logistics specialists working within materiel logistics but is applicable to any individual in this field of work.</w:t>
            </w:r>
          </w:p>
          <w:p w:rsidR="00000000" w:rsidRPr="00C92CFE" w:rsidP="00C92CFE">
            <w:pPr>
              <w:pStyle w:val="BodyText"/>
            </w:pPr>
            <w:r w:rsidRPr="00C92CFE">
              <w:t xml:space="preserve">Typically these individuals must demonstrate the ability to work </w:t>
            </w:r>
            <w:r w:rsidRPr="00C92CFE">
              <w:t>independently or as part of a team under direct and/or indirect supervision, use discretion and judgement, and take responsibility for the quality of their outputs. All activities are carried out in accordance with relevant organisational policy and proced</w:t>
            </w:r>
            <w:r w:rsidRPr="00C92CFE">
              <w:t>ures.</w:t>
            </w:r>
          </w:p>
          <w:p w:rsidR="00000000" w:rsidRPr="00C92CFE" w:rsidP="00C92CFE">
            <w:pPr>
              <w:pStyle w:val="BodyText"/>
            </w:pPr>
            <w:r w:rsidRPr="00C92CFE">
              <w:t>This unit cannot be used in a qualification in which TLIY208A Contribute to materiel logistics strategies has been used.</w:t>
            </w:r>
          </w:p>
        </w:tc>
      </w:tr>
    </w:tbl>
    <w:p w:rsidR="0044444E" w:rsidP="00C92CFE">
      <w:pPr>
        <w:pStyle w:val="BodyText"/>
      </w:pPr>
    </w:p>
    <w:p w:rsidR="0044444E" w:rsidP="00C92CFE">
      <w:pPr>
        <w:pStyle w:val="BodyText"/>
      </w:pPr>
    </w:p>
    <w:p w:rsidR="00000000" w:rsidRPr="00C92CFE" w:rsidP="00C92CFE">
      <w:pPr>
        <w:pStyle w:val="Heading1"/>
      </w:pPr>
      <w:bookmarkStart w:id="4" w:name="O_282679"/>
      <w:bookmarkEnd w:id="4"/>
      <w:r w:rsidRPr="00C92CFE">
        <w:t>Licensing/Regulatory Information</w:t>
      </w:r>
    </w:p>
    <w:p w:rsidR="00000000" w:rsidRPr="00C92CFE" w:rsidP="00C92CFE">
      <w:pPr>
        <w:pStyle w:val="BodyText"/>
      </w:pPr>
      <w:r w:rsidRPr="00C92CFE">
        <w:t>Refer to Unit Descriptor</w:t>
      </w:r>
    </w:p>
    <w:p w:rsidR="00000000" w:rsidRPr="00C92CFE" w:rsidP="00C92CFE">
      <w:pPr>
        <w:pStyle w:val="AllowPageBreak"/>
      </w:pPr>
    </w:p>
    <w:p w:rsidR="00000000" w:rsidRPr="00C92CFE" w:rsidP="00C92CFE">
      <w:pPr>
        <w:pStyle w:val="Heading1"/>
      </w:pPr>
      <w:bookmarkStart w:id="5" w:name="O_285129"/>
      <w:bookmarkEnd w:id="5"/>
      <w:r w:rsidRPr="00C92CFE">
        <w:t>Pre-Requisites</w:t>
      </w:r>
    </w:p>
    <w:p w:rsidR="00000000" w:rsidRPr="00C92CFE" w:rsidP="00C92CFE">
      <w:pPr>
        <w:pStyle w:val="BodyText"/>
      </w:pPr>
      <w:r w:rsidRPr="00C92CFE">
        <w:t>Not Applicable</w:t>
      </w:r>
    </w:p>
    <w:p w:rsidR="00000000" w:rsidRPr="00C92CFE" w:rsidP="00C92CFE">
      <w:pPr>
        <w:pStyle w:val="AllowPageBreak"/>
      </w:pPr>
    </w:p>
    <w:p w:rsidR="00000000" w:rsidRPr="00C92CFE" w:rsidP="00C92CFE">
      <w:pPr>
        <w:pStyle w:val="Heading1"/>
      </w:pPr>
      <w:bookmarkStart w:id="6" w:name="O_224739"/>
      <w:bookmarkEnd w:id="6"/>
      <w:r w:rsidRPr="00C92CFE">
        <w:t>Employability Skills Information</w:t>
      </w:r>
    </w:p>
    <w:tbl>
      <w:tblPr>
        <w:tblW w:w="9640" w:type="dxa"/>
        <w:tblLayout w:type="fixed"/>
        <w:tblCellMar>
          <w:left w:w="62" w:type="dxa"/>
          <w:right w:w="62" w:type="dxa"/>
        </w:tblCellMar>
        <w:tblLook w:val="0000"/>
      </w:tblPr>
      <w:tblGrid>
        <w:gridCol w:w="2978"/>
        <w:gridCol w:w="6662"/>
      </w:tblGrid>
      <w:tr w:rsidTr="0044444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92CFE" w:rsidP="00C92CFE">
            <w:pPr>
              <w:pStyle w:val="BodyText"/>
            </w:pPr>
            <w:r w:rsidRPr="00C92CFE">
              <w:t>This unit contains employability skills.</w:t>
            </w:r>
          </w:p>
        </w:tc>
      </w:tr>
    </w:tbl>
    <w:p w:rsidR="0044444E" w:rsidP="00C92CFE">
      <w:pPr>
        <w:pStyle w:val="BodyText"/>
      </w:pPr>
    </w:p>
    <w:p w:rsidR="0044444E" w:rsidP="00C92CFE">
      <w:pPr>
        <w:pStyle w:val="BodyText"/>
      </w:pPr>
    </w:p>
    <w:p w:rsidR="00000000" w:rsidRPr="00C92CFE" w:rsidP="00C92CFE">
      <w:pPr>
        <w:pStyle w:val="Heading1"/>
      </w:pPr>
      <w:bookmarkStart w:id="7" w:name="O_292465"/>
      <w:bookmarkEnd w:id="7"/>
      <w:r w:rsidRPr="00C92CFE">
        <w:t>Elements and Performance Criteria Pre-Content</w:t>
      </w:r>
    </w:p>
    <w:tbl>
      <w:tblPr>
        <w:tblW w:w="9640" w:type="dxa"/>
        <w:tblLayout w:type="fixed"/>
        <w:tblCellMar>
          <w:left w:w="62" w:type="dxa"/>
          <w:right w:w="62" w:type="dxa"/>
        </w:tblCellMar>
        <w:tblLook w:val="0000"/>
      </w:tblPr>
      <w:tblGrid>
        <w:gridCol w:w="2978"/>
        <w:gridCol w:w="6662"/>
      </w:tblGrid>
      <w:tr w:rsidTr="004444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92CFE" w:rsidP="00C92CFE">
            <w:pPr>
              <w:pStyle w:val="BodyText"/>
            </w:pPr>
            <w:r w:rsidRPr="00C92CFE">
              <w:t>Perfo</w:t>
            </w:r>
            <w:r w:rsidRPr="00C92CFE">
              <w:t>rmance criteria describe the required performance needed to demonstrate achievement of the element. Assessment of performance is to be consistent with the evidence guide.</w:t>
            </w:r>
          </w:p>
        </w:tc>
      </w:tr>
    </w:tbl>
    <w:p w:rsidR="00000000" w:rsidRPr="00C92CFE" w:rsidP="00C92CFE">
      <w:pPr>
        <w:pStyle w:val="BodyText"/>
      </w:pPr>
    </w:p>
    <w:p w:rsidR="00000000" w:rsidRPr="00C92CFE" w:rsidP="00C92CFE">
      <w:pPr>
        <w:pStyle w:val="AllowPageBreak"/>
      </w:pPr>
    </w:p>
    <w:p w:rsidR="00000000" w:rsidRPr="00C92CFE" w:rsidP="00C92CFE">
      <w:pPr>
        <w:pStyle w:val="Heading1"/>
      </w:pPr>
      <w:bookmarkStart w:id="8" w:name="O_239133"/>
      <w:bookmarkEnd w:id="8"/>
      <w:r w:rsidRPr="00C92CFE">
        <w:t>Elements and Performance Criteria</w:t>
      </w:r>
    </w:p>
    <w:tbl>
      <w:tblPr>
        <w:tblW w:w="9640" w:type="dxa"/>
        <w:tblLayout w:type="fixed"/>
        <w:tblCellMar>
          <w:left w:w="62" w:type="dxa"/>
          <w:right w:w="62" w:type="dxa"/>
        </w:tblCellMar>
        <w:tblLook w:val="0000"/>
      </w:tblPr>
      <w:tblGrid>
        <w:gridCol w:w="2978"/>
        <w:gridCol w:w="6662"/>
      </w:tblGrid>
      <w:tr w:rsidTr="0044444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92CFE" w:rsidP="00C92CFE">
            <w:pPr>
              <w:pStyle w:val="List"/>
            </w:pPr>
            <w:r w:rsidRPr="00C92CF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92CFE">
            <w:pPr>
              <w:pStyle w:val="List"/>
              <w:rPr>
                <w:lang w:val="en-NZ"/>
              </w:rPr>
            </w:pPr>
            <w:r w:rsidRPr="00C92CFE">
              <w:rPr>
                <w:rStyle w:val="SpecialBold"/>
              </w:rPr>
              <w:t>PERFORMANCE CRITERIA</w:t>
            </w:r>
          </w:p>
        </w:tc>
      </w:tr>
      <w:tr w:rsidTr="004444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2CFE">
            <w:pPr>
              <w:pStyle w:val="List"/>
              <w:rPr>
                <w:lang w:val="en-NZ"/>
              </w:rPr>
            </w:pPr>
            <w:r w:rsidRPr="00C92CFE">
              <w:rPr>
                <w:rStyle w:val="SpecialBold"/>
              </w:rPr>
              <w:t>1</w:t>
            </w:r>
            <w:r w:rsidRPr="00C92CFE">
              <w:tab/>
            </w:r>
            <w:r w:rsidRPr="00C92CFE">
              <w:rPr>
                <w:rStyle w:val="SpecialBold"/>
              </w:rPr>
              <w:t>Analyse the materiel logistics environment</w:t>
            </w:r>
          </w:p>
        </w:tc>
        <w:tc>
          <w:tcPr>
            <w:tcW w:w="6662" w:type="dxa"/>
            <w:tcBorders>
              <w:top w:val="nil"/>
              <w:left w:val="nil"/>
              <w:bottom w:val="nil"/>
              <w:right w:val="nil"/>
            </w:tcBorders>
            <w:tcMar>
              <w:top w:w="0" w:type="dxa"/>
              <w:left w:w="62" w:type="dxa"/>
              <w:bottom w:w="0" w:type="dxa"/>
              <w:right w:w="62" w:type="dxa"/>
            </w:tcMar>
          </w:tcPr>
          <w:p w:rsidR="00000000" w:rsidRPr="00C92CFE" w:rsidP="00C92CFE">
            <w:pPr>
              <w:pStyle w:val="List"/>
            </w:pPr>
            <w:r w:rsidRPr="00C92CFE">
              <w:t>1.1</w:t>
            </w:r>
            <w:r w:rsidRPr="00C92CFE">
              <w:tab/>
              <w:t>Operational concept of the materiel and materiel systems are analysed, and key factors and issues are identified for consideration and/or response</w:t>
            </w:r>
          </w:p>
          <w:p w:rsidR="00000000" w:rsidRPr="00C92CFE" w:rsidP="00C92CFE">
            <w:pPr>
              <w:pStyle w:val="List"/>
            </w:pPr>
            <w:r w:rsidRPr="00C92CFE">
              <w:t>1.2</w:t>
            </w:r>
            <w:r w:rsidRPr="00C92CFE">
              <w:tab/>
              <w:t>External and internal factors likely to impact on materiel</w:t>
            </w:r>
            <w:r w:rsidRPr="00C92CFE">
              <w:t xml:space="preserve"> logistics needs and capabilities are continually monitored and analysed</w:t>
            </w:r>
          </w:p>
          <w:p w:rsidR="00000000" w:rsidRPr="00C92CFE" w:rsidP="00C92CFE">
            <w:pPr>
              <w:pStyle w:val="List"/>
            </w:pPr>
            <w:r w:rsidRPr="00C92CFE">
              <w:t>1.3</w:t>
            </w:r>
            <w:r w:rsidRPr="00C92CFE">
              <w:tab/>
              <w:t>Key stakeholders are identified and consulted on materiel and materiel systems needs and capabilities in accordance with organisational policy and procedures</w:t>
            </w:r>
          </w:p>
          <w:p w:rsidR="00000000" w:rsidP="00C92CFE">
            <w:pPr>
              <w:pStyle w:val="List"/>
              <w:rPr>
                <w:lang w:val="en-NZ"/>
              </w:rPr>
            </w:pPr>
            <w:r w:rsidRPr="00C92CFE">
              <w:t>1.4</w:t>
            </w:r>
            <w:r w:rsidRPr="00C92CFE">
              <w:tab/>
              <w:t>Legislation and o</w:t>
            </w:r>
            <w:r w:rsidRPr="00C92CFE">
              <w:t>rganisational policy and procedures that may impact on materiel logistics activity are identified and analysed</w:t>
            </w:r>
          </w:p>
        </w:tc>
      </w:tr>
      <w:tr w:rsidTr="004444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2CFE">
            <w:pPr>
              <w:pStyle w:val="List"/>
              <w:rPr>
                <w:lang w:val="en-NZ"/>
              </w:rPr>
            </w:pPr>
            <w:r w:rsidRPr="00C92CFE">
              <w:rPr>
                <w:rStyle w:val="SpecialBold"/>
              </w:rPr>
              <w:t>2</w:t>
            </w:r>
            <w:r w:rsidRPr="00C92CFE">
              <w:tab/>
            </w:r>
            <w:r w:rsidRPr="00C92CFE">
              <w:rPr>
                <w:rStyle w:val="SpecialBold"/>
              </w:rPr>
              <w:t>Develop materiel logistics strategies</w:t>
            </w:r>
          </w:p>
        </w:tc>
        <w:tc>
          <w:tcPr>
            <w:tcW w:w="6662" w:type="dxa"/>
            <w:tcBorders>
              <w:top w:val="nil"/>
              <w:left w:val="nil"/>
              <w:bottom w:val="nil"/>
              <w:right w:val="nil"/>
            </w:tcBorders>
            <w:tcMar>
              <w:top w:w="0" w:type="dxa"/>
              <w:left w:w="62" w:type="dxa"/>
              <w:bottom w:w="0" w:type="dxa"/>
              <w:right w:w="62" w:type="dxa"/>
            </w:tcMar>
          </w:tcPr>
          <w:p w:rsidR="00000000" w:rsidRPr="00C92CFE" w:rsidP="00C92CFE">
            <w:pPr>
              <w:pStyle w:val="List"/>
            </w:pPr>
            <w:r w:rsidRPr="00C92CFE">
              <w:t>2.1</w:t>
            </w:r>
            <w:r w:rsidRPr="00C92CFE">
              <w:tab/>
              <w:t>Consultation and negotiation with key stakeholders is conducted in accordance with organisational po</w:t>
            </w:r>
            <w:r w:rsidRPr="00C92CFE">
              <w:t>licy and procedures</w:t>
            </w:r>
          </w:p>
          <w:p w:rsidR="00000000" w:rsidRPr="00C92CFE" w:rsidP="00C92CFE">
            <w:pPr>
              <w:pStyle w:val="List"/>
            </w:pPr>
            <w:r w:rsidRPr="00C92CFE">
              <w:t>2.2</w:t>
            </w:r>
            <w:r w:rsidRPr="00C92CFE">
              <w:tab/>
              <w:t>Strategic objectives are defined and documented in materiel logistics strategies</w:t>
            </w:r>
          </w:p>
          <w:p w:rsidR="00000000" w:rsidP="00C92CFE">
            <w:pPr>
              <w:pStyle w:val="List"/>
              <w:rPr>
                <w:lang w:val="en-NZ"/>
              </w:rPr>
            </w:pPr>
            <w:r w:rsidRPr="00C92CFE">
              <w:t>2.3</w:t>
            </w:r>
            <w:r w:rsidRPr="00C92CFE">
              <w:tab/>
              <w:t>Costing analysis of strategic options is managed and documented in accordance with organisational policy and procedures</w:t>
            </w:r>
          </w:p>
        </w:tc>
      </w:tr>
      <w:tr w:rsidTr="004444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2CFE">
            <w:pPr>
              <w:pStyle w:val="List"/>
              <w:rPr>
                <w:lang w:val="en-NZ"/>
              </w:rPr>
            </w:pPr>
            <w:r w:rsidRPr="00C92CFE">
              <w:rPr>
                <w:rStyle w:val="SpecialBold"/>
              </w:rPr>
              <w:t>3</w:t>
            </w:r>
            <w:r w:rsidRPr="00C92CFE">
              <w:tab/>
            </w:r>
            <w:r w:rsidRPr="00C92CFE">
              <w:rPr>
                <w:rStyle w:val="SpecialBold"/>
              </w:rPr>
              <w:t>Establish priorities for</w:t>
            </w:r>
            <w:r w:rsidRPr="00C92CFE">
              <w:rPr>
                <w:rStyle w:val="SpecialBold"/>
              </w:rPr>
              <w:t xml:space="preserve"> materiel logistics strategies</w:t>
            </w:r>
          </w:p>
        </w:tc>
        <w:tc>
          <w:tcPr>
            <w:tcW w:w="6662" w:type="dxa"/>
            <w:tcBorders>
              <w:top w:val="nil"/>
              <w:left w:val="nil"/>
              <w:bottom w:val="nil"/>
              <w:right w:val="nil"/>
            </w:tcBorders>
            <w:tcMar>
              <w:top w:w="0" w:type="dxa"/>
              <w:left w:w="62" w:type="dxa"/>
              <w:bottom w:w="0" w:type="dxa"/>
              <w:right w:w="62" w:type="dxa"/>
            </w:tcMar>
          </w:tcPr>
          <w:p w:rsidR="00000000" w:rsidRPr="00C92CFE" w:rsidP="00C92CFE">
            <w:pPr>
              <w:pStyle w:val="List"/>
            </w:pPr>
            <w:r w:rsidRPr="00C92CFE">
              <w:t>3.1</w:t>
            </w:r>
            <w:r w:rsidRPr="00C92CFE">
              <w:tab/>
              <w:t>Strategic priorities are developed and documented that support the organisation's materiel logistics objectives</w:t>
            </w:r>
          </w:p>
          <w:p w:rsidR="00000000" w:rsidRPr="00C92CFE" w:rsidP="00C92CFE">
            <w:pPr>
              <w:pStyle w:val="List"/>
            </w:pPr>
            <w:r w:rsidRPr="00C92CFE">
              <w:t>3.2</w:t>
            </w:r>
            <w:r w:rsidRPr="00C92CFE">
              <w:tab/>
              <w:t>Strategic priorities are analysed to ensure they reflect the capability requirements of key stakeholders,</w:t>
            </w:r>
            <w:r w:rsidRPr="00C92CFE">
              <w:t xml:space="preserve"> in accordance with organisational policy and procedures</w:t>
            </w:r>
          </w:p>
          <w:p w:rsidR="00000000" w:rsidP="00C92CFE">
            <w:pPr>
              <w:pStyle w:val="List"/>
              <w:rPr>
                <w:lang w:val="en-NZ"/>
              </w:rPr>
            </w:pPr>
            <w:r w:rsidRPr="00C92CFE">
              <w:t>3.3</w:t>
            </w:r>
            <w:r w:rsidRPr="00C92CFE">
              <w:tab/>
              <w:t>Opportunities for strategic alliances and cooperative ventures are incorporated into the strategies</w:t>
            </w:r>
          </w:p>
        </w:tc>
      </w:tr>
      <w:tr w:rsidTr="004444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2CFE">
            <w:pPr>
              <w:pStyle w:val="List"/>
              <w:rPr>
                <w:lang w:val="en-NZ"/>
              </w:rPr>
            </w:pPr>
            <w:r w:rsidRPr="00C92CFE">
              <w:rPr>
                <w:rStyle w:val="SpecialBold"/>
              </w:rPr>
              <w:t>4</w:t>
            </w:r>
            <w:r w:rsidRPr="00C92CFE">
              <w:tab/>
            </w:r>
            <w:r w:rsidRPr="00C92CFE">
              <w:rPr>
                <w:rStyle w:val="SpecialBold"/>
              </w:rPr>
              <w:t>Communicate materiel logistics strategies</w:t>
            </w:r>
          </w:p>
        </w:tc>
        <w:tc>
          <w:tcPr>
            <w:tcW w:w="6662" w:type="dxa"/>
            <w:tcBorders>
              <w:top w:val="nil"/>
              <w:left w:val="nil"/>
              <w:bottom w:val="nil"/>
              <w:right w:val="nil"/>
            </w:tcBorders>
            <w:tcMar>
              <w:top w:w="0" w:type="dxa"/>
              <w:left w:w="62" w:type="dxa"/>
              <w:bottom w:w="0" w:type="dxa"/>
              <w:right w:w="62" w:type="dxa"/>
            </w:tcMar>
          </w:tcPr>
          <w:p w:rsidR="00000000" w:rsidRPr="00C92CFE" w:rsidP="00C92CFE">
            <w:pPr>
              <w:pStyle w:val="List"/>
            </w:pPr>
            <w:r w:rsidRPr="00C92CFE">
              <w:t>4.1</w:t>
            </w:r>
            <w:r w:rsidRPr="00C92CFE">
              <w:tab/>
              <w:t>Strategies are explained to key stakeholders</w:t>
            </w:r>
          </w:p>
          <w:p w:rsidR="00000000" w:rsidP="00C92CFE">
            <w:pPr>
              <w:pStyle w:val="List"/>
              <w:rPr>
                <w:lang w:val="en-NZ"/>
              </w:rPr>
            </w:pPr>
            <w:r w:rsidRPr="00C92CFE">
              <w:t>4.2</w:t>
            </w:r>
            <w:r w:rsidRPr="00C92CFE">
              <w:tab/>
              <w:t>Strategies are promoted across the organisation through a variety of communication channels, in accordance with organisational policy and procedures</w:t>
            </w:r>
          </w:p>
        </w:tc>
      </w:tr>
      <w:tr w:rsidTr="004444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2CFE">
            <w:pPr>
              <w:pStyle w:val="List"/>
              <w:rPr>
                <w:lang w:val="en-NZ"/>
              </w:rPr>
            </w:pPr>
            <w:r w:rsidRPr="00C92CFE">
              <w:rPr>
                <w:rStyle w:val="SpecialBold"/>
              </w:rPr>
              <w:t>5</w:t>
            </w:r>
            <w:r w:rsidRPr="00C92CFE">
              <w:tab/>
            </w:r>
            <w:r w:rsidRPr="00C92CFE">
              <w:rPr>
                <w:rStyle w:val="SpecialBold"/>
              </w:rPr>
              <w:t>Evaluate materiel logistics strategies</w:t>
            </w:r>
          </w:p>
        </w:tc>
        <w:tc>
          <w:tcPr>
            <w:tcW w:w="6662" w:type="dxa"/>
            <w:tcBorders>
              <w:top w:val="nil"/>
              <w:left w:val="nil"/>
              <w:bottom w:val="nil"/>
              <w:right w:val="nil"/>
            </w:tcBorders>
            <w:tcMar>
              <w:top w:w="0" w:type="dxa"/>
              <w:left w:w="62" w:type="dxa"/>
              <w:bottom w:w="0" w:type="dxa"/>
              <w:right w:w="62" w:type="dxa"/>
            </w:tcMar>
          </w:tcPr>
          <w:p w:rsidR="00000000" w:rsidRPr="00C92CFE" w:rsidP="00C92CFE">
            <w:pPr>
              <w:pStyle w:val="List"/>
            </w:pPr>
            <w:r w:rsidRPr="00C92CFE">
              <w:t>5.1</w:t>
            </w:r>
            <w:r w:rsidRPr="00C92CFE">
              <w:tab/>
              <w:t xml:space="preserve">Materiel logistics strategies are regularly evaluated in </w:t>
            </w:r>
            <w:r w:rsidRPr="00C92CFE">
              <w:t>accordance with organisational policy and procedures</w:t>
            </w:r>
          </w:p>
          <w:p w:rsidR="00000000" w:rsidRPr="00C92CFE" w:rsidP="00C92CFE">
            <w:pPr>
              <w:pStyle w:val="List"/>
            </w:pPr>
            <w:r w:rsidRPr="00C92CFE">
              <w:t>5.2</w:t>
            </w:r>
            <w:r w:rsidRPr="00C92CFE">
              <w:tab/>
              <w:t>Strategies are amended and documented in accordance with organisational policy and procedures</w:t>
            </w:r>
          </w:p>
        </w:tc>
      </w:tr>
    </w:tbl>
    <w:p w:rsidR="0044444E" w:rsidP="00C92CFE">
      <w:pPr>
        <w:pStyle w:val="BodyText"/>
      </w:pPr>
    </w:p>
    <w:p w:rsidR="0044444E" w:rsidP="00C92CFE">
      <w:pPr>
        <w:pStyle w:val="BodyText"/>
      </w:pPr>
    </w:p>
    <w:p w:rsidR="00000000" w:rsidRPr="00C92CFE" w:rsidP="00C92CFE">
      <w:pPr>
        <w:pStyle w:val="Heading1"/>
      </w:pPr>
      <w:bookmarkStart w:id="9" w:name="O_262924"/>
      <w:bookmarkEnd w:id="9"/>
      <w:r w:rsidRPr="00C92CFE">
        <w:t>Required Skills and Knowledge</w:t>
      </w:r>
    </w:p>
    <w:tbl>
      <w:tblPr>
        <w:tblW w:w="9640" w:type="dxa"/>
        <w:tblLayout w:type="fixed"/>
        <w:tblCellMar>
          <w:left w:w="62" w:type="dxa"/>
          <w:right w:w="62" w:type="dxa"/>
        </w:tblCellMar>
        <w:tblLook w:val="0000"/>
      </w:tblPr>
      <w:tblGrid>
        <w:gridCol w:w="9640"/>
      </w:tblGrid>
      <w:tr w:rsidTr="0044444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rPr>
                <w:rStyle w:val="SpecialBold"/>
              </w:rPr>
              <w:t>REQUIRED KNOWLEDGE AND SKILLS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t>This describes the essential knowledge and skills and their level required for this unit.</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rPr>
                <w:rStyle w:val="SpecialBold"/>
              </w:rPr>
              <w:t>Required knowledge</w:t>
            </w:r>
            <w:r w:rsidRPr="00C92CFE">
              <w:t>:</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Acquisition processes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Business processes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Capability performance measurement</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Codification and cataloguing processes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External enviro</w:t>
            </w:r>
            <w:r w:rsidRPr="00C92CFE">
              <w:t>nment scanning relating to environmental, sustainable, social, political economic and technological developments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Industrial base capability</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Integrated logistics support</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International agreements and arrangements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Interoperability</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Legislative and re</w:t>
            </w:r>
            <w:r w:rsidRPr="00C92CFE">
              <w:t>gulatory environment as it pertains to materiel logistics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Costing which may include life cycle costing</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Logistics support analysis principles and processes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Logistics governance</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Materiel logistics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Materiel system components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Organisatio</w:t>
            </w:r>
            <w:r w:rsidRPr="00C92CFE">
              <w:t>nal policy and procedures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Outsourcing/in-sourcing</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Performance management techniques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Project management</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Risk management</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Strategic planning methodologies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Supply chain concepts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Technical regulation</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92CFE" w:rsidP="00C92CFE">
            <w:pPr>
              <w:pStyle w:val="ListBullet"/>
            </w:pPr>
            <w:r w:rsidRPr="00C92CFE">
              <w:t>Value chain concepts</w:t>
            </w:r>
          </w:p>
        </w:tc>
      </w:tr>
    </w:tbl>
    <w:p w:rsidR="00000000" w:rsidRPr="00C92CFE" w:rsidP="00C92CFE">
      <w:pPr>
        <w:pStyle w:val="BodyText"/>
      </w:pPr>
    </w:p>
    <w:tbl>
      <w:tblPr>
        <w:tblW w:w="9640" w:type="dxa"/>
        <w:tblLayout w:type="fixed"/>
        <w:tblCellMar>
          <w:left w:w="62" w:type="dxa"/>
          <w:right w:w="62" w:type="dxa"/>
        </w:tblCellMar>
        <w:tblLook w:val="0000"/>
      </w:tblPr>
      <w:tblGrid>
        <w:gridCol w:w="9640"/>
      </w:tblGrid>
      <w:tr w:rsidTr="0044444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rPr>
                <w:rStyle w:val="SpecialBold"/>
              </w:rPr>
              <w:t>Required skills</w:t>
            </w:r>
            <w:r w:rsidRPr="00C92CFE">
              <w:t>:</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Align materiel logistics strategy to the strategic objectives of the organisation</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Analyse materiel logistics information to determine where internal and external factors impact on the materiel logistics environment, and adjust strategic planning activiti</w:t>
            </w:r>
            <w:r w:rsidRPr="00C92CFE">
              <w:t>es accordingly</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Apply project management knowledge in formulating materiel logistics strategies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Build and sustain positive relationships with team members, stakeholders and clients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 xml:space="preserve">Commit to action, even in cases of limited information and conditions </w:t>
            </w:r>
            <w:r w:rsidRPr="00C92CFE">
              <w:t>of uncertainty</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Consult and negotiate with stakeholders (both internal and external) and resolve any potential areas of conflict or concern to ensure that overall objectives are achieved</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Display resilience by continuing to move forward despite criticism or setbacks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Effectively manage materiel logistics contracts and their deliverables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Exercise judgement by using intelligence and commonsense to shape strategic thinking</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Identify, asses</w:t>
            </w:r>
            <w:r w:rsidRPr="00C92CFE">
              <w:t>s and prioritise competing objectives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Manage time, and prioritise work to ensure objectives are met in accordance with required schedule</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Prepare complex and sensitive material; present information confidently; and select the appropriate medium for maxi</w:t>
            </w:r>
            <w:r w:rsidRPr="00C92CFE">
              <w:t>mum communication effect to influence a range of audiences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Review and analyse performance measurement data to guide and direct the team to ensure objectives are measured against defined parameters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 xml:space="preserve">Source information on best practice approaches adopted </w:t>
            </w:r>
            <w:r w:rsidRPr="00C92CFE">
              <w:t>in both the public and private sectors, demonstrating an insight into how industry operates and the business drivers that influence industry with their dealings</w:t>
            </w:r>
          </w:p>
        </w:tc>
      </w:tr>
      <w:tr w:rsidTr="004444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92CFE" w:rsidP="00C92CFE">
            <w:pPr>
              <w:pStyle w:val="ListBullet"/>
            </w:pPr>
            <w:r w:rsidRPr="00C92CFE">
              <w:t xml:space="preserve">Undertake research and analysis about operational concepts and strategic objectives </w:t>
            </w:r>
            <w:r w:rsidRPr="00C92CFE">
              <w:t>to determine the impacts on the materiel logistics environment</w:t>
            </w:r>
          </w:p>
        </w:tc>
      </w:tr>
    </w:tbl>
    <w:p w:rsidR="0044444E" w:rsidP="00C92CFE">
      <w:pPr>
        <w:pStyle w:val="BodyText"/>
      </w:pPr>
    </w:p>
    <w:p w:rsidR="0044444E" w:rsidP="00C92CFE">
      <w:pPr>
        <w:pStyle w:val="BodyText"/>
      </w:pPr>
    </w:p>
    <w:p w:rsidR="00000000" w:rsidRPr="00C92CFE" w:rsidP="00C92CFE">
      <w:pPr>
        <w:pStyle w:val="Heading1"/>
      </w:pPr>
      <w:bookmarkStart w:id="10" w:name="O_247117"/>
      <w:bookmarkEnd w:id="10"/>
      <w:r w:rsidRPr="00C92CFE">
        <w:t>Evidence Guide</w:t>
      </w:r>
    </w:p>
    <w:tbl>
      <w:tblPr>
        <w:tblW w:w="9499" w:type="dxa"/>
        <w:tblLayout w:type="fixed"/>
        <w:tblCellMar>
          <w:left w:w="62" w:type="dxa"/>
          <w:right w:w="62" w:type="dxa"/>
        </w:tblCellMar>
        <w:tblLook w:val="0000"/>
      </w:tblPr>
      <w:tblGrid>
        <w:gridCol w:w="3524"/>
        <w:gridCol w:w="5975"/>
      </w:tblGrid>
      <w:tr w:rsidTr="0044444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rPr>
                <w:rStyle w:val="SpecialBold"/>
              </w:rPr>
              <w:t>EVIDENCE GUIDE</w:t>
            </w:r>
          </w:p>
        </w:tc>
      </w:tr>
      <w:tr w:rsidTr="0044444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t>The evidence guide provides advice on assessment and must be read in conjunction with the performance criteria, required knowledge and skills, the range statement and the assessment guidelines for this Training Package.</w:t>
            </w:r>
          </w:p>
        </w:tc>
      </w:tr>
      <w:tr w:rsidTr="0044444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rPr>
                <w:rStyle w:val="SpecialBold"/>
              </w:rPr>
              <w:t>Critical aspects for assessment an</w:t>
            </w:r>
            <w:r w:rsidRPr="00C92CF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92CFE" w:rsidP="00C92CFE">
            <w:pPr>
              <w:pStyle w:val="ListBullet"/>
            </w:pPr>
            <w:r w:rsidRPr="00C92CFE">
              <w:t>Assessment must confirm the ability to:</w:t>
            </w:r>
          </w:p>
          <w:p w:rsidR="00000000" w:rsidRPr="00C92CFE" w:rsidP="00C92CFE">
            <w:pPr>
              <w:pStyle w:val="ListBullet2"/>
            </w:pPr>
            <w:r w:rsidRPr="00C92CFE">
              <w:t>adhere to relevant occupational health and safety requirements</w:t>
            </w:r>
          </w:p>
          <w:p w:rsidR="00000000" w:rsidRPr="00C92CFE" w:rsidP="00C92CFE">
            <w:pPr>
              <w:pStyle w:val="ListBullet2"/>
            </w:pPr>
            <w:r w:rsidRPr="00C92CFE">
              <w:t>identify and evaluate priorities, and adjust them as necessary to ensure they meet objectives</w:t>
            </w:r>
          </w:p>
          <w:p w:rsidR="00000000" w:rsidRPr="00C92CFE" w:rsidP="00C92CFE">
            <w:pPr>
              <w:pStyle w:val="ListBullet2"/>
            </w:pPr>
            <w:r w:rsidRPr="00C92CFE">
              <w:t>analyse and evaluate outcomes</w:t>
            </w:r>
          </w:p>
          <w:p w:rsidR="00000000" w:rsidRPr="00C92CFE" w:rsidP="00C92CFE">
            <w:pPr>
              <w:pStyle w:val="ListBullet2"/>
            </w:pPr>
            <w:r w:rsidRPr="00C92CFE">
              <w:t>initiate any remedial action required</w:t>
            </w:r>
          </w:p>
          <w:p w:rsidR="00000000" w:rsidP="00C92CFE">
            <w:pPr>
              <w:pStyle w:val="ListBullet"/>
              <w:rPr>
                <w:lang w:val="en-NZ"/>
              </w:rPr>
            </w:pPr>
            <w:r w:rsidRPr="00C92CFE">
              <w:t>Competency should be demonstrated over time and should be observed in a range of actual or si</w:t>
            </w:r>
            <w:r w:rsidRPr="00C92CFE">
              <w:t>mulated work contexts</w:t>
            </w:r>
          </w:p>
        </w:tc>
      </w:tr>
      <w:tr w:rsidTr="0044444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92CFE" w:rsidP="00C92CFE">
            <w:pPr>
              <w:pStyle w:val="ListBullet"/>
            </w:pPr>
            <w:r w:rsidRPr="00C92CFE">
              <w:t>Competency should be assessed in the workplace or in a simulated workplace environment</w:t>
            </w:r>
          </w:p>
          <w:p w:rsidR="00000000" w:rsidRPr="00C92CFE" w:rsidP="00C92CFE">
            <w:pPr>
              <w:pStyle w:val="ListBullet"/>
            </w:pPr>
            <w:r w:rsidRPr="00C92CFE">
              <w:t>Access is required to:</w:t>
            </w:r>
          </w:p>
          <w:p w:rsidR="00000000" w:rsidRPr="00C92CFE" w:rsidP="00C92CFE">
            <w:pPr>
              <w:pStyle w:val="ListBullet2"/>
            </w:pPr>
            <w:r w:rsidRPr="00C92CFE">
              <w:t>computer and relevant software</w:t>
            </w:r>
          </w:p>
          <w:p w:rsidR="00000000" w:rsidRPr="00C92CFE" w:rsidP="00C92CFE">
            <w:pPr>
              <w:pStyle w:val="ListBullet2"/>
            </w:pPr>
            <w:r w:rsidRPr="00C92CFE">
              <w:t>legislation, guidelines, pr</w:t>
            </w:r>
            <w:r w:rsidRPr="00C92CFE">
              <w:t>ocedures and protocols relating to materiel logistics</w:t>
            </w:r>
          </w:p>
          <w:p w:rsidR="00000000" w:rsidRPr="00C92CFE" w:rsidP="00C92CFE">
            <w:pPr>
              <w:pStyle w:val="ListBullet2"/>
            </w:pPr>
            <w:r w:rsidRPr="00C92CFE">
              <w:t>plans</w:t>
            </w:r>
          </w:p>
          <w:p w:rsidR="00000000" w:rsidP="00C92CFE">
            <w:pPr>
              <w:pStyle w:val="ListBullet2"/>
              <w:rPr>
                <w:lang w:val="en-NZ"/>
              </w:rPr>
            </w:pPr>
            <w:r w:rsidRPr="00C92CFE">
              <w:t>workplace documentation</w:t>
            </w:r>
          </w:p>
        </w:tc>
      </w:tr>
      <w:tr w:rsidTr="0044444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92CFE" w:rsidP="00C92CFE">
            <w:pPr>
              <w:pStyle w:val="ListBullet"/>
            </w:pPr>
            <w:r w:rsidRPr="00C92CFE">
              <w:t>Assessment of this unit must be undertaken by a registered training organisation</w:t>
            </w:r>
          </w:p>
          <w:p w:rsidR="00000000" w:rsidRPr="00C92CFE" w:rsidP="00C92CFE">
            <w:pPr>
              <w:pStyle w:val="ListBullet"/>
            </w:pPr>
            <w:r w:rsidRPr="00C92CFE">
              <w:t>Where possible, assessment should be supported by questions to assess required knowledge. Questioning techniques should suit the language and literacy levels of the candidate</w:t>
            </w:r>
          </w:p>
          <w:p w:rsidR="00000000" w:rsidRPr="00C92CFE" w:rsidP="00C92CFE">
            <w:pPr>
              <w:pStyle w:val="ListBullet"/>
            </w:pPr>
            <w:r w:rsidRPr="00C92CFE">
              <w:t>Assessment methods should reflect workplace demands such as literacy and the need</w:t>
            </w:r>
            <w:r w:rsidRPr="00C92CFE">
              <w:t>s of particular groups</w:t>
            </w:r>
          </w:p>
          <w:p w:rsidR="00000000" w:rsidRPr="00C92CFE" w:rsidP="00C92CFE">
            <w:pPr>
              <w:pStyle w:val="ListBullet"/>
            </w:pPr>
            <w:r w:rsidRPr="00C92CFE">
              <w:t>Assessment of this unit of competency may include a combination of methods such as:</w:t>
            </w:r>
          </w:p>
          <w:p w:rsidR="00000000" w:rsidRPr="00C92CFE" w:rsidP="00C92CFE">
            <w:pPr>
              <w:pStyle w:val="ListBullet2"/>
            </w:pPr>
            <w:r w:rsidRPr="00C92CFE">
              <w:t>authenticated evidence from the workplace and/or training programs</w:t>
            </w:r>
          </w:p>
          <w:p w:rsidR="00000000" w:rsidRPr="00C92CFE" w:rsidP="00C92CFE">
            <w:pPr>
              <w:pStyle w:val="ListBullet2"/>
            </w:pPr>
            <w:r w:rsidRPr="00C92CFE">
              <w:t>case studies</w:t>
            </w:r>
          </w:p>
          <w:p w:rsidR="00000000" w:rsidRPr="00C92CFE" w:rsidP="00C92CFE">
            <w:pPr>
              <w:pStyle w:val="ListBullet2"/>
            </w:pPr>
            <w:r w:rsidRPr="00C92CFE">
              <w:t>demonstration</w:t>
            </w:r>
          </w:p>
          <w:p w:rsidR="00000000" w:rsidRPr="00C92CFE" w:rsidP="00C92CFE">
            <w:pPr>
              <w:pStyle w:val="ListBullet2"/>
            </w:pPr>
            <w:r w:rsidRPr="00C92CFE">
              <w:t>feedback from supervisors and peers regarding the candidate's ability</w:t>
            </w:r>
          </w:p>
          <w:p w:rsidR="00000000" w:rsidRPr="00C92CFE" w:rsidP="00C92CFE">
            <w:pPr>
              <w:pStyle w:val="ListBullet2"/>
            </w:pPr>
            <w:r w:rsidRPr="00C92CFE">
              <w:t>observation</w:t>
            </w:r>
          </w:p>
          <w:p w:rsidR="00000000" w:rsidRPr="00C92CFE" w:rsidP="00C92CFE">
            <w:pPr>
              <w:pStyle w:val="ListBullet2"/>
            </w:pPr>
            <w:r w:rsidRPr="00C92CFE">
              <w:t>portfolios</w:t>
            </w:r>
          </w:p>
          <w:p w:rsidR="00000000" w:rsidRPr="00C92CFE" w:rsidP="00C92CFE">
            <w:pPr>
              <w:pStyle w:val="ListBullet2"/>
            </w:pPr>
            <w:r w:rsidRPr="00C92CFE">
              <w:t>projects</w:t>
            </w:r>
          </w:p>
          <w:p w:rsidR="00000000" w:rsidRPr="00C92CFE" w:rsidP="00C92CFE">
            <w:pPr>
              <w:pStyle w:val="ListBullet2"/>
            </w:pPr>
            <w:r w:rsidRPr="00C92CFE">
              <w:t>questioning</w:t>
            </w:r>
          </w:p>
          <w:p w:rsidR="00000000" w:rsidRPr="00C92CFE" w:rsidP="00C92CFE">
            <w:pPr>
              <w:pStyle w:val="ListBullet2"/>
            </w:pPr>
            <w:r w:rsidRPr="00C92CFE">
              <w:t>reviews or reports prepared by the candidate</w:t>
            </w:r>
          </w:p>
          <w:p w:rsidR="00000000" w:rsidRPr="00C92CFE" w:rsidP="00C92CFE">
            <w:pPr>
              <w:pStyle w:val="ListBullet2"/>
            </w:pPr>
            <w:r w:rsidRPr="00C92CFE">
              <w:t>scenarios</w:t>
            </w:r>
          </w:p>
          <w:p w:rsidR="00000000" w:rsidRPr="00C92CFE" w:rsidP="00C92CFE">
            <w:pPr>
              <w:pStyle w:val="ListBullet2"/>
            </w:pPr>
            <w:r w:rsidRPr="00C92CFE">
              <w:t>simulation or role plays</w:t>
            </w:r>
          </w:p>
        </w:tc>
      </w:tr>
    </w:tbl>
    <w:p w:rsidR="0044444E" w:rsidP="00C92CFE">
      <w:pPr>
        <w:pStyle w:val="BodyText"/>
      </w:pPr>
    </w:p>
    <w:p w:rsidR="0044444E" w:rsidP="00C92CFE">
      <w:pPr>
        <w:pStyle w:val="BodyText"/>
      </w:pPr>
    </w:p>
    <w:p w:rsidR="00000000" w:rsidRPr="00C92CFE" w:rsidP="00C92CFE">
      <w:pPr>
        <w:pStyle w:val="Heading1"/>
      </w:pPr>
      <w:bookmarkStart w:id="11" w:name="O_255100"/>
      <w:bookmarkEnd w:id="11"/>
      <w:r w:rsidRPr="00C92CFE">
        <w:t>Range Statement</w:t>
      </w:r>
    </w:p>
    <w:tbl>
      <w:tblPr>
        <w:tblW w:w="9640" w:type="dxa"/>
        <w:tblLayout w:type="fixed"/>
        <w:tblCellMar>
          <w:left w:w="62" w:type="dxa"/>
          <w:right w:w="62" w:type="dxa"/>
        </w:tblCellMar>
        <w:tblLook w:val="0000"/>
      </w:tblPr>
      <w:tblGrid>
        <w:gridCol w:w="3486"/>
        <w:gridCol w:w="6154"/>
      </w:tblGrid>
      <w:tr w:rsidTr="0044444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rPr>
                <w:rStyle w:val="SpecialBold"/>
              </w:rPr>
              <w:t>RANGE STATEMENT</w:t>
            </w:r>
            <w:r w:rsidRPr="00C92CFE">
              <w:t xml:space="preserve"> </w:t>
            </w:r>
          </w:p>
        </w:tc>
      </w:tr>
      <w:tr w:rsidTr="0044444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t>The range statement relates to the unit of competency as a whole. It allows for different work environments and situations that may affect performance.</w:t>
            </w:r>
          </w:p>
        </w:tc>
      </w:tr>
      <w:tr w:rsidTr="004444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t>Materiel may include:</w:t>
            </w:r>
          </w:p>
        </w:tc>
        <w:tc>
          <w:tcPr>
            <w:tcW w:w="6154"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all items (including ships, tanks, self-propelled weapon, aircraft etc. and rel</w:t>
            </w:r>
            <w:r w:rsidRPr="00C92CFE">
              <w:t>ated spares, repair parts and support equipment but excluding real property, installations and utilities) necessary to equip, operate, maintain and support designated activities without distinction as to its application for administrative or operational pu</w:t>
            </w:r>
            <w:r w:rsidRPr="00C92CFE">
              <w:t>rposes</w:t>
            </w:r>
          </w:p>
        </w:tc>
      </w:tr>
      <w:tr w:rsidTr="004444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t>Key stakeholders may include:</w:t>
            </w:r>
          </w:p>
        </w:tc>
        <w:tc>
          <w:tcPr>
            <w:tcW w:w="6154" w:type="dxa"/>
            <w:tcBorders>
              <w:top w:val="nil"/>
              <w:left w:val="nil"/>
              <w:bottom w:val="nil"/>
              <w:right w:val="nil"/>
            </w:tcBorders>
            <w:tcMar>
              <w:top w:w="0" w:type="dxa"/>
              <w:left w:w="62" w:type="dxa"/>
              <w:bottom w:w="0" w:type="dxa"/>
              <w:right w:w="62" w:type="dxa"/>
            </w:tcMar>
          </w:tcPr>
          <w:p w:rsidR="00000000" w:rsidRPr="00C92CFE" w:rsidP="00C92CFE">
            <w:pPr>
              <w:pStyle w:val="ListBullet"/>
            </w:pPr>
            <w:r w:rsidRPr="00C92CFE">
              <w:t>capability manager</w:t>
            </w:r>
          </w:p>
          <w:p w:rsidR="00000000" w:rsidRPr="00C92CFE" w:rsidP="00C92CFE">
            <w:pPr>
              <w:pStyle w:val="ListBullet"/>
            </w:pPr>
            <w:r w:rsidRPr="00C92CFE">
              <w:t>contractors</w:t>
            </w:r>
          </w:p>
          <w:p w:rsidR="00000000" w:rsidRPr="00C92CFE" w:rsidP="00C92CFE">
            <w:pPr>
              <w:pStyle w:val="ListBullet"/>
            </w:pPr>
            <w:r w:rsidRPr="00C92CFE">
              <w:t>customers</w:t>
            </w:r>
          </w:p>
          <w:p w:rsidR="00000000" w:rsidRPr="00C92CFE" w:rsidP="00C92CFE">
            <w:pPr>
              <w:pStyle w:val="ListBullet"/>
            </w:pPr>
            <w:r w:rsidRPr="00C92CFE">
              <w:t>project managers</w:t>
            </w:r>
          </w:p>
          <w:p w:rsidR="00000000" w:rsidRPr="00C92CFE" w:rsidP="00C92CFE">
            <w:pPr>
              <w:pStyle w:val="ListBullet"/>
            </w:pPr>
            <w:r w:rsidRPr="00C92CFE">
              <w:t>regulators</w:t>
            </w:r>
          </w:p>
          <w:p w:rsidR="00000000" w:rsidRPr="00C92CFE" w:rsidP="00C92CFE">
            <w:pPr>
              <w:pStyle w:val="ListBullet"/>
            </w:pPr>
            <w:r w:rsidRPr="00C92CFE">
              <w:t>subordinates</w:t>
            </w:r>
          </w:p>
          <w:p w:rsidR="00000000" w:rsidRPr="00C92CFE" w:rsidP="00C92CFE">
            <w:pPr>
              <w:pStyle w:val="ListBullet"/>
            </w:pPr>
            <w:r w:rsidRPr="00C92CFE">
              <w:t>supervisors</w:t>
            </w:r>
          </w:p>
          <w:p w:rsidR="00000000" w:rsidP="00C92CFE">
            <w:pPr>
              <w:pStyle w:val="ListBullet"/>
              <w:rPr>
                <w:lang w:val="en-NZ"/>
              </w:rPr>
            </w:pPr>
            <w:r w:rsidRPr="00C92CFE">
              <w:t>suppliers</w:t>
            </w:r>
          </w:p>
        </w:tc>
      </w:tr>
      <w:tr w:rsidTr="004444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C92CFE" w:rsidP="00C92CFE">
            <w:pPr>
              <w:pStyle w:val="ListBullet"/>
            </w:pPr>
            <w:r w:rsidRPr="00C92CFE">
              <w:t>Australian Standards</w:t>
            </w:r>
          </w:p>
          <w:p w:rsidR="00000000" w:rsidRPr="00C92CFE" w:rsidP="00C92CFE">
            <w:pPr>
              <w:pStyle w:val="ListBullet"/>
            </w:pPr>
            <w:r w:rsidRPr="00C92CFE">
              <w:t>international standards</w:t>
            </w:r>
          </w:p>
          <w:p w:rsidR="00000000" w:rsidRPr="00C92CFE" w:rsidP="00C92CFE">
            <w:pPr>
              <w:pStyle w:val="ListBullet"/>
            </w:pPr>
            <w:r w:rsidRPr="00C92CFE">
              <w:t>integrated logistics support</w:t>
            </w:r>
          </w:p>
          <w:p w:rsidR="00000000" w:rsidRPr="00C92CFE" w:rsidP="00C92CFE">
            <w:pPr>
              <w:pStyle w:val="ListBullet"/>
            </w:pPr>
            <w:r w:rsidRPr="00C92CFE">
              <w:t>logistics support analysis</w:t>
            </w:r>
          </w:p>
          <w:p w:rsidR="00000000" w:rsidP="00C92CFE">
            <w:pPr>
              <w:pStyle w:val="ListBullet"/>
              <w:rPr>
                <w:lang w:val="en-NZ"/>
              </w:rPr>
            </w:pPr>
            <w:r w:rsidRPr="00C92CFE">
              <w:t>organisational instructions and standards</w:t>
            </w:r>
          </w:p>
        </w:tc>
      </w:tr>
      <w:tr w:rsidTr="004444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t>Legislation may include:</w:t>
            </w:r>
          </w:p>
        </w:tc>
        <w:tc>
          <w:tcPr>
            <w:tcW w:w="6154" w:type="dxa"/>
            <w:tcBorders>
              <w:top w:val="nil"/>
              <w:left w:val="nil"/>
              <w:bottom w:val="nil"/>
              <w:right w:val="nil"/>
            </w:tcBorders>
            <w:tcMar>
              <w:top w:w="0" w:type="dxa"/>
              <w:left w:w="62" w:type="dxa"/>
              <w:bottom w:w="0" w:type="dxa"/>
              <w:right w:w="62" w:type="dxa"/>
            </w:tcMar>
          </w:tcPr>
          <w:p w:rsidR="00000000" w:rsidRPr="00C92CFE" w:rsidP="00C92CFE">
            <w:pPr>
              <w:pStyle w:val="ListBullet"/>
            </w:pPr>
            <w:r w:rsidRPr="00C92CFE">
              <w:t>regulations related to such matters as export and import licensing, taxes and duties</w:t>
            </w:r>
          </w:p>
          <w:p w:rsidR="00000000" w:rsidP="00C92CFE">
            <w:pPr>
              <w:pStyle w:val="ListBullet"/>
              <w:rPr>
                <w:lang w:val="en-NZ"/>
              </w:rPr>
            </w:pPr>
            <w:r w:rsidRPr="00C92CFE">
              <w:t>relevant federal, state and local government legislation and regulations including certification requirements</w:t>
            </w:r>
          </w:p>
        </w:tc>
      </w:tr>
      <w:tr w:rsidTr="004444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t>Costing may include:</w:t>
            </w:r>
          </w:p>
        </w:tc>
        <w:tc>
          <w:tcPr>
            <w:tcW w:w="6154" w:type="dxa"/>
            <w:tcBorders>
              <w:top w:val="nil"/>
              <w:left w:val="nil"/>
              <w:bottom w:val="nil"/>
              <w:right w:val="nil"/>
            </w:tcBorders>
            <w:tcMar>
              <w:top w:w="0" w:type="dxa"/>
              <w:left w:w="62" w:type="dxa"/>
              <w:bottom w:w="0" w:type="dxa"/>
              <w:right w:w="62" w:type="dxa"/>
            </w:tcMar>
          </w:tcPr>
          <w:p w:rsidR="00000000" w:rsidRPr="00C92CFE" w:rsidP="00C92CFE">
            <w:pPr>
              <w:pStyle w:val="ListBullet"/>
            </w:pPr>
            <w:r w:rsidRPr="00C92CFE">
              <w:t>labour</w:t>
            </w:r>
          </w:p>
          <w:p w:rsidR="00000000" w:rsidRPr="00C92CFE" w:rsidP="00C92CFE">
            <w:pPr>
              <w:pStyle w:val="ListBullet"/>
            </w:pPr>
            <w:r w:rsidRPr="00C92CFE">
              <w:t>life cycle costs</w:t>
            </w:r>
          </w:p>
          <w:p w:rsidR="00000000" w:rsidRPr="00C92CFE" w:rsidP="00C92CFE">
            <w:pPr>
              <w:pStyle w:val="ListBullet"/>
            </w:pPr>
            <w:r w:rsidRPr="00C92CFE">
              <w:t>money</w:t>
            </w:r>
          </w:p>
          <w:p w:rsidR="00000000" w:rsidRPr="00C92CFE" w:rsidP="00C92CFE">
            <w:pPr>
              <w:pStyle w:val="ListBullet"/>
            </w:pPr>
            <w:r w:rsidRPr="00C92CFE">
              <w:t>outlay of expenditure</w:t>
            </w:r>
          </w:p>
          <w:p w:rsidR="00000000" w:rsidRPr="00C92CFE" w:rsidP="00C92CFE">
            <w:pPr>
              <w:pStyle w:val="ListBullet"/>
            </w:pPr>
            <w:r w:rsidRPr="00C92CFE">
              <w:t>resources</w:t>
            </w:r>
          </w:p>
          <w:p w:rsidR="00000000" w:rsidP="00C92CFE">
            <w:pPr>
              <w:pStyle w:val="ListBullet"/>
              <w:rPr>
                <w:lang w:val="en-NZ"/>
              </w:rPr>
            </w:pPr>
            <w:r w:rsidRPr="00C92CFE">
              <w:t>time</w:t>
            </w:r>
          </w:p>
        </w:tc>
      </w:tr>
      <w:tr w:rsidTr="004444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t>Strategic alliances and cooperative ventures may include:</w:t>
            </w:r>
          </w:p>
        </w:tc>
        <w:tc>
          <w:tcPr>
            <w:tcW w:w="6154" w:type="dxa"/>
            <w:tcBorders>
              <w:top w:val="nil"/>
              <w:left w:val="nil"/>
              <w:bottom w:val="nil"/>
              <w:right w:val="nil"/>
            </w:tcBorders>
            <w:tcMar>
              <w:top w:w="0" w:type="dxa"/>
              <w:left w:w="62" w:type="dxa"/>
              <w:bottom w:w="0" w:type="dxa"/>
              <w:right w:w="62" w:type="dxa"/>
            </w:tcMar>
          </w:tcPr>
          <w:p w:rsidR="00000000" w:rsidP="00C92CFE">
            <w:pPr>
              <w:pStyle w:val="ListBullet"/>
              <w:rPr>
                <w:lang w:val="en-NZ"/>
              </w:rPr>
            </w:pPr>
            <w:r w:rsidRPr="00C92CFE">
              <w:t>relatively enduring inter-organisational cooperative arrangements, involving flows and linkages that utilise resources and/or governance structures from autonomous organisations, for the joint acco</w:t>
            </w:r>
            <w:r w:rsidRPr="00C92CFE">
              <w:t>mplishment of individual goals linked to the corporate mission of each sponsoring organisation</w:t>
            </w:r>
          </w:p>
        </w:tc>
      </w:tr>
      <w:tr w:rsidTr="004444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t>Communication channels may include:</w:t>
            </w:r>
          </w:p>
        </w:tc>
        <w:tc>
          <w:tcPr>
            <w:tcW w:w="6154" w:type="dxa"/>
            <w:tcBorders>
              <w:top w:val="nil"/>
              <w:left w:val="nil"/>
              <w:bottom w:val="nil"/>
              <w:right w:val="nil"/>
            </w:tcBorders>
            <w:tcMar>
              <w:top w:w="0" w:type="dxa"/>
              <w:left w:w="62" w:type="dxa"/>
              <w:bottom w:w="0" w:type="dxa"/>
              <w:right w:w="62" w:type="dxa"/>
            </w:tcMar>
          </w:tcPr>
          <w:p w:rsidR="00000000" w:rsidRPr="00C92CFE" w:rsidP="00C92CFE">
            <w:pPr>
              <w:pStyle w:val="ListBullet"/>
            </w:pPr>
            <w:r w:rsidRPr="00C92CFE">
              <w:t>electronic</w:t>
            </w:r>
          </w:p>
          <w:p w:rsidR="00000000" w:rsidRPr="00C92CFE" w:rsidP="00C92CFE">
            <w:pPr>
              <w:pStyle w:val="ListBullet"/>
            </w:pPr>
            <w:r w:rsidRPr="00C92CFE">
              <w:t>media</w:t>
            </w:r>
          </w:p>
          <w:p w:rsidR="00000000" w:rsidRPr="00C92CFE" w:rsidP="00C92CFE">
            <w:pPr>
              <w:pStyle w:val="ListBullet"/>
            </w:pPr>
            <w:r w:rsidRPr="00C92CFE">
              <w:t>plans</w:t>
            </w:r>
          </w:p>
          <w:p w:rsidR="00000000" w:rsidRPr="00C92CFE" w:rsidP="00C92CFE">
            <w:pPr>
              <w:pStyle w:val="ListBullet"/>
            </w:pPr>
            <w:r w:rsidRPr="00C92CFE">
              <w:t>publications</w:t>
            </w:r>
          </w:p>
          <w:p w:rsidR="00000000" w:rsidRPr="00C92CFE" w:rsidP="00C92CFE">
            <w:pPr>
              <w:pStyle w:val="ListBullet"/>
            </w:pPr>
            <w:r w:rsidRPr="00C92CFE">
              <w:t>verbal</w:t>
            </w:r>
          </w:p>
          <w:p w:rsidR="00000000" w:rsidP="00C92CFE">
            <w:pPr>
              <w:pStyle w:val="ListBullet"/>
              <w:rPr>
                <w:lang w:val="en-NZ"/>
              </w:rPr>
            </w:pPr>
            <w:r w:rsidRPr="00C92CFE">
              <w:t>written</w:t>
            </w:r>
          </w:p>
        </w:tc>
      </w:tr>
      <w:tr w:rsidTr="004444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t>Processes for the evaluation may include:</w:t>
            </w:r>
          </w:p>
        </w:tc>
        <w:tc>
          <w:tcPr>
            <w:tcW w:w="6154" w:type="dxa"/>
            <w:tcBorders>
              <w:top w:val="nil"/>
              <w:left w:val="nil"/>
              <w:bottom w:val="nil"/>
              <w:right w:val="nil"/>
            </w:tcBorders>
            <w:tcMar>
              <w:top w:w="0" w:type="dxa"/>
              <w:left w:w="62" w:type="dxa"/>
              <w:bottom w:w="0" w:type="dxa"/>
              <w:right w:w="62" w:type="dxa"/>
            </w:tcMar>
          </w:tcPr>
          <w:p w:rsidR="00000000" w:rsidRPr="00C92CFE" w:rsidP="00C92CFE">
            <w:pPr>
              <w:pStyle w:val="ListBullet"/>
            </w:pPr>
            <w:r w:rsidRPr="00C92CFE">
              <w:t>balanced score card measures</w:t>
            </w:r>
          </w:p>
          <w:p w:rsidR="00000000" w:rsidRPr="00C92CFE" w:rsidP="00C92CFE">
            <w:pPr>
              <w:pStyle w:val="ListBullet"/>
            </w:pPr>
            <w:r w:rsidRPr="00C92CFE">
              <w:t>conformance reports</w:t>
            </w:r>
          </w:p>
          <w:p w:rsidR="00000000" w:rsidRPr="00C92CFE" w:rsidP="00C92CFE">
            <w:pPr>
              <w:pStyle w:val="ListBullet"/>
            </w:pPr>
            <w:r w:rsidRPr="00C92CFE">
              <w:t>customer feedback</w:t>
            </w:r>
          </w:p>
          <w:p w:rsidR="00000000" w:rsidRPr="00C92CFE" w:rsidP="00C92CFE">
            <w:pPr>
              <w:pStyle w:val="ListBullet"/>
            </w:pPr>
            <w:r w:rsidRPr="00C92CFE">
              <w:t>gap analysis</w:t>
            </w:r>
          </w:p>
          <w:p w:rsidR="00000000" w:rsidRPr="00C92CFE" w:rsidP="00C92CFE">
            <w:pPr>
              <w:pStyle w:val="ListBullet"/>
            </w:pPr>
            <w:r w:rsidRPr="00C92CFE">
              <w:t>key performance indicators</w:t>
            </w:r>
          </w:p>
          <w:p w:rsidR="00000000" w:rsidRPr="00C92CFE" w:rsidP="00C92CFE">
            <w:pPr>
              <w:pStyle w:val="ListBullet"/>
            </w:pPr>
            <w:r w:rsidRPr="00C92CFE">
              <w:t>variance analysis</w:t>
            </w:r>
          </w:p>
        </w:tc>
      </w:tr>
    </w:tbl>
    <w:p w:rsidR="0044444E" w:rsidP="00C92CFE">
      <w:pPr>
        <w:pStyle w:val="BodyText"/>
      </w:pPr>
    </w:p>
    <w:p w:rsidR="0044444E" w:rsidP="00C92CFE">
      <w:pPr>
        <w:pStyle w:val="BodyText"/>
      </w:pPr>
    </w:p>
    <w:p w:rsidR="00000000" w:rsidRPr="00C92CFE" w:rsidP="00C92CFE">
      <w:pPr>
        <w:pStyle w:val="Heading1"/>
      </w:pPr>
      <w:bookmarkStart w:id="12" w:name="O_296113"/>
      <w:bookmarkEnd w:id="12"/>
      <w:r w:rsidRPr="00C92CFE">
        <w:t>Unit Sector(s)</w:t>
      </w:r>
    </w:p>
    <w:p w:rsidR="00000000" w:rsidRPr="00C92CFE" w:rsidP="00C92CFE">
      <w:pPr>
        <w:pStyle w:val="BodyText"/>
      </w:pPr>
      <w:r w:rsidRPr="00C92CFE">
        <w:t>Not Applicable</w:t>
      </w:r>
    </w:p>
    <w:p w:rsidR="00000000" w:rsidRPr="00C92CFE" w:rsidP="00C92CFE">
      <w:pPr>
        <w:pStyle w:val="AllowPageBreak"/>
      </w:pPr>
    </w:p>
    <w:p w:rsidR="00000000" w:rsidRPr="00C92CFE" w:rsidP="00C92CFE">
      <w:pPr>
        <w:pStyle w:val="Heading1"/>
      </w:pPr>
      <w:bookmarkStart w:id="13" w:name="O_224741"/>
      <w:bookmarkEnd w:id="13"/>
      <w:r w:rsidRPr="00C92CFE">
        <w:t>Competency Field</w:t>
      </w:r>
    </w:p>
    <w:tbl>
      <w:tblPr>
        <w:tblW w:w="9640" w:type="dxa"/>
        <w:tblLayout w:type="fixed"/>
        <w:tblCellMar>
          <w:left w:w="62" w:type="dxa"/>
          <w:right w:w="62" w:type="dxa"/>
        </w:tblCellMar>
        <w:tblLook w:val="0000"/>
      </w:tblPr>
      <w:tblGrid>
        <w:gridCol w:w="2978"/>
        <w:gridCol w:w="6662"/>
      </w:tblGrid>
      <w:tr w:rsidTr="0044444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92CFE">
            <w:pPr>
              <w:pStyle w:val="BodyText"/>
              <w:rPr>
                <w:lang w:val="en-NZ"/>
              </w:rPr>
            </w:pPr>
            <w:r w:rsidRPr="00C92CFE">
              <w:rPr>
                <w:rStyle w:val="SpecialBold"/>
              </w:rPr>
              <w:t>Competency Field</w:t>
            </w:r>
            <w:r w:rsidRPr="00C92CFE">
              <w:t xml:space="preserve"> </w:t>
            </w:r>
          </w:p>
        </w:tc>
        <w:tc>
          <w:tcPr>
            <w:tcW w:w="6662" w:type="dxa"/>
            <w:tcBorders>
              <w:top w:val="nil"/>
              <w:left w:val="nil"/>
              <w:bottom w:val="nil"/>
              <w:right w:val="nil"/>
            </w:tcBorders>
            <w:tcMar>
              <w:top w:w="0" w:type="dxa"/>
              <w:left w:w="62" w:type="dxa"/>
              <w:bottom w:w="0" w:type="dxa"/>
              <w:right w:w="62" w:type="dxa"/>
            </w:tcMar>
          </w:tcPr>
          <w:p w:rsidR="00000000" w:rsidRPr="00C92CFE" w:rsidP="00C92CFE">
            <w:pPr>
              <w:pStyle w:val="BodyText"/>
            </w:pPr>
            <w:r w:rsidRPr="00C92CFE">
              <w:t>X - Logistics</w:t>
            </w:r>
          </w:p>
        </w:tc>
      </w:tr>
    </w:tbl>
    <w:p w:rsidR="0044444E" w:rsidP="00C92CFE">
      <w:pPr>
        <w:pStyle w:val="BodyText"/>
      </w:pPr>
    </w:p>
    <w:p w:rsidR="0044444E" w:rsidP="00C92CFE">
      <w:pPr>
        <w:pStyle w:val="BodyText"/>
      </w:pPr>
    </w:p>
    <w:p w:rsidR="00000000" w:rsidRPr="00C92CFE" w:rsidP="00C92CFE"/>
    <w:sectPr w:rsidSect="00C92C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44E" w:rsidP="00444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4E" w:rsidP="00C92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4444E" w:rsidP="00C92C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4444E" w:rsidP="00C92C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44E" w:rsidP="004444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4E" w:rsidP="00C92CFE">
    <w:pPr>
      <w:pStyle w:val="Header"/>
      <w:framePr w:wrap="around"/>
    </w:pPr>
    <w:r>
      <w:fldChar w:fldCharType="begin"/>
    </w:r>
    <w:r>
      <w:instrText xml:space="preserve"> TITLE   \* MERGEFORMAT </w:instrText>
    </w:r>
    <w:r>
      <w:fldChar w:fldCharType="separate"/>
    </w:r>
    <w:r>
      <w:t>TLIX6001A Formulate materiel logistics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444E" w:rsidP="00C92C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D8E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886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DEB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C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2CFE"/>
    <w:pPr>
      <w:spacing w:before="360" w:after="60"/>
      <w:outlineLvl w:val="0"/>
    </w:pPr>
    <w:rPr>
      <w:sz w:val="32"/>
    </w:rPr>
  </w:style>
  <w:style w:type="paragraph" w:styleId="Heading2">
    <w:name w:val="heading 2"/>
    <w:basedOn w:val="HeadingBase"/>
    <w:next w:val="BodyText"/>
    <w:link w:val="Heading2Char"/>
    <w:qFormat/>
    <w:rsid w:val="00C92CFE"/>
    <w:pPr>
      <w:keepLines/>
      <w:spacing w:before="240" w:after="120"/>
      <w:outlineLvl w:val="1"/>
    </w:pPr>
    <w:rPr>
      <w:sz w:val="28"/>
      <w:szCs w:val="40"/>
    </w:rPr>
  </w:style>
  <w:style w:type="paragraph" w:styleId="Heading3">
    <w:name w:val="heading 3"/>
    <w:basedOn w:val="HeadingBase"/>
    <w:next w:val="BodyText"/>
    <w:link w:val="Heading3Char"/>
    <w:qFormat/>
    <w:rsid w:val="00C92CFE"/>
    <w:pPr>
      <w:spacing w:before="180" w:after="120"/>
      <w:outlineLvl w:val="2"/>
    </w:pPr>
    <w:rPr>
      <w:spacing w:val="-10"/>
      <w:kern w:val="32"/>
    </w:rPr>
  </w:style>
  <w:style w:type="paragraph" w:styleId="Heading4">
    <w:name w:val="heading 4"/>
    <w:basedOn w:val="HeadingBase"/>
    <w:next w:val="BodyText"/>
    <w:link w:val="Heading4Char"/>
    <w:qFormat/>
    <w:rsid w:val="00C92CFE"/>
    <w:pPr>
      <w:spacing w:before="160" w:after="120"/>
      <w:outlineLvl w:val="3"/>
    </w:pPr>
    <w:rPr>
      <w:sz w:val="22"/>
    </w:rPr>
  </w:style>
  <w:style w:type="paragraph" w:styleId="Heading5">
    <w:name w:val="heading 5"/>
    <w:basedOn w:val="HeadingBase"/>
    <w:next w:val="Normal"/>
    <w:link w:val="Heading5Char"/>
    <w:qFormat/>
    <w:rsid w:val="00C92CFE"/>
    <w:pPr>
      <w:spacing w:before="80"/>
      <w:outlineLvl w:val="4"/>
    </w:pPr>
    <w:rPr>
      <w:color w:val="918585"/>
      <w:sz w:val="20"/>
    </w:rPr>
  </w:style>
  <w:style w:type="paragraph" w:styleId="Heading6">
    <w:name w:val="heading 6"/>
    <w:basedOn w:val="HeadingBase"/>
    <w:next w:val="Normal"/>
    <w:link w:val="Heading6Char"/>
    <w:qFormat/>
    <w:rsid w:val="00C92CFE"/>
    <w:pPr>
      <w:spacing w:before="60"/>
      <w:outlineLvl w:val="5"/>
    </w:pPr>
    <w:rPr>
      <w:color w:val="918585"/>
      <w:sz w:val="20"/>
    </w:rPr>
  </w:style>
  <w:style w:type="paragraph" w:styleId="Heading7">
    <w:name w:val="heading 7"/>
    <w:basedOn w:val="Normal"/>
    <w:next w:val="Normal"/>
    <w:link w:val="Heading7Char"/>
    <w:qFormat/>
    <w:rsid w:val="00C92CFE"/>
    <w:pPr>
      <w:ind w:left="720"/>
      <w:outlineLvl w:val="6"/>
    </w:pPr>
    <w:rPr>
      <w:i/>
    </w:rPr>
  </w:style>
  <w:style w:type="paragraph" w:styleId="Heading8">
    <w:name w:val="heading 8"/>
    <w:basedOn w:val="Normal"/>
    <w:next w:val="Normal"/>
    <w:link w:val="Heading8Char"/>
    <w:qFormat/>
    <w:rsid w:val="00C92CFE"/>
    <w:pPr>
      <w:ind w:left="720"/>
      <w:outlineLvl w:val="7"/>
    </w:pPr>
    <w:rPr>
      <w:i/>
    </w:rPr>
  </w:style>
  <w:style w:type="paragraph" w:styleId="Heading9">
    <w:name w:val="heading 9"/>
    <w:basedOn w:val="Normal"/>
    <w:next w:val="Normal"/>
    <w:link w:val="Heading9Char"/>
    <w:qFormat/>
    <w:rsid w:val="00C92CFE"/>
    <w:pPr>
      <w:ind w:left="720"/>
      <w:outlineLvl w:val="8"/>
    </w:pPr>
    <w:rPr>
      <w:i/>
    </w:rPr>
  </w:style>
  <w:style w:type="character" w:default="1" w:styleId="DefaultParagraphFont">
    <w:name w:val="Default Paragraph Font"/>
    <w:uiPriority w:val="1"/>
    <w:unhideWhenUsed/>
    <w:rsid w:val="00C92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CFE"/>
  </w:style>
  <w:style w:type="character" w:customStyle="1" w:styleId="Heading1Char">
    <w:name w:val="Heading 1 Char"/>
    <w:basedOn w:val="DefaultParagraphFont"/>
    <w:link w:val="Heading1"/>
    <w:rsid w:val="00C92CFE"/>
    <w:rPr>
      <w:rFonts w:ascii="Times New Roman" w:eastAsia="Times New Roman" w:hAnsi="Times New Roman" w:cs="Times New Roman"/>
      <w:b/>
      <w:sz w:val="32"/>
      <w:szCs w:val="20"/>
      <w:lang w:eastAsia="en-US"/>
    </w:rPr>
  </w:style>
  <w:style w:type="paragraph" w:styleId="BodyText">
    <w:name w:val="Body Text"/>
    <w:basedOn w:val="Normal"/>
    <w:link w:val="BodyTextChar"/>
    <w:rsid w:val="00C92C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2CFE"/>
    <w:rPr>
      <w:rFonts w:ascii="Times New Roman" w:eastAsia="Times New Roman" w:hAnsi="Times New Roman" w:cs="Times New Roman"/>
      <w:sz w:val="24"/>
      <w:lang w:val="en-US" w:eastAsia="en-US"/>
    </w:rPr>
  </w:style>
  <w:style w:type="paragraph" w:styleId="Footer">
    <w:name w:val="footer"/>
    <w:basedOn w:val="Normal"/>
    <w:link w:val="FooterChar"/>
    <w:rsid w:val="00C92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CFE"/>
    <w:rPr>
      <w:rFonts w:ascii="Times New Roman" w:eastAsia="Times New Roman" w:hAnsi="Times New Roman" w:cs="Times New Roman"/>
      <w:sz w:val="16"/>
      <w:lang w:val="en-US" w:eastAsia="en-US"/>
    </w:rPr>
  </w:style>
  <w:style w:type="paragraph" w:styleId="List">
    <w:name w:val="List"/>
    <w:basedOn w:val="BodyText"/>
    <w:next w:val="BodyText"/>
    <w:rsid w:val="00C92CFE"/>
    <w:pPr>
      <w:tabs>
        <w:tab w:val="left" w:pos="340"/>
      </w:tabs>
      <w:spacing w:before="60" w:after="60"/>
      <w:ind w:left="340" w:hanging="340"/>
    </w:pPr>
  </w:style>
  <w:style w:type="paragraph" w:styleId="ListBullet">
    <w:name w:val="List Bullet"/>
    <w:basedOn w:val="List"/>
    <w:rsid w:val="00C92CFE"/>
    <w:pPr>
      <w:numPr>
        <w:numId w:val="13"/>
      </w:numPr>
      <w:tabs>
        <w:tab w:val="clear" w:pos="340"/>
      </w:tabs>
      <w:spacing w:before="40" w:after="40"/>
    </w:pPr>
  </w:style>
  <w:style w:type="character" w:customStyle="1" w:styleId="SpecialBold">
    <w:name w:val="Special Bold"/>
    <w:basedOn w:val="DefaultParagraphFont"/>
    <w:rsid w:val="00C92CFE"/>
    <w:rPr>
      <w:b/>
      <w:spacing w:val="0"/>
    </w:rPr>
  </w:style>
  <w:style w:type="paragraph" w:styleId="ListBullet2">
    <w:name w:val="List Bullet 2"/>
    <w:basedOn w:val="List2"/>
    <w:rsid w:val="00C92CFE"/>
    <w:pPr>
      <w:numPr>
        <w:numId w:val="14"/>
      </w:numPr>
      <w:tabs>
        <w:tab w:val="clear" w:pos="680"/>
      </w:tabs>
    </w:pPr>
  </w:style>
  <w:style w:type="paragraph" w:styleId="Header">
    <w:name w:val="header"/>
    <w:basedOn w:val="Normal"/>
    <w:link w:val="HeaderChar"/>
    <w:rsid w:val="00C92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C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2CFE"/>
    <w:pPr>
      <w:spacing w:before="240" w:after="120"/>
      <w:outlineLvl w:val="0"/>
    </w:pPr>
    <w:rPr>
      <w:rFonts w:ascii="Times New Roman" w:hAnsi="Times New Roman"/>
      <w:b/>
      <w:sz w:val="28"/>
    </w:rPr>
  </w:style>
  <w:style w:type="paragraph" w:customStyle="1" w:styleId="AllowPageBreak">
    <w:name w:val="AllowPageBreak"/>
    <w:rsid w:val="00C92C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C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2C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2CFE"/>
    <w:rPr>
      <w:rFonts w:ascii="Courier New" w:eastAsia="Times New Roman" w:hAnsi="Courier New" w:cs="Times New Roman"/>
      <w:i/>
      <w:szCs w:val="20"/>
      <w:lang w:val="en-US" w:eastAsia="en-US"/>
    </w:rPr>
  </w:style>
  <w:style w:type="paragraph" w:customStyle="1" w:styleId="HeadingBase">
    <w:name w:val="Heading Base"/>
    <w:rsid w:val="00C92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CFE"/>
    <w:pPr>
      <w:tabs>
        <w:tab w:val="right" w:leader="dot" w:pos="9072"/>
      </w:tabs>
      <w:ind w:left="567"/>
    </w:pPr>
    <w:rPr>
      <w:szCs w:val="22"/>
    </w:rPr>
  </w:style>
  <w:style w:type="paragraph" w:customStyle="1" w:styleId="TOCBase">
    <w:name w:val="TOC Base"/>
    <w:rsid w:val="00C92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CFE"/>
    <w:pPr>
      <w:tabs>
        <w:tab w:val="right" w:leader="dot" w:pos="9072"/>
      </w:tabs>
      <w:spacing w:before="40" w:after="40"/>
      <w:ind w:left="284"/>
    </w:pPr>
    <w:rPr>
      <w:rFonts w:ascii="Times New Roman" w:hAnsi="Times New Roman"/>
    </w:rPr>
  </w:style>
  <w:style w:type="paragraph" w:styleId="TOC1">
    <w:name w:val="toc 1"/>
    <w:basedOn w:val="TOCBase"/>
    <w:next w:val="Normal"/>
    <w:rsid w:val="00C92C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2CFE"/>
    <w:pPr>
      <w:spacing w:before="5040"/>
      <w:jc w:val="center"/>
    </w:pPr>
    <w:rPr>
      <w:sz w:val="48"/>
      <w:szCs w:val="72"/>
      <w:lang w:val="en-US"/>
    </w:rPr>
  </w:style>
  <w:style w:type="character" w:customStyle="1" w:styleId="TitleChar">
    <w:name w:val="Title Char"/>
    <w:basedOn w:val="DefaultParagraphFont"/>
    <w:link w:val="Title"/>
    <w:rsid w:val="00C92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CFE"/>
    <w:pPr>
      <w:tabs>
        <w:tab w:val="left" w:pos="3600"/>
        <w:tab w:val="left" w:pos="3958"/>
      </w:tabs>
    </w:pPr>
  </w:style>
  <w:style w:type="paragraph" w:customStyle="1" w:styleId="Note">
    <w:name w:val="Note"/>
    <w:basedOn w:val="BodyText"/>
    <w:rsid w:val="00C92C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CFE"/>
    <w:pPr>
      <w:framePr w:wrap="auto" w:hAnchor="text" w:y="6049"/>
    </w:pPr>
    <w:rPr>
      <w:color w:val="000000"/>
      <w:sz w:val="40"/>
    </w:rPr>
  </w:style>
  <w:style w:type="paragraph" w:customStyle="1" w:styleId="TOCTitle">
    <w:name w:val="TOCTitle"/>
    <w:basedOn w:val="Heading1"/>
    <w:rsid w:val="00C92CFE"/>
    <w:pPr>
      <w:spacing w:after="240"/>
      <w:jc w:val="center"/>
      <w:outlineLvl w:val="9"/>
    </w:pPr>
    <w:rPr>
      <w:caps/>
    </w:rPr>
  </w:style>
  <w:style w:type="paragraph" w:customStyle="1" w:styleId="Version">
    <w:name w:val="Version"/>
    <w:rsid w:val="00C92C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CFE"/>
    <w:pPr>
      <w:keepNext w:val="0"/>
      <w:tabs>
        <w:tab w:val="right" w:pos="4176"/>
      </w:tabs>
      <w:ind w:left="198" w:hanging="198"/>
    </w:pPr>
    <w:rPr>
      <w:rFonts w:ascii="Garamond" w:hAnsi="Garamond"/>
    </w:rPr>
  </w:style>
  <w:style w:type="paragraph" w:styleId="IndexHeading">
    <w:name w:val="index heading"/>
    <w:basedOn w:val="Normal"/>
    <w:next w:val="Index1"/>
    <w:semiHidden/>
    <w:rsid w:val="00C92CFE"/>
    <w:pPr>
      <w:spacing w:before="120" w:after="120"/>
    </w:pPr>
    <w:rPr>
      <w:rFonts w:ascii="Arial" w:hAnsi="Arial"/>
      <w:b/>
      <w:color w:val="918585"/>
      <w:sz w:val="24"/>
    </w:rPr>
  </w:style>
  <w:style w:type="paragraph" w:customStyle="1" w:styleId="Chapter">
    <w:name w:val="Chapter"/>
    <w:basedOn w:val="Normal"/>
    <w:rsid w:val="00C92CFE"/>
    <w:pPr>
      <w:spacing w:before="240"/>
    </w:pPr>
    <w:rPr>
      <w:rFonts w:ascii="Times New Roman" w:hAnsi="Times New Roman"/>
      <w:smallCaps/>
      <w:spacing w:val="80"/>
      <w:sz w:val="28"/>
    </w:rPr>
  </w:style>
  <w:style w:type="paragraph" w:customStyle="1" w:styleId="InChapter">
    <w:name w:val="InChapter"/>
    <w:basedOn w:val="Heading3"/>
    <w:rsid w:val="00C92CFE"/>
    <w:pPr>
      <w:spacing w:after="240"/>
      <w:outlineLvl w:val="9"/>
    </w:pPr>
    <w:rPr>
      <w:noProof/>
    </w:rPr>
  </w:style>
  <w:style w:type="paragraph" w:styleId="Index2">
    <w:name w:val="index 2"/>
    <w:basedOn w:val="Normal"/>
    <w:next w:val="Normal"/>
    <w:semiHidden/>
    <w:rsid w:val="00C92CFE"/>
    <w:pPr>
      <w:tabs>
        <w:tab w:val="right" w:pos="4176"/>
      </w:tabs>
      <w:ind w:left="568" w:hanging="284"/>
    </w:pPr>
    <w:rPr>
      <w:rFonts w:ascii="Garamond" w:hAnsi="Garamond"/>
    </w:rPr>
  </w:style>
  <w:style w:type="paragraph" w:customStyle="1" w:styleId="Byline">
    <w:name w:val="Byline"/>
    <w:rsid w:val="00C92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CFE"/>
    <w:pPr>
      <w:tabs>
        <w:tab w:val="clear" w:pos="3600"/>
        <w:tab w:val="clear" w:pos="3958"/>
      </w:tabs>
      <w:jc w:val="right"/>
    </w:pPr>
  </w:style>
  <w:style w:type="character" w:styleId="Emphasis">
    <w:name w:val="Emphasis"/>
    <w:basedOn w:val="DefaultParagraphFont"/>
    <w:qFormat/>
    <w:rsid w:val="00C92CFE"/>
    <w:rPr>
      <w:i/>
    </w:rPr>
  </w:style>
  <w:style w:type="paragraph" w:styleId="Caption">
    <w:name w:val="caption"/>
    <w:basedOn w:val="BodyText"/>
    <w:next w:val="Normal"/>
    <w:qFormat/>
    <w:rsid w:val="00C92CFE"/>
    <w:pPr>
      <w:framePr w:w="2268" w:hSpace="181" w:vSpace="181" w:wrap="around" w:vAnchor="text" w:hAnchor="page" w:x="1135" w:y="285" w:anchorLock="1"/>
    </w:pPr>
    <w:rPr>
      <w:i/>
    </w:rPr>
  </w:style>
  <w:style w:type="paragraph" w:customStyle="1" w:styleId="MiniTOCTitle">
    <w:name w:val="MiniTOCTitle"/>
    <w:basedOn w:val="Heading4"/>
    <w:rsid w:val="00C92CFE"/>
    <w:pPr>
      <w:spacing w:before="240"/>
      <w:outlineLvl w:val="9"/>
    </w:pPr>
    <w:rPr>
      <w:noProof/>
      <w:sz w:val="24"/>
    </w:rPr>
  </w:style>
  <w:style w:type="paragraph" w:customStyle="1" w:styleId="MiniTOCItem">
    <w:name w:val="MiniTOCItem"/>
    <w:basedOn w:val="ListBullet"/>
    <w:rsid w:val="00C92CFE"/>
    <w:pPr>
      <w:numPr>
        <w:numId w:val="0"/>
      </w:numPr>
      <w:tabs>
        <w:tab w:val="right" w:leader="dot" w:pos="6521"/>
      </w:tabs>
      <w:spacing w:before="0" w:after="0"/>
    </w:pPr>
  </w:style>
  <w:style w:type="paragraph" w:customStyle="1" w:styleId="TOFTitle">
    <w:name w:val="TOFTitle"/>
    <w:basedOn w:val="TOCTitle"/>
    <w:rsid w:val="00C92CFE"/>
  </w:style>
  <w:style w:type="paragraph" w:styleId="TableofFigures">
    <w:name w:val="table of figures"/>
    <w:basedOn w:val="Normal"/>
    <w:next w:val="Normal"/>
    <w:semiHidden/>
    <w:rsid w:val="00C92CFE"/>
    <w:pPr>
      <w:tabs>
        <w:tab w:val="right" w:leader="dot" w:pos="9072"/>
      </w:tabs>
      <w:ind w:left="970" w:hanging="403"/>
    </w:pPr>
    <w:rPr>
      <w:rFonts w:ascii="Times New Roman" w:hAnsi="Times New Roman"/>
      <w:b/>
    </w:rPr>
  </w:style>
  <w:style w:type="paragraph" w:styleId="ListNumber">
    <w:name w:val="List Number"/>
    <w:basedOn w:val="List"/>
    <w:rsid w:val="00C92CFE"/>
    <w:pPr>
      <w:numPr>
        <w:numId w:val="11"/>
      </w:numPr>
    </w:pPr>
  </w:style>
  <w:style w:type="character" w:customStyle="1" w:styleId="WingdingSymbols">
    <w:name w:val="Wingding Symbols"/>
    <w:rsid w:val="00C92CFE"/>
    <w:rPr>
      <w:rFonts w:ascii="Wingdings" w:hAnsi="Wingdings"/>
    </w:rPr>
  </w:style>
  <w:style w:type="paragraph" w:customStyle="1" w:styleId="TableHeading">
    <w:name w:val="Table Heading"/>
    <w:basedOn w:val="HeadingBase"/>
    <w:rsid w:val="00C92CFE"/>
    <w:pPr>
      <w:keepLines/>
      <w:pBdr>
        <w:bottom w:val="single" w:sz="6" w:space="1" w:color="918585"/>
      </w:pBdr>
      <w:spacing w:before="240"/>
    </w:pPr>
  </w:style>
  <w:style w:type="character" w:customStyle="1" w:styleId="HotSpot">
    <w:name w:val="HotSpot"/>
    <w:rsid w:val="00C92CFE"/>
    <w:rPr>
      <w:color w:val="0033CC"/>
      <w:u w:val="none"/>
    </w:rPr>
  </w:style>
  <w:style w:type="paragraph" w:customStyle="1" w:styleId="BodyTextRight">
    <w:name w:val="Body Text Right"/>
    <w:basedOn w:val="BodyText"/>
    <w:rsid w:val="00C92CFE"/>
    <w:pPr>
      <w:spacing w:before="0" w:after="0"/>
      <w:jc w:val="right"/>
    </w:pPr>
  </w:style>
  <w:style w:type="paragraph" w:styleId="Index3">
    <w:name w:val="index 3"/>
    <w:basedOn w:val="ListNumber2"/>
    <w:next w:val="Normal"/>
    <w:semiHidden/>
    <w:rsid w:val="00C92CFE"/>
    <w:pPr>
      <w:numPr>
        <w:numId w:val="0"/>
      </w:numPr>
      <w:tabs>
        <w:tab w:val="right" w:leader="dot" w:pos="4176"/>
      </w:tabs>
    </w:pPr>
  </w:style>
  <w:style w:type="paragraph" w:styleId="ListNumber2">
    <w:name w:val="List Number 2"/>
    <w:basedOn w:val="List2"/>
    <w:rsid w:val="00C92CFE"/>
    <w:pPr>
      <w:numPr>
        <w:numId w:val="10"/>
      </w:numPr>
      <w:tabs>
        <w:tab w:val="clear" w:pos="1060"/>
      </w:tabs>
    </w:pPr>
  </w:style>
  <w:style w:type="paragraph" w:customStyle="1" w:styleId="MarginNote">
    <w:name w:val="Margin Note"/>
    <w:basedOn w:val="BodyText"/>
    <w:rsid w:val="00C92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C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2CFE"/>
    <w:rPr>
      <w:sz w:val="32"/>
    </w:rPr>
  </w:style>
  <w:style w:type="paragraph" w:customStyle="1" w:styleId="HeadingProcedure">
    <w:name w:val="Heading Procedure"/>
    <w:basedOn w:val="HeadingBase"/>
    <w:next w:val="Normal"/>
    <w:rsid w:val="00C92CFE"/>
    <w:pPr>
      <w:tabs>
        <w:tab w:val="left" w:pos="0"/>
      </w:tabs>
      <w:spacing w:before="120" w:after="60"/>
    </w:pPr>
    <w:rPr>
      <w:i/>
      <w:color w:val="918585"/>
      <w:sz w:val="22"/>
    </w:rPr>
  </w:style>
  <w:style w:type="paragraph" w:customStyle="1" w:styleId="TableBodyText">
    <w:name w:val="Table Body Text"/>
    <w:basedOn w:val="BodyText"/>
    <w:rsid w:val="00C92CFE"/>
    <w:pPr>
      <w:spacing w:before="60" w:after="60"/>
    </w:pPr>
  </w:style>
  <w:style w:type="paragraph" w:styleId="ListContinue">
    <w:name w:val="List Continue"/>
    <w:basedOn w:val="List"/>
    <w:rsid w:val="00C92CFE"/>
    <w:pPr>
      <w:ind w:firstLine="0"/>
    </w:pPr>
  </w:style>
  <w:style w:type="paragraph" w:customStyle="1" w:styleId="ListNote">
    <w:name w:val="List Note"/>
    <w:basedOn w:val="List"/>
    <w:rsid w:val="00C92CFE"/>
    <w:pPr>
      <w:pBdr>
        <w:top w:val="single" w:sz="6" w:space="2" w:color="918585"/>
        <w:bottom w:val="single" w:sz="6" w:space="2" w:color="918585"/>
      </w:pBdr>
      <w:tabs>
        <w:tab w:val="left" w:pos="1021"/>
      </w:tabs>
      <w:ind w:firstLine="0"/>
    </w:pPr>
  </w:style>
  <w:style w:type="paragraph" w:customStyle="1" w:styleId="Warning">
    <w:name w:val="Warning"/>
    <w:basedOn w:val="BodyText"/>
    <w:rsid w:val="00C92CFE"/>
    <w:pPr>
      <w:shd w:val="clear" w:color="auto" w:fill="D9D9D9"/>
      <w:tabs>
        <w:tab w:val="left" w:pos="992"/>
      </w:tabs>
      <w:ind w:left="119" w:right="119"/>
    </w:pPr>
    <w:rPr>
      <w:sz w:val="20"/>
    </w:rPr>
  </w:style>
  <w:style w:type="paragraph" w:customStyle="1" w:styleId="MarginIcons">
    <w:name w:val="Margin Icons"/>
    <w:basedOn w:val="BodyText"/>
    <w:rsid w:val="00C92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CFE"/>
    <w:rPr>
      <w:rFonts w:ascii="Courier New" w:hAnsi="Courier New"/>
    </w:rPr>
  </w:style>
  <w:style w:type="paragraph" w:customStyle="1" w:styleId="NoteBullet">
    <w:name w:val="Note Bullet"/>
    <w:basedOn w:val="Note"/>
    <w:rsid w:val="00C92CFE"/>
    <w:pPr>
      <w:tabs>
        <w:tab w:val="clear" w:pos="680"/>
      </w:tabs>
      <w:spacing w:before="60" w:after="60"/>
    </w:pPr>
  </w:style>
  <w:style w:type="paragraph" w:customStyle="1" w:styleId="SubHeading2">
    <w:name w:val="SubHeading2"/>
    <w:basedOn w:val="HeadingBase"/>
    <w:rsid w:val="00C92CFE"/>
    <w:pPr>
      <w:spacing w:before="240" w:after="60"/>
    </w:pPr>
    <w:rPr>
      <w:sz w:val="20"/>
    </w:rPr>
  </w:style>
  <w:style w:type="paragraph" w:customStyle="1" w:styleId="SubHeading1">
    <w:name w:val="SubHeading1"/>
    <w:basedOn w:val="HeadingBase"/>
    <w:rsid w:val="00C92CFE"/>
    <w:pPr>
      <w:spacing w:before="240" w:after="60"/>
    </w:pPr>
    <w:rPr>
      <w:color w:val="918585"/>
      <w:sz w:val="22"/>
    </w:rPr>
  </w:style>
  <w:style w:type="paragraph" w:customStyle="1" w:styleId="SideHeading">
    <w:name w:val="Side Heading"/>
    <w:basedOn w:val="HeadingBase"/>
    <w:rsid w:val="00C92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CFE"/>
    <w:pPr>
      <w:numPr>
        <w:numId w:val="12"/>
      </w:numPr>
    </w:pPr>
  </w:style>
  <w:style w:type="paragraph" w:styleId="PlainText">
    <w:name w:val="Plain Text"/>
    <w:basedOn w:val="Normal"/>
    <w:link w:val="PlainTextChar"/>
    <w:rsid w:val="00C92CFE"/>
    <w:rPr>
      <w:sz w:val="20"/>
    </w:rPr>
  </w:style>
  <w:style w:type="character" w:customStyle="1" w:styleId="PlainTextChar">
    <w:name w:val="Plain Text Char"/>
    <w:basedOn w:val="DefaultParagraphFont"/>
    <w:link w:val="PlainText"/>
    <w:rsid w:val="00C92C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2CFE"/>
    <w:rPr>
      <w:b/>
      <w:smallCaps/>
    </w:rPr>
  </w:style>
  <w:style w:type="paragraph" w:customStyle="1" w:styleId="TableListNumber">
    <w:name w:val="Table List Number"/>
    <w:basedOn w:val="ListNumber"/>
    <w:rsid w:val="00C92CFE"/>
    <w:pPr>
      <w:numPr>
        <w:numId w:val="0"/>
      </w:numPr>
    </w:pPr>
  </w:style>
  <w:style w:type="paragraph" w:styleId="TOC4">
    <w:name w:val="toc 4"/>
    <w:basedOn w:val="TOCBase"/>
    <w:next w:val="Normal"/>
    <w:semiHidden/>
    <w:rsid w:val="00C92CFE"/>
    <w:pPr>
      <w:tabs>
        <w:tab w:val="right" w:leader="dot" w:pos="9071"/>
      </w:tabs>
      <w:ind w:left="1701"/>
    </w:pPr>
  </w:style>
  <w:style w:type="paragraph" w:customStyle="1" w:styleId="ListAlpha">
    <w:name w:val="List Alpha"/>
    <w:basedOn w:val="List"/>
    <w:rsid w:val="00C92CFE"/>
    <w:pPr>
      <w:numPr>
        <w:numId w:val="9"/>
      </w:numPr>
    </w:pPr>
  </w:style>
  <w:style w:type="paragraph" w:customStyle="1" w:styleId="ListAlpha2">
    <w:name w:val="List Alpha 2"/>
    <w:basedOn w:val="List2"/>
    <w:rsid w:val="00C92CFE"/>
    <w:pPr>
      <w:numPr>
        <w:numId w:val="8"/>
      </w:numPr>
    </w:pPr>
  </w:style>
  <w:style w:type="paragraph" w:styleId="List2">
    <w:name w:val="List 2"/>
    <w:basedOn w:val="BodyText"/>
    <w:rsid w:val="00C92CFE"/>
    <w:pPr>
      <w:tabs>
        <w:tab w:val="left" w:pos="680"/>
      </w:tabs>
      <w:spacing w:before="60" w:after="60"/>
      <w:ind w:left="680" w:hanging="340"/>
    </w:pPr>
  </w:style>
  <w:style w:type="paragraph" w:styleId="List3">
    <w:name w:val="List 3"/>
    <w:basedOn w:val="BodyText"/>
    <w:rsid w:val="00C92CFE"/>
    <w:pPr>
      <w:tabs>
        <w:tab w:val="left" w:pos="1021"/>
      </w:tabs>
      <w:spacing w:before="60" w:after="60"/>
      <w:ind w:left="1020" w:hanging="340"/>
    </w:pPr>
  </w:style>
  <w:style w:type="paragraph" w:styleId="List4">
    <w:name w:val="List 4"/>
    <w:basedOn w:val="BodyText"/>
    <w:rsid w:val="00C92CFE"/>
    <w:pPr>
      <w:tabs>
        <w:tab w:val="left" w:pos="1361"/>
      </w:tabs>
      <w:spacing w:before="60" w:after="60"/>
      <w:ind w:left="1361" w:hanging="340"/>
    </w:pPr>
  </w:style>
  <w:style w:type="paragraph" w:styleId="List5">
    <w:name w:val="List 5"/>
    <w:basedOn w:val="BodyText"/>
    <w:rsid w:val="00C92CFE"/>
    <w:pPr>
      <w:tabs>
        <w:tab w:val="left" w:pos="1701"/>
      </w:tabs>
      <w:spacing w:before="60" w:after="60"/>
      <w:ind w:left="1701" w:hanging="340"/>
    </w:pPr>
  </w:style>
  <w:style w:type="paragraph" w:styleId="ListBullet3">
    <w:name w:val="List Bullet 3"/>
    <w:basedOn w:val="List3"/>
    <w:rsid w:val="00C92CFE"/>
    <w:pPr>
      <w:numPr>
        <w:numId w:val="15"/>
      </w:numPr>
      <w:tabs>
        <w:tab w:val="clear" w:pos="1021"/>
      </w:tabs>
      <w:ind w:left="1037" w:hanging="357"/>
    </w:pPr>
  </w:style>
  <w:style w:type="paragraph" w:styleId="ListBullet4">
    <w:name w:val="List Bullet 4"/>
    <w:basedOn w:val="List4"/>
    <w:rsid w:val="00C92CFE"/>
    <w:pPr>
      <w:numPr>
        <w:numId w:val="3"/>
      </w:numPr>
    </w:pPr>
  </w:style>
  <w:style w:type="paragraph" w:styleId="ListBullet5">
    <w:name w:val="List Bullet 5"/>
    <w:basedOn w:val="List5"/>
    <w:rsid w:val="00C92CFE"/>
    <w:pPr>
      <w:numPr>
        <w:numId w:val="4"/>
      </w:numPr>
    </w:pPr>
  </w:style>
  <w:style w:type="paragraph" w:styleId="ListContinue2">
    <w:name w:val="List Continue 2"/>
    <w:basedOn w:val="List2"/>
    <w:rsid w:val="00C92CFE"/>
    <w:pPr>
      <w:ind w:firstLine="0"/>
    </w:pPr>
  </w:style>
  <w:style w:type="paragraph" w:styleId="ListContinue3">
    <w:name w:val="List Continue 3"/>
    <w:basedOn w:val="List3"/>
    <w:rsid w:val="00C92CFE"/>
    <w:pPr>
      <w:ind w:left="1021" w:firstLine="0"/>
    </w:pPr>
  </w:style>
  <w:style w:type="paragraph" w:styleId="ListContinue4">
    <w:name w:val="List Continue 4"/>
    <w:basedOn w:val="List4"/>
    <w:rsid w:val="00C92CFE"/>
    <w:pPr>
      <w:ind w:firstLine="0"/>
    </w:pPr>
  </w:style>
  <w:style w:type="paragraph" w:styleId="ListContinue5">
    <w:name w:val="List Continue 5"/>
    <w:basedOn w:val="List5"/>
    <w:rsid w:val="00C92CFE"/>
    <w:pPr>
      <w:ind w:firstLine="0"/>
    </w:pPr>
  </w:style>
  <w:style w:type="paragraph" w:styleId="ListNumber3">
    <w:name w:val="List Number 3"/>
    <w:basedOn w:val="List3"/>
    <w:rsid w:val="00C92CFE"/>
    <w:pPr>
      <w:numPr>
        <w:numId w:val="5"/>
      </w:numPr>
    </w:pPr>
  </w:style>
  <w:style w:type="paragraph" w:styleId="ListNumber4">
    <w:name w:val="List Number 4"/>
    <w:basedOn w:val="List4"/>
    <w:rsid w:val="00C92CFE"/>
    <w:pPr>
      <w:numPr>
        <w:numId w:val="6"/>
      </w:numPr>
    </w:pPr>
  </w:style>
  <w:style w:type="paragraph" w:styleId="ListNumber5">
    <w:name w:val="List Number 5"/>
    <w:basedOn w:val="List5"/>
    <w:rsid w:val="00C92CFE"/>
    <w:pPr>
      <w:numPr>
        <w:numId w:val="7"/>
      </w:numPr>
    </w:pPr>
  </w:style>
  <w:style w:type="paragraph" w:styleId="BlockText">
    <w:name w:val="Block Text"/>
    <w:basedOn w:val="Normal"/>
    <w:rsid w:val="00C92CFE"/>
    <w:pPr>
      <w:spacing w:after="120"/>
      <w:ind w:left="1440" w:right="1440"/>
    </w:pPr>
  </w:style>
  <w:style w:type="character" w:customStyle="1" w:styleId="Subscript">
    <w:name w:val="Subscript"/>
    <w:basedOn w:val="DefaultParagraphFont"/>
    <w:rsid w:val="00C92CFE"/>
    <w:rPr>
      <w:sz w:val="16"/>
      <w:vertAlign w:val="subscript"/>
    </w:rPr>
  </w:style>
  <w:style w:type="character" w:customStyle="1" w:styleId="Superscript">
    <w:name w:val="Superscript"/>
    <w:basedOn w:val="DefaultParagraphFont"/>
    <w:rsid w:val="00C92CFE"/>
    <w:rPr>
      <w:sz w:val="16"/>
      <w:vertAlign w:val="superscript"/>
    </w:rPr>
  </w:style>
  <w:style w:type="character" w:customStyle="1" w:styleId="Symbols">
    <w:name w:val="Symbols"/>
    <w:basedOn w:val="DefaultParagraphFont"/>
    <w:rsid w:val="00C92CFE"/>
    <w:rPr>
      <w:rFonts w:ascii="Symbol" w:hAnsi="Symbol"/>
    </w:rPr>
  </w:style>
  <w:style w:type="character" w:customStyle="1" w:styleId="MenuOptions">
    <w:name w:val="Menu Options"/>
    <w:basedOn w:val="DefaultParagraphFont"/>
    <w:rsid w:val="00C92CFE"/>
    <w:rPr>
      <w:rFonts w:ascii="Arial Narrow" w:hAnsi="Arial Narrow"/>
      <w:smallCaps/>
    </w:rPr>
  </w:style>
  <w:style w:type="character" w:customStyle="1" w:styleId="Buttons">
    <w:name w:val="Buttons"/>
    <w:basedOn w:val="DefaultParagraphFont"/>
    <w:rsid w:val="00C92CFE"/>
    <w:rPr>
      <w:b/>
    </w:rPr>
  </w:style>
  <w:style w:type="character" w:customStyle="1" w:styleId="Underlined">
    <w:name w:val="Underlined"/>
    <w:basedOn w:val="DefaultParagraphFont"/>
    <w:rsid w:val="00C92CFE"/>
    <w:rPr>
      <w:u w:val="single"/>
    </w:rPr>
  </w:style>
  <w:style w:type="paragraph" w:customStyle="1" w:styleId="TableBodyTextRight">
    <w:name w:val="Table Body Text Right"/>
    <w:basedOn w:val="TableBodyText"/>
    <w:rsid w:val="00C92CFE"/>
    <w:pPr>
      <w:widowControl w:val="0"/>
      <w:autoSpaceDE w:val="0"/>
      <w:autoSpaceDN w:val="0"/>
      <w:adjustRightInd w:val="0"/>
      <w:jc w:val="right"/>
    </w:pPr>
    <w:rPr>
      <w:rFonts w:cs="Arial"/>
      <w:szCs w:val="18"/>
    </w:rPr>
  </w:style>
  <w:style w:type="paragraph" w:customStyle="1" w:styleId="CopyrightText">
    <w:name w:val="Copyright Text"/>
    <w:basedOn w:val="BodyText"/>
    <w:rsid w:val="00C92CFE"/>
    <w:rPr>
      <w:sz w:val="18"/>
    </w:rPr>
  </w:style>
  <w:style w:type="paragraph" w:customStyle="1" w:styleId="BodySmallRight">
    <w:name w:val="Body Small Right"/>
    <w:basedOn w:val="BodyTextRight"/>
    <w:rsid w:val="00C92CFE"/>
    <w:rPr>
      <w:sz w:val="18"/>
      <w:szCs w:val="18"/>
    </w:rPr>
  </w:style>
  <w:style w:type="paragraph" w:customStyle="1" w:styleId="MarginEdition">
    <w:name w:val="Margin Edition"/>
    <w:basedOn w:val="MarginNote"/>
    <w:rsid w:val="00C92CFE"/>
    <w:pPr>
      <w:spacing w:before="0" w:after="0"/>
    </w:pPr>
    <w:rPr>
      <w:rFonts w:ascii="Times New Roman" w:hAnsi="Times New Roman"/>
      <w:color w:val="999999"/>
    </w:rPr>
  </w:style>
  <w:style w:type="paragraph" w:customStyle="1" w:styleId="Spacer">
    <w:name w:val="Spacer"/>
    <w:basedOn w:val="Normal"/>
    <w:rsid w:val="00C92CFE"/>
    <w:rPr>
      <w:sz w:val="2"/>
      <w:szCs w:val="2"/>
    </w:rPr>
  </w:style>
  <w:style w:type="character" w:customStyle="1" w:styleId="Small">
    <w:name w:val="Small"/>
    <w:basedOn w:val="DefaultParagraphFont"/>
    <w:rsid w:val="00C92CFE"/>
    <w:rPr>
      <w:sz w:val="16"/>
    </w:rPr>
  </w:style>
  <w:style w:type="paragraph" w:customStyle="1" w:styleId="WideTable">
    <w:name w:val="Wide Table"/>
    <w:basedOn w:val="Normal"/>
    <w:rsid w:val="00C92CFE"/>
    <w:pPr>
      <w:ind w:left="-1418"/>
    </w:pPr>
    <w:rPr>
      <w:sz w:val="2"/>
      <w:szCs w:val="2"/>
    </w:rPr>
  </w:style>
  <w:style w:type="character" w:styleId="PageNumber">
    <w:name w:val="page number"/>
    <w:basedOn w:val="DefaultParagraphFont"/>
    <w:rsid w:val="00C92CFE"/>
  </w:style>
  <w:style w:type="paragraph" w:styleId="Quote">
    <w:name w:val="Quote"/>
    <w:basedOn w:val="Heading1"/>
    <w:link w:val="QuoteChar"/>
    <w:qFormat/>
    <w:rsid w:val="00C92CFE"/>
    <w:rPr>
      <w:b w:val="0"/>
      <w:sz w:val="72"/>
      <w:szCs w:val="72"/>
      <w:lang w:val="en-NZ"/>
    </w:rPr>
  </w:style>
  <w:style w:type="character" w:customStyle="1" w:styleId="QuoteChar">
    <w:name w:val="Quote Char"/>
    <w:basedOn w:val="DefaultParagraphFont"/>
    <w:link w:val="Quote"/>
    <w:rsid w:val="00C92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CFE"/>
    <w:pPr>
      <w:pageBreakBefore/>
    </w:pPr>
  </w:style>
  <w:style w:type="paragraph" w:customStyle="1" w:styleId="Border">
    <w:name w:val="Border"/>
    <w:basedOn w:val="Normal"/>
    <w:qFormat/>
    <w:rsid w:val="00C92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CFE"/>
    <w:rPr>
      <w:b/>
      <w:bCs/>
      <w:i/>
      <w:iCs/>
      <w:color w:val="auto"/>
    </w:rPr>
  </w:style>
  <w:style w:type="paragraph" w:styleId="IntenseQuote">
    <w:name w:val="Intense Quote"/>
    <w:basedOn w:val="Normal"/>
    <w:next w:val="Normal"/>
    <w:link w:val="IntenseQuoteChar"/>
    <w:uiPriority w:val="30"/>
    <w:qFormat/>
    <w:rsid w:val="00C92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C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2CFE"/>
    <w:rPr>
      <w:smallCaps/>
      <w:color w:val="auto"/>
      <w:u w:val="single"/>
    </w:rPr>
  </w:style>
  <w:style w:type="character" w:styleId="IntenseReference">
    <w:name w:val="Intense Reference"/>
    <w:basedOn w:val="DefaultParagraphFont"/>
    <w:uiPriority w:val="32"/>
    <w:qFormat/>
    <w:rsid w:val="00C92CFE"/>
    <w:rPr>
      <w:b/>
      <w:bCs/>
      <w:smallCaps/>
      <w:color w:val="auto"/>
      <w:spacing w:val="5"/>
      <w:u w:val="single"/>
    </w:rPr>
  </w:style>
  <w:style w:type="paragraph" w:customStyle="1" w:styleId="2ColumnHeading">
    <w:name w:val="2Column Heading"/>
    <w:basedOn w:val="BodyText"/>
    <w:qFormat/>
    <w:rsid w:val="00C92CFE"/>
    <w:pPr>
      <w:spacing w:after="60"/>
      <w:ind w:left="-2268"/>
    </w:pPr>
    <w:rPr>
      <w:b/>
    </w:rPr>
  </w:style>
  <w:style w:type="paragraph" w:customStyle="1" w:styleId="Heading1TOC">
    <w:name w:val="Heading1 TOC"/>
    <w:basedOn w:val="Normal"/>
    <w:qFormat/>
    <w:rsid w:val="00C92CFE"/>
    <w:pPr>
      <w:spacing w:before="240" w:after="120"/>
    </w:pPr>
    <w:rPr>
      <w:rFonts w:ascii="Times New Roman" w:hAnsi="Times New Roman"/>
      <w:b/>
      <w:sz w:val="32"/>
    </w:rPr>
  </w:style>
  <w:style w:type="paragraph" w:customStyle="1" w:styleId="Heading2TOC">
    <w:name w:val="Heading2 TOC"/>
    <w:basedOn w:val="Normal"/>
    <w:qFormat/>
    <w:rsid w:val="00C92CFE"/>
    <w:pPr>
      <w:spacing w:before="240" w:after="60"/>
    </w:pPr>
    <w:rPr>
      <w:rFonts w:ascii="Times New Roman" w:hAnsi="Times New Roman"/>
      <w:b/>
      <w:sz w:val="28"/>
    </w:rPr>
  </w:style>
  <w:style w:type="character" w:customStyle="1" w:styleId="Underline">
    <w:name w:val="Underline"/>
    <w:basedOn w:val="DefaultParagraphFont"/>
    <w:qFormat/>
    <w:rsid w:val="00C92CFE"/>
    <w:rPr>
      <w:u w:val="single"/>
    </w:rPr>
  </w:style>
  <w:style w:type="character" w:customStyle="1" w:styleId="BoldandItalics">
    <w:name w:val="Bold and Italics"/>
    <w:qFormat/>
    <w:rsid w:val="00C92CFE"/>
    <w:rPr>
      <w:b/>
      <w:i/>
      <w:u w:val="none"/>
    </w:rPr>
  </w:style>
  <w:style w:type="paragraph" w:styleId="BalloonText">
    <w:name w:val="Balloon Text"/>
    <w:basedOn w:val="Normal"/>
    <w:link w:val="BalloonTextChar"/>
    <w:rsid w:val="00C92CFE"/>
    <w:rPr>
      <w:rFonts w:ascii="Tahoma" w:hAnsi="Tahoma" w:cs="Tahoma"/>
      <w:sz w:val="16"/>
      <w:szCs w:val="16"/>
    </w:rPr>
  </w:style>
  <w:style w:type="character" w:customStyle="1" w:styleId="BalloonTextChar">
    <w:name w:val="Balloon Text Char"/>
    <w:basedOn w:val="DefaultParagraphFont"/>
    <w:link w:val="BalloonText"/>
    <w:rsid w:val="00C92C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2C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2C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1390</Words>
  <Characters>9257</Characters>
  <Application>Microsoft Office Word</Application>
  <DocSecurity>0</DocSecurity>
  <Lines>292</Lines>
  <Paragraphs>173</Paragraphs>
  <ScaleCrop>false</ScaleCrop>
  <Company>Author-it Software Corporation Ltd.</Company>
  <LinksUpToDate>false</LinksUpToDate>
  <CharactersWithSpaces>10576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TLIX6001A Formulate materiel logistics strategies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2012-05-27T04:15:00Z</dcterms:created>
  <dcterms:modified xsi:type="dcterms:W3CDTF">2012-05-27T04:15:00Z</dcterms:modified>
</cp:coreProperties>
</file>