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2FE" w:rsidP="006D72FE">
      <w:pPr>
        <w:pStyle w:val="Title"/>
      </w:pPr>
      <w:r>
        <w:fldChar w:fldCharType="begin"/>
      </w:r>
      <w:r>
        <w:instrText xml:space="preserve"> TITLE   \* MERGEFORMAT </w:instrText>
      </w:r>
      <w:r>
        <w:fldChar w:fldCharType="separate"/>
      </w:r>
      <w:r>
        <w:t>TLIX5058A Review decisions of regulatory bodies</w:t>
      </w:r>
      <w:r>
        <w:fldChar w:fldCharType="end"/>
      </w:r>
    </w:p>
    <w:p w:rsidR="006D72FE" w:rsidP="006D72FE">
      <w:pPr>
        <w:pStyle w:val="Version"/>
        <w:sectPr w:rsidSect="002D5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746" w:rsidP="002D5746">
      <w:pPr>
        <w:pStyle w:val="SuperHeading"/>
      </w:pPr>
      <w:r w:rsidRPr="002D5746">
        <w:t>TLIX5058A Review decisions of regulatory bodies</w:t>
      </w:r>
    </w:p>
    <w:p w:rsidR="00000000" w:rsidRPr="002D5746" w:rsidP="002D5746">
      <w:pPr>
        <w:pStyle w:val="Heading1"/>
      </w:pPr>
      <w:bookmarkStart w:id="1" w:name="O_628122"/>
      <w:bookmarkEnd w:id="1"/>
      <w:r w:rsidRPr="002D5746">
        <w:t>Modification History</w:t>
      </w:r>
    </w:p>
    <w:p w:rsidR="00000000" w:rsidRPr="002D5746" w:rsidP="002D5746">
      <w:pPr>
        <w:pStyle w:val="BodyText"/>
      </w:pPr>
      <w:r w:rsidRPr="002D5746">
        <w:t>Release 1. This is the first release of this unit.</w:t>
      </w:r>
    </w:p>
    <w:p w:rsidR="00000000" w:rsidRPr="002D5746" w:rsidP="002D5746">
      <w:pPr>
        <w:pStyle w:val="AllowPageBreak"/>
      </w:pPr>
    </w:p>
    <w:p w:rsidR="00000000" w:rsidRPr="002D5746" w:rsidP="002D5746">
      <w:pPr>
        <w:pStyle w:val="Heading1"/>
      </w:pPr>
      <w:bookmarkStart w:id="2" w:name="O_628123"/>
      <w:bookmarkEnd w:id="2"/>
      <w:r w:rsidRPr="002D5746">
        <w:t>Unit Descriptor</w:t>
      </w:r>
    </w:p>
    <w:p w:rsidR="00000000" w:rsidRPr="002D5746" w:rsidP="002D5746">
      <w:pPr>
        <w:pStyle w:val="BodyText"/>
      </w:pPr>
      <w:r w:rsidRPr="002D5746">
        <w:t>This unit involves the skills and knowledge required to review the decisions of regulatory bodies including the Australian Customs and Border P</w:t>
      </w:r>
      <w:r w:rsidRPr="002D5746">
        <w:t>rotection Service (ACBPS). It includes evaluating the need to initiate and/or respond to a dispute, developing and submitting a response and initiating further action.</w:t>
      </w:r>
    </w:p>
    <w:p w:rsidR="00000000" w:rsidRPr="002D5746" w:rsidP="002D5746">
      <w:pPr>
        <w:pStyle w:val="BodyText"/>
      </w:pPr>
    </w:p>
    <w:p w:rsidR="00000000" w:rsidRPr="002D5746" w:rsidP="002D5746">
      <w:pPr>
        <w:pStyle w:val="BodyText"/>
      </w:pPr>
      <w:r w:rsidRPr="002D5746">
        <w:t>Licensing, legislative, regulatory or certification requirements are applicable to this</w:t>
      </w:r>
      <w:r w:rsidRPr="002D5746">
        <w:t xml:space="preserve"> unit.</w:t>
      </w:r>
    </w:p>
    <w:p w:rsidR="00000000" w:rsidRPr="002D5746" w:rsidP="002D5746">
      <w:pPr>
        <w:pStyle w:val="AllowPageBreak"/>
      </w:pPr>
    </w:p>
    <w:p w:rsidR="00000000" w:rsidRPr="002D5746" w:rsidP="002D5746">
      <w:pPr>
        <w:pStyle w:val="Heading1"/>
      </w:pPr>
      <w:bookmarkStart w:id="3" w:name="O_628124"/>
      <w:bookmarkEnd w:id="3"/>
      <w:r w:rsidRPr="002D5746">
        <w:t>Application of the Unit</w:t>
      </w:r>
    </w:p>
    <w:p w:rsidR="00000000" w:rsidRPr="002D5746" w:rsidP="002D5746">
      <w:pPr>
        <w:pStyle w:val="BodyText"/>
      </w:pPr>
      <w:r w:rsidRPr="002D5746">
        <w:t xml:space="preserve">This unit applies to individuals who work in the role of Customs Broker in an on-the-job environment. </w:t>
      </w:r>
    </w:p>
    <w:p w:rsidR="00000000" w:rsidRPr="002D5746" w:rsidP="002D5746">
      <w:pPr>
        <w:pStyle w:val="AllowPageBreak"/>
      </w:pPr>
    </w:p>
    <w:p w:rsidR="00000000" w:rsidRPr="002D5746" w:rsidP="002D5746">
      <w:pPr>
        <w:pStyle w:val="Heading1"/>
      </w:pPr>
      <w:bookmarkStart w:id="4" w:name="O_628125"/>
      <w:bookmarkEnd w:id="4"/>
      <w:r w:rsidRPr="002D5746">
        <w:t>Licensing/Regulatory Information</w:t>
      </w:r>
    </w:p>
    <w:p w:rsidR="00000000" w:rsidRPr="002D5746" w:rsidP="002D5746">
      <w:pPr>
        <w:pStyle w:val="BodyText"/>
      </w:pPr>
      <w:r w:rsidRPr="002D5746">
        <w:t>Refer to Unit Descriptor.</w:t>
      </w:r>
    </w:p>
    <w:p w:rsidR="00000000" w:rsidRPr="002D5746" w:rsidP="002D5746">
      <w:pPr>
        <w:pStyle w:val="AllowPageBreak"/>
      </w:pPr>
    </w:p>
    <w:p w:rsidR="00000000" w:rsidRPr="002D5746" w:rsidP="002D5746">
      <w:pPr>
        <w:pStyle w:val="Heading1"/>
      </w:pPr>
      <w:bookmarkStart w:id="5" w:name="O_628126"/>
      <w:bookmarkEnd w:id="5"/>
      <w:r w:rsidRPr="002D5746">
        <w:t>Pre-Requisit</w:t>
      </w:r>
      <w:r w:rsidRPr="002D5746">
        <w:t>es</w:t>
      </w:r>
    </w:p>
    <w:p w:rsidR="00000000" w:rsidRPr="002D5746" w:rsidP="002D5746">
      <w:pPr>
        <w:pStyle w:val="BodyText"/>
      </w:pPr>
      <w:r w:rsidRPr="002D5746">
        <w:t>Nil</w:t>
      </w:r>
    </w:p>
    <w:p w:rsidR="00000000" w:rsidRPr="002D5746" w:rsidP="002D5746">
      <w:pPr>
        <w:pStyle w:val="AllowPageBreak"/>
      </w:pPr>
    </w:p>
    <w:p w:rsidR="00000000" w:rsidRPr="002D5746" w:rsidP="002D5746">
      <w:pPr>
        <w:pStyle w:val="Heading1"/>
      </w:pPr>
      <w:bookmarkStart w:id="6" w:name="O_628127"/>
      <w:bookmarkEnd w:id="6"/>
      <w:r w:rsidRPr="002D5746">
        <w:t>Employability Skills Information</w:t>
      </w:r>
    </w:p>
    <w:p w:rsidR="00000000" w:rsidRPr="002D5746" w:rsidP="002D5746">
      <w:pPr>
        <w:pStyle w:val="BodyText"/>
      </w:pPr>
      <w:r w:rsidRPr="002D5746">
        <w:t>This unit contains employability skills.</w:t>
      </w:r>
    </w:p>
    <w:p w:rsidR="00000000" w:rsidRPr="002D5746" w:rsidP="002D5746">
      <w:pPr>
        <w:pStyle w:val="AllowPageBreak"/>
      </w:pPr>
    </w:p>
    <w:p w:rsidR="00000000" w:rsidRPr="002D5746" w:rsidP="002D5746">
      <w:pPr>
        <w:pStyle w:val="Heading1"/>
      </w:pPr>
      <w:bookmarkStart w:id="7" w:name="O_628128"/>
      <w:bookmarkEnd w:id="7"/>
      <w:r w:rsidRPr="002D5746">
        <w:t>Elements and Performance Criteria Pre-Content</w:t>
      </w:r>
    </w:p>
    <w:tbl>
      <w:tblPr>
        <w:tblW w:w="9640" w:type="dxa"/>
        <w:tblLayout w:type="fixed"/>
        <w:tblCellMar>
          <w:left w:w="62" w:type="dxa"/>
          <w:right w:w="62" w:type="dxa"/>
        </w:tblCellMar>
        <w:tblLook w:val="0000"/>
      </w:tblPr>
      <w:tblGrid>
        <w:gridCol w:w="2776"/>
        <w:gridCol w:w="6864"/>
      </w:tblGrid>
      <w:tr w:rsidTr="006D72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t>Performance criteria describe</w:t>
            </w:r>
            <w:r w:rsidRPr="002D5746">
              <w:t xml:space="preserve"> the required performance needed to demonstrate achievement of the element. Assessment of performance is to be consistent with the evidence guide.</w:t>
            </w:r>
          </w:p>
        </w:tc>
      </w:tr>
    </w:tbl>
    <w:p w:rsidR="00000000" w:rsidRPr="002D5746" w:rsidP="002D5746">
      <w:pPr>
        <w:pStyle w:val="BodyText"/>
      </w:pPr>
    </w:p>
    <w:p w:rsidR="00000000" w:rsidRPr="002D5746" w:rsidP="002D5746">
      <w:pPr>
        <w:pStyle w:val="AllowPageBreak"/>
      </w:pPr>
    </w:p>
    <w:p w:rsidR="00000000" w:rsidRPr="002D5746" w:rsidP="002D5746">
      <w:pPr>
        <w:pStyle w:val="Heading1"/>
      </w:pPr>
      <w:bookmarkStart w:id="8" w:name="O_628129"/>
      <w:bookmarkEnd w:id="8"/>
      <w:r w:rsidRPr="002D5746">
        <w:t>Elements and Performance Criteria</w:t>
      </w:r>
    </w:p>
    <w:tbl>
      <w:tblPr>
        <w:tblW w:w="0" w:type="auto"/>
        <w:tblCellMar>
          <w:left w:w="62" w:type="dxa"/>
          <w:right w:w="62" w:type="dxa"/>
        </w:tblCellMar>
        <w:tblLook w:val="0000"/>
      </w:tblPr>
      <w:tblGrid>
        <w:gridCol w:w="343"/>
        <w:gridCol w:w="1748"/>
        <w:gridCol w:w="557"/>
        <w:gridCol w:w="6548"/>
      </w:tblGrid>
      <w:tr w:rsidTr="006D72F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 xml:space="preserve">Determine review options </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1.1</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Regulatory body decision is evaluated</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1.2</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Available internal appeal procedures are explained and exhausted</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1.3</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Available review mechanisms are outlined</w:t>
            </w:r>
          </w:p>
        </w:tc>
      </w:tr>
      <w:tr w:rsidTr="006D72FE">
        <w:tblPrEx>
          <w:tblW w:w="0" w:type="auto"/>
          <w:tblCellMar>
            <w:left w:w="62" w:type="dxa"/>
            <w:right w:w="62" w:type="dxa"/>
          </w:tblCellMar>
          <w:tblLook w:val="0000"/>
        </w:tblPrEx>
        <w:trPr>
          <w:trHeight w:val="417"/>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1.4</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Consultation is held with client</w:t>
            </w:r>
          </w:p>
        </w:tc>
      </w:tr>
      <w:tr w:rsidTr="006D72F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Develop dispute response</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2.1</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Appropriate dispute resolution protocols are followed</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2.2</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Stakeholders are engaged and consulted in response development process</w:t>
            </w:r>
          </w:p>
        </w:tc>
      </w:tr>
      <w:tr w:rsidTr="006D72FE">
        <w:tblPrEx>
          <w:tblW w:w="0" w:type="auto"/>
          <w:tblCellMar>
            <w:left w:w="62" w:type="dxa"/>
            <w:right w:w="62" w:type="dxa"/>
          </w:tblCellMar>
          <w:tblLook w:val="0000"/>
        </w:tblPrEx>
        <w:trPr>
          <w:trHeight w:val="68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2.3</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 xml:space="preserve">Response is drafted and feedback is sought from stakeholders to refine response as required </w:t>
            </w:r>
          </w:p>
        </w:tc>
      </w:tr>
      <w:tr w:rsidTr="006D72F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Submit dispute response</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3.1</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Import declaration is paid under protest in accordance with Customs Act s.167 where required</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3.2</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 xml:space="preserve">Dispute response documentation is forwarded to relevant regulatory authority in accordance with workplace procedures </w:t>
            </w:r>
          </w:p>
        </w:tc>
      </w:tr>
      <w:tr w:rsidTr="006D72F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Initiate further action</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4.1</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Dispute response is read and outcomes are evaluated to determine appropriateness of further action</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4.2</w:t>
            </w: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Stakeholders are consulted regarding appropriateness and advice regarding escalating and/or retreating is provided</w:t>
            </w:r>
          </w:p>
        </w:tc>
      </w:tr>
      <w:tr w:rsidTr="006D72F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4.3</w:t>
            </w:r>
          </w:p>
        </w:tc>
        <w:tc>
          <w:tcPr>
            <w:tcW w:w="0" w:type="auto"/>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t>Appropriate action is taken based on stakeholder consultation, in accordance with workplace procedures</w:t>
            </w:r>
          </w:p>
        </w:tc>
      </w:tr>
    </w:tbl>
    <w:p w:rsidR="00000000" w:rsidRPr="002D5746" w:rsidP="002D5746">
      <w:pPr>
        <w:pStyle w:val="BodyText"/>
      </w:pPr>
    </w:p>
    <w:p w:rsidR="00000000" w:rsidRPr="002D5746" w:rsidP="002D5746">
      <w:pPr>
        <w:pStyle w:val="AllowPageBreak"/>
      </w:pPr>
    </w:p>
    <w:p w:rsidR="00000000" w:rsidRPr="002D5746" w:rsidP="002D5746">
      <w:pPr>
        <w:pStyle w:val="Heading1"/>
      </w:pPr>
      <w:bookmarkStart w:id="9" w:name="O_628130"/>
      <w:bookmarkEnd w:id="9"/>
      <w:r w:rsidRPr="002D5746">
        <w:t>Required Skills and Knowledge</w:t>
      </w:r>
    </w:p>
    <w:tbl>
      <w:tblPr>
        <w:tblW w:w="9640" w:type="dxa"/>
        <w:tblLayout w:type="fixed"/>
        <w:tblCellMar>
          <w:left w:w="62" w:type="dxa"/>
          <w:right w:w="62" w:type="dxa"/>
        </w:tblCellMar>
        <w:tblLook w:val="0000"/>
      </w:tblPr>
      <w:tblGrid>
        <w:gridCol w:w="9640"/>
      </w:tblGrid>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This section describes the knowledge and skills required for this unit.</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Required knowledge:</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Amber line process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Customs Act s.167 (Payment Under Protest)</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Customs prosecutions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Forfeiture, seizure and condemnation provisions of Customs Act 1901</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 xml:space="preserve">Internal and external appeal processes for reviewing ACBPS decisions </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Monitoring and export examination powers of Customs under Customs Act 1901</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Penalty and Infringement Notice Guidelines of Customs Act 1901</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Penalty and Infringement Notice Provisions of Customs Act 1901</w:t>
            </w:r>
          </w:p>
        </w:tc>
      </w:tr>
    </w:tbl>
    <w:p w:rsidR="00000000" w:rsidRPr="002D5746" w:rsidP="002D5746">
      <w:pPr>
        <w:pStyle w:val="BodyText"/>
      </w:pPr>
    </w:p>
    <w:tbl>
      <w:tblPr>
        <w:tblW w:w="9640" w:type="dxa"/>
        <w:tblLayout w:type="fixed"/>
        <w:tblCellMar>
          <w:left w:w="62" w:type="dxa"/>
          <w:right w:w="62" w:type="dxa"/>
        </w:tblCellMar>
        <w:tblLook w:val="0000"/>
      </w:tblPr>
      <w:tblGrid>
        <w:gridCol w:w="9640"/>
      </w:tblGrid>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Required skills: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Apply escalation and/or retreat processes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Articulate rationale for a dispute or response</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Communicate effectively in verbal and written format with clients and stakeholders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Follow procedures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Liaise with other organisations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Manage personal work pri</w:t>
            </w:r>
            <w:r w:rsidRPr="002D5746">
              <w:t>orities</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Negotiate effectively</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Read and interpret legislation</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Resolve conflict</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D5746">
            <w:pPr>
              <w:pStyle w:val="ListBullet"/>
              <w:rPr>
                <w:lang w:val="en-NZ"/>
              </w:rPr>
            </w:pPr>
            <w:r w:rsidRPr="002D5746">
              <w:t>Sequence a submission in logical order</w:t>
            </w:r>
          </w:p>
        </w:tc>
      </w:tr>
      <w:tr w:rsidTr="002D574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Solve problems</w:t>
            </w:r>
          </w:p>
        </w:tc>
      </w:tr>
    </w:tbl>
    <w:p w:rsidR="00000000" w:rsidRPr="002D5746" w:rsidP="002D5746">
      <w:pPr>
        <w:pStyle w:val="BodyText"/>
      </w:pPr>
    </w:p>
    <w:p w:rsidR="00000000" w:rsidRPr="002D5746" w:rsidP="002D5746">
      <w:pPr>
        <w:pStyle w:val="AllowPageBreak"/>
      </w:pPr>
    </w:p>
    <w:p w:rsidR="00000000" w:rsidRPr="002D5746" w:rsidP="002D5746">
      <w:pPr>
        <w:pStyle w:val="Heading1"/>
      </w:pPr>
      <w:bookmarkStart w:id="10" w:name="O_628131"/>
      <w:bookmarkEnd w:id="10"/>
      <w:r w:rsidRPr="002D5746">
        <w:t>Evidence Guide</w:t>
      </w:r>
    </w:p>
    <w:tbl>
      <w:tblPr>
        <w:tblW w:w="9640" w:type="dxa"/>
        <w:tblLayout w:type="fixed"/>
        <w:tblCellMar>
          <w:left w:w="62" w:type="dxa"/>
          <w:right w:w="62" w:type="dxa"/>
        </w:tblCellMar>
        <w:tblLook w:val="0000"/>
      </w:tblPr>
      <w:tblGrid>
        <w:gridCol w:w="3338"/>
        <w:gridCol w:w="6302"/>
      </w:tblGrid>
      <w:tr w:rsidTr="002D574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The evidence guide provides advice on assessment and must be read in conjunction with the performance criteria, required knowledge and skills, the range statement and the assessment guidelines for this Training Package.</w:t>
            </w:r>
          </w:p>
        </w:tc>
      </w:tr>
      <w:tr w:rsidTr="002D574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t>The evidence required to demonstrate competence in this unit must be relevant to and satisfy all of the requirements of the Elements, Performance Criteria, Require</w:t>
            </w:r>
            <w:r w:rsidRPr="002D5746">
              <w:t>d Skills, Required Knowledge and include:</w:t>
            </w:r>
          </w:p>
          <w:p w:rsidR="00000000" w:rsidRPr="002D5746" w:rsidP="002D5746">
            <w:pPr>
              <w:pStyle w:val="ListBullet"/>
            </w:pPr>
            <w:r w:rsidRPr="002D5746">
              <w:t>sequencing activity in a way that facilitates the development of competence</w:t>
            </w:r>
          </w:p>
          <w:p w:rsidR="00000000" w:rsidRPr="002D5746" w:rsidP="002D5746">
            <w:pPr>
              <w:pStyle w:val="ListBullet"/>
            </w:pPr>
            <w:r w:rsidRPr="002D5746">
              <w:t>ensuring currency of relevant legislative and regulatory knowledge</w:t>
            </w:r>
          </w:p>
          <w:p w:rsidR="00000000" w:rsidRPr="002D5746" w:rsidP="002D5746">
            <w:pPr>
              <w:pStyle w:val="ListBullet"/>
            </w:pPr>
            <w:r w:rsidRPr="002D5746">
              <w:t>developing effective submission documents</w:t>
            </w:r>
          </w:p>
          <w:p w:rsidR="00000000" w:rsidP="002D5746">
            <w:pPr>
              <w:pStyle w:val="ListBullet"/>
              <w:rPr>
                <w:lang w:val="en-NZ"/>
              </w:rPr>
            </w:pPr>
            <w:r w:rsidRPr="002D5746">
              <w:t>providing high quality clien</w:t>
            </w:r>
            <w:r w:rsidRPr="002D5746">
              <w:t>t information and advice.</w:t>
            </w:r>
          </w:p>
        </w:tc>
      </w:tr>
      <w:tr w:rsidTr="002D574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t>Performance is demonstrated consistently over time and in a suitable range of contexts.</w:t>
            </w:r>
          </w:p>
          <w:p w:rsidR="00000000" w:rsidRPr="002D5746" w:rsidP="002D5746">
            <w:pPr>
              <w:pStyle w:val="BodyText"/>
            </w:pPr>
            <w:r w:rsidRPr="002D5746">
              <w:t>Resources for assessment include access to:</w:t>
            </w:r>
          </w:p>
          <w:p w:rsidR="00000000" w:rsidRPr="002D5746" w:rsidP="002D5746">
            <w:pPr>
              <w:pStyle w:val="ListBullet"/>
            </w:pPr>
            <w:r w:rsidRPr="002D5746">
              <w:t>scenarios where discussions with individuals or small groups can be conducted</w:t>
            </w:r>
          </w:p>
          <w:p w:rsidR="00000000" w:rsidRPr="002D5746" w:rsidP="002D5746">
            <w:pPr>
              <w:pStyle w:val="ListBullet"/>
            </w:pPr>
            <w:r w:rsidRPr="002D5746">
              <w:t>legislation currently used in industry</w:t>
            </w:r>
          </w:p>
          <w:p w:rsidR="00000000" w:rsidRPr="002D5746" w:rsidP="002D5746">
            <w:pPr>
              <w:pStyle w:val="ListBullet"/>
            </w:pPr>
            <w:r w:rsidRPr="002D5746">
              <w:t>time constraints that mirror real work activities</w:t>
            </w:r>
          </w:p>
          <w:p w:rsidR="00000000" w:rsidRPr="002D5746" w:rsidP="002D5746">
            <w:pPr>
              <w:pStyle w:val="ListBullet"/>
            </w:pPr>
            <w:r w:rsidRPr="002D5746">
              <w:t xml:space="preserve">range of relevant exercises, case studies and/or other simulated practical and knowledge </w:t>
            </w:r>
            <w:r w:rsidRPr="002D5746">
              <w:t>assessments</w:t>
            </w:r>
          </w:p>
          <w:p w:rsidR="00000000" w:rsidP="002D5746">
            <w:pPr>
              <w:pStyle w:val="ListBullet"/>
              <w:rPr>
                <w:lang w:val="en-NZ"/>
              </w:rPr>
            </w:pPr>
            <w:r w:rsidRPr="002D5746">
              <w:t>appropriate range of relevant operational situations in the workplace.</w:t>
            </w:r>
          </w:p>
        </w:tc>
      </w:tr>
      <w:tr w:rsidTr="002D574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2D5746" w:rsidP="002D5746">
            <w:pPr>
              <w:pStyle w:val="BodyText"/>
            </w:pPr>
            <w:r w:rsidRPr="002D5746">
              <w:t>Practical assessment must occur in an:</w:t>
            </w:r>
          </w:p>
          <w:p w:rsidR="00000000" w:rsidRPr="002D5746" w:rsidP="002D5746">
            <w:pPr>
              <w:pStyle w:val="ListBullet"/>
            </w:pPr>
            <w:r w:rsidRPr="002D5746">
              <w:t>appropriately simulated workplace environment and/or</w:t>
            </w:r>
          </w:p>
          <w:p w:rsidR="00000000" w:rsidRPr="002D5746" w:rsidP="002D5746">
            <w:pPr>
              <w:pStyle w:val="ListBullet"/>
            </w:pPr>
            <w:r w:rsidRPr="002D5746">
              <w:t>appropriate range of situations in the workplace.</w:t>
            </w:r>
          </w:p>
          <w:p w:rsidR="00000000" w:rsidRPr="002D5746" w:rsidP="002D5746">
            <w:pPr>
              <w:pStyle w:val="BodyText"/>
            </w:pPr>
            <w:r w:rsidRPr="002D5746">
              <w:t xml:space="preserve">A range </w:t>
            </w:r>
            <w:r w:rsidRPr="002D5746">
              <w:t>of assessment methods should be used to assess practical skills and knowledge. The following examples are appropriate to this unit:</w:t>
            </w:r>
          </w:p>
          <w:p w:rsidR="00000000" w:rsidRPr="002D5746" w:rsidP="002D5746">
            <w:pPr>
              <w:pStyle w:val="ListBullet"/>
            </w:pPr>
            <w:r w:rsidRPr="002D5746">
              <w:t>direct observation of the candidate identifying and responding to an appeal or dispute situation</w:t>
            </w:r>
          </w:p>
          <w:p w:rsidR="00000000" w:rsidRPr="002D5746" w:rsidP="002D5746">
            <w:pPr>
              <w:pStyle w:val="ListBullet"/>
            </w:pPr>
            <w:r w:rsidRPr="002D5746">
              <w:t xml:space="preserve">direct observation of the </w:t>
            </w:r>
            <w:r w:rsidRPr="002D5746">
              <w:t>candidate responding to a regulatory dispute</w:t>
            </w:r>
          </w:p>
          <w:p w:rsidR="00000000" w:rsidRPr="002D5746" w:rsidP="002D5746">
            <w:pPr>
              <w:pStyle w:val="ListBullet"/>
            </w:pPr>
            <w:r w:rsidRPr="002D5746">
              <w:t>appropriate knowledge questions.</w:t>
            </w:r>
          </w:p>
        </w:tc>
      </w:tr>
    </w:tbl>
    <w:p w:rsidR="00000000" w:rsidRPr="002D5746" w:rsidP="002D5746">
      <w:pPr>
        <w:pStyle w:val="BodyText"/>
      </w:pPr>
    </w:p>
    <w:p w:rsidR="00000000" w:rsidRPr="002D5746" w:rsidP="002D5746">
      <w:pPr>
        <w:pStyle w:val="AllowPageBreak"/>
      </w:pPr>
    </w:p>
    <w:p w:rsidR="00000000" w:rsidRPr="002D5746" w:rsidP="002D5746">
      <w:pPr>
        <w:pStyle w:val="Heading1"/>
      </w:pPr>
      <w:bookmarkStart w:id="11" w:name="O_628132"/>
      <w:bookmarkEnd w:id="11"/>
      <w:r w:rsidRPr="002D5746">
        <w:t>Range Statement</w:t>
      </w:r>
    </w:p>
    <w:tbl>
      <w:tblPr>
        <w:tblW w:w="0" w:type="auto"/>
        <w:tblCellMar>
          <w:left w:w="62" w:type="dxa"/>
          <w:right w:w="62" w:type="dxa"/>
        </w:tblCellMar>
        <w:tblLook w:val="0000"/>
      </w:tblPr>
      <w:tblGrid>
        <w:gridCol w:w="2586"/>
        <w:gridCol w:w="6610"/>
      </w:tblGrid>
      <w:tr w:rsidTr="006D72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 xml:space="preserve">The range statement relates to the unit of competency as a whole. It allows for different work environments and situations that may affect </w:t>
            </w:r>
            <w:r w:rsidRPr="002D5746">
              <w:t>performance.</w:t>
            </w:r>
          </w:p>
        </w:tc>
      </w:tr>
      <w:tr w:rsidTr="006D7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Regulatory bodies may include:</w:t>
            </w:r>
          </w:p>
        </w:tc>
        <w:tc>
          <w:tcPr>
            <w:tcW w:w="0" w:type="auto"/>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Australian Customs and Border Protection Service (ACBPS)</w:t>
            </w:r>
          </w:p>
          <w:p w:rsidR="00000000" w:rsidP="002D5746">
            <w:pPr>
              <w:pStyle w:val="ListBullet"/>
              <w:rPr>
                <w:lang w:val="en-NZ"/>
              </w:rPr>
            </w:pPr>
            <w:r w:rsidRPr="002D5746">
              <w:t>relevant commonwealth government departments</w:t>
            </w:r>
          </w:p>
        </w:tc>
      </w:tr>
      <w:tr w:rsidTr="006D7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Delivery methods and practise opportunities may include:</w:t>
            </w:r>
          </w:p>
        </w:tc>
        <w:tc>
          <w:tcPr>
            <w:tcW w:w="0" w:type="auto"/>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experiential learning using real scenarios</w:t>
            </w:r>
          </w:p>
          <w:p w:rsidR="00000000" w:rsidRPr="002D5746" w:rsidP="002D5746">
            <w:pPr>
              <w:pStyle w:val="ListBullet"/>
            </w:pPr>
            <w:r w:rsidRPr="002D5746">
              <w:t>explanations</w:t>
            </w:r>
          </w:p>
          <w:p w:rsidR="00000000" w:rsidRPr="002D5746" w:rsidP="002D5746">
            <w:pPr>
              <w:pStyle w:val="ListBullet"/>
            </w:pPr>
            <w:r w:rsidRPr="002D5746">
              <w:t>group work</w:t>
            </w:r>
          </w:p>
          <w:p w:rsidR="00000000" w:rsidRPr="002D5746" w:rsidP="002D5746">
            <w:pPr>
              <w:pStyle w:val="ListBullet"/>
            </w:pPr>
            <w:r w:rsidRPr="002D5746">
              <w:t>mentoring</w:t>
            </w:r>
          </w:p>
          <w:p w:rsidR="00000000" w:rsidRPr="002D5746" w:rsidP="002D5746">
            <w:pPr>
              <w:pStyle w:val="ListBullet"/>
            </w:pPr>
            <w:r w:rsidRPr="002D5746">
              <w:t>problem solving and decision making</w:t>
            </w:r>
          </w:p>
          <w:p w:rsidR="00000000" w:rsidRPr="002D5746" w:rsidP="002D5746">
            <w:pPr>
              <w:pStyle w:val="ListBullet"/>
            </w:pPr>
            <w:r w:rsidRPr="002D5746">
              <w:t>presentations</w:t>
            </w:r>
          </w:p>
          <w:p w:rsidR="00000000" w:rsidP="002D5746">
            <w:pPr>
              <w:pStyle w:val="ListBullet"/>
              <w:rPr>
                <w:lang w:val="en-NZ"/>
              </w:rPr>
            </w:pPr>
            <w:r w:rsidRPr="002D5746">
              <w:t>combination of the above</w:t>
            </w:r>
          </w:p>
        </w:tc>
      </w:tr>
      <w:tr w:rsidTr="006D7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Resources may include:</w:t>
            </w:r>
          </w:p>
        </w:tc>
        <w:tc>
          <w:tcPr>
            <w:tcW w:w="0" w:type="auto"/>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case law</w:t>
            </w:r>
          </w:p>
          <w:p w:rsidR="00000000" w:rsidRPr="002D5746" w:rsidP="002D5746">
            <w:pPr>
              <w:pStyle w:val="ListBullet"/>
            </w:pPr>
            <w:r w:rsidRPr="002D5746">
              <w:t>case studies</w:t>
            </w:r>
          </w:p>
          <w:p w:rsidR="00000000" w:rsidRPr="002D5746" w:rsidP="002D5746">
            <w:pPr>
              <w:pStyle w:val="ListBullet"/>
            </w:pPr>
            <w:r w:rsidRPr="002D5746">
              <w:t>customs policies and procedures</w:t>
            </w:r>
          </w:p>
          <w:p w:rsidR="00000000" w:rsidRPr="002D5746" w:rsidP="002D5746">
            <w:pPr>
              <w:pStyle w:val="ListBullet"/>
            </w:pPr>
            <w:r w:rsidRPr="002D5746">
              <w:t>relevant legislation</w:t>
            </w:r>
          </w:p>
          <w:p w:rsidR="00000000" w:rsidP="002D5746">
            <w:pPr>
              <w:pStyle w:val="ListBullet"/>
              <w:rPr>
                <w:lang w:val="en-NZ"/>
              </w:rPr>
            </w:pPr>
            <w:r w:rsidRPr="002D5746">
              <w:t>scenarios</w:t>
            </w:r>
          </w:p>
        </w:tc>
      </w:tr>
      <w:tr w:rsidTr="006D7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746">
            <w:pPr>
              <w:pStyle w:val="BodyText"/>
              <w:rPr>
                <w:lang w:val="en-NZ"/>
              </w:rPr>
            </w:pPr>
            <w:r w:rsidRPr="002D5746">
              <w:t>Strategies and techniques may include:</w:t>
            </w:r>
          </w:p>
        </w:tc>
        <w:tc>
          <w:tcPr>
            <w:tcW w:w="0" w:type="auto"/>
            <w:tcBorders>
              <w:top w:val="nil"/>
              <w:left w:val="nil"/>
              <w:bottom w:val="nil"/>
              <w:right w:val="nil"/>
            </w:tcBorders>
            <w:tcMar>
              <w:top w:w="0" w:type="dxa"/>
              <w:left w:w="62" w:type="dxa"/>
              <w:bottom w:w="0" w:type="dxa"/>
              <w:right w:w="62" w:type="dxa"/>
            </w:tcMar>
          </w:tcPr>
          <w:p w:rsidR="00000000" w:rsidRPr="002D5746" w:rsidP="002D5746">
            <w:pPr>
              <w:pStyle w:val="ListBullet"/>
            </w:pPr>
            <w:r w:rsidRPr="002D5746">
              <w:t>group discussion</w:t>
            </w:r>
          </w:p>
          <w:p w:rsidR="00000000" w:rsidRPr="002D5746" w:rsidP="002D5746">
            <w:pPr>
              <w:pStyle w:val="ListBullet"/>
            </w:pPr>
            <w:r w:rsidRPr="002D5746">
              <w:t>points of clarification</w:t>
            </w:r>
          </w:p>
          <w:p w:rsidR="00000000" w:rsidRPr="002D5746" w:rsidP="002D5746">
            <w:pPr>
              <w:pStyle w:val="ListBullet"/>
            </w:pPr>
            <w:r w:rsidRPr="002D5746">
              <w:t>targeted questioning</w:t>
            </w:r>
          </w:p>
        </w:tc>
      </w:tr>
    </w:tbl>
    <w:p w:rsidR="00000000" w:rsidRPr="002D5746" w:rsidP="002D5746">
      <w:pPr>
        <w:pStyle w:val="BodyText"/>
      </w:pPr>
    </w:p>
    <w:p w:rsidR="00000000" w:rsidRPr="002D5746" w:rsidP="002D5746">
      <w:pPr>
        <w:pStyle w:val="AllowPageBreak"/>
      </w:pPr>
    </w:p>
    <w:p w:rsidR="00000000" w:rsidRPr="002D5746" w:rsidP="002D5746">
      <w:pPr>
        <w:pStyle w:val="Heading1"/>
      </w:pPr>
      <w:bookmarkStart w:id="12" w:name="O_628133"/>
      <w:bookmarkEnd w:id="12"/>
      <w:r w:rsidRPr="002D5746">
        <w:t>Unit Sector(s)</w:t>
      </w:r>
    </w:p>
    <w:p w:rsidR="00000000" w:rsidRPr="002D5746" w:rsidP="002D5746">
      <w:pPr>
        <w:pStyle w:val="BodyText"/>
      </w:pPr>
      <w:r w:rsidRPr="002D5746">
        <w:t>Not applicable.</w:t>
      </w:r>
    </w:p>
    <w:p w:rsidR="00000000" w:rsidRPr="002D5746" w:rsidP="002D5746">
      <w:pPr>
        <w:pStyle w:val="AllowPageBreak"/>
      </w:pPr>
    </w:p>
    <w:p w:rsidR="00000000" w:rsidRPr="002D5746" w:rsidP="002D5746">
      <w:pPr>
        <w:pStyle w:val="Heading1"/>
      </w:pPr>
      <w:bookmarkStart w:id="13" w:name="O_628134"/>
      <w:bookmarkEnd w:id="13"/>
      <w:r w:rsidRPr="002D5746">
        <w:t>Competency Field</w:t>
      </w:r>
    </w:p>
    <w:p w:rsidR="00000000" w:rsidRPr="002D5746" w:rsidP="002D5746">
      <w:pPr>
        <w:pStyle w:val="BodyText"/>
      </w:pPr>
      <w:r w:rsidRPr="002D5746">
        <w:t>X – Logistics</w:t>
      </w:r>
    </w:p>
    <w:p w:rsidR="00000000" w:rsidRPr="002D5746" w:rsidP="002D5746"/>
    <w:sectPr w:rsidSect="002D5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rsidRPr="006D72FE" w:rsidP="006D7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FE" w:rsidP="002D5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2FE" w:rsidP="002D57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72FE" w:rsidP="002D57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rsidRPr="006D72FE" w:rsidP="006D72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FE" w:rsidRPr="002D2AF8" w:rsidP="002D5746">
    <w:pPr>
      <w:pStyle w:val="Header"/>
      <w:framePr w:wrap="around"/>
    </w:pPr>
    <w:r>
      <w:fldChar w:fldCharType="begin"/>
    </w:r>
    <w:r>
      <w:instrText xml:space="preserve"> TITLE   \* MERGEFORMAT </w:instrText>
    </w:r>
    <w:r>
      <w:fldChar w:fldCharType="separate"/>
    </w:r>
    <w:r>
      <w:t>TLIX5058A Review decisions of regulatory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6D72FE" w:rsidP="002D57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700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5EA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7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746"/>
    <w:pPr>
      <w:spacing w:before="360" w:after="60"/>
      <w:outlineLvl w:val="0"/>
    </w:pPr>
    <w:rPr>
      <w:sz w:val="32"/>
    </w:rPr>
  </w:style>
  <w:style w:type="paragraph" w:styleId="Heading2">
    <w:name w:val="heading 2"/>
    <w:basedOn w:val="HeadingBase"/>
    <w:next w:val="BodyText"/>
    <w:link w:val="Heading2Char"/>
    <w:qFormat/>
    <w:rsid w:val="002D5746"/>
    <w:pPr>
      <w:keepLines/>
      <w:spacing w:before="240" w:after="120"/>
      <w:outlineLvl w:val="1"/>
    </w:pPr>
    <w:rPr>
      <w:sz w:val="28"/>
      <w:szCs w:val="40"/>
    </w:rPr>
  </w:style>
  <w:style w:type="paragraph" w:styleId="Heading3">
    <w:name w:val="heading 3"/>
    <w:basedOn w:val="HeadingBase"/>
    <w:next w:val="BodyText"/>
    <w:link w:val="Heading3Char"/>
    <w:qFormat/>
    <w:rsid w:val="002D5746"/>
    <w:pPr>
      <w:spacing w:before="180" w:after="120"/>
      <w:outlineLvl w:val="2"/>
    </w:pPr>
    <w:rPr>
      <w:spacing w:val="-10"/>
      <w:kern w:val="32"/>
    </w:rPr>
  </w:style>
  <w:style w:type="paragraph" w:styleId="Heading4">
    <w:name w:val="heading 4"/>
    <w:basedOn w:val="HeadingBase"/>
    <w:next w:val="BodyText"/>
    <w:link w:val="Heading4Char"/>
    <w:qFormat/>
    <w:rsid w:val="002D5746"/>
    <w:pPr>
      <w:spacing w:before="160" w:after="120"/>
      <w:outlineLvl w:val="3"/>
    </w:pPr>
    <w:rPr>
      <w:sz w:val="22"/>
    </w:rPr>
  </w:style>
  <w:style w:type="paragraph" w:styleId="Heading5">
    <w:name w:val="heading 5"/>
    <w:basedOn w:val="HeadingBase"/>
    <w:next w:val="Normal"/>
    <w:link w:val="Heading5Char"/>
    <w:qFormat/>
    <w:rsid w:val="002D5746"/>
    <w:pPr>
      <w:spacing w:before="80"/>
      <w:outlineLvl w:val="4"/>
    </w:pPr>
    <w:rPr>
      <w:color w:val="918585"/>
      <w:sz w:val="20"/>
    </w:rPr>
  </w:style>
  <w:style w:type="paragraph" w:styleId="Heading6">
    <w:name w:val="heading 6"/>
    <w:basedOn w:val="HeadingBase"/>
    <w:next w:val="Normal"/>
    <w:link w:val="Heading6Char"/>
    <w:qFormat/>
    <w:rsid w:val="002D5746"/>
    <w:pPr>
      <w:spacing w:before="60"/>
      <w:outlineLvl w:val="5"/>
    </w:pPr>
    <w:rPr>
      <w:color w:val="918585"/>
      <w:sz w:val="20"/>
    </w:rPr>
  </w:style>
  <w:style w:type="paragraph" w:styleId="Heading7">
    <w:name w:val="heading 7"/>
    <w:basedOn w:val="Normal"/>
    <w:next w:val="Normal"/>
    <w:link w:val="Heading7Char"/>
    <w:qFormat/>
    <w:rsid w:val="002D5746"/>
    <w:pPr>
      <w:ind w:left="720"/>
      <w:outlineLvl w:val="6"/>
    </w:pPr>
    <w:rPr>
      <w:i/>
    </w:rPr>
  </w:style>
  <w:style w:type="paragraph" w:styleId="Heading8">
    <w:name w:val="heading 8"/>
    <w:basedOn w:val="Normal"/>
    <w:next w:val="Normal"/>
    <w:link w:val="Heading8Char"/>
    <w:qFormat/>
    <w:rsid w:val="002D5746"/>
    <w:pPr>
      <w:ind w:left="720"/>
      <w:outlineLvl w:val="7"/>
    </w:pPr>
    <w:rPr>
      <w:i/>
    </w:rPr>
  </w:style>
  <w:style w:type="paragraph" w:styleId="Heading9">
    <w:name w:val="heading 9"/>
    <w:basedOn w:val="Normal"/>
    <w:next w:val="Normal"/>
    <w:link w:val="Heading9Char"/>
    <w:qFormat/>
    <w:rsid w:val="002D5746"/>
    <w:pPr>
      <w:ind w:left="720"/>
      <w:outlineLvl w:val="8"/>
    </w:pPr>
    <w:rPr>
      <w:i/>
    </w:rPr>
  </w:style>
  <w:style w:type="character" w:default="1" w:styleId="DefaultParagraphFont">
    <w:name w:val="Default Paragraph Font"/>
    <w:uiPriority w:val="1"/>
    <w:unhideWhenUsed/>
    <w:rsid w:val="002D5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746"/>
  </w:style>
  <w:style w:type="character" w:customStyle="1" w:styleId="Heading1Char">
    <w:name w:val="Heading 1 Char"/>
    <w:basedOn w:val="DefaultParagraphFont"/>
    <w:link w:val="Heading1"/>
    <w:rsid w:val="002D5746"/>
    <w:rPr>
      <w:rFonts w:ascii="Times New Roman" w:eastAsia="Times New Roman" w:hAnsi="Times New Roman" w:cs="Times New Roman"/>
      <w:b/>
      <w:sz w:val="32"/>
      <w:szCs w:val="20"/>
      <w:lang w:eastAsia="en-US"/>
    </w:rPr>
  </w:style>
  <w:style w:type="paragraph" w:styleId="BodyText">
    <w:name w:val="Body Text"/>
    <w:basedOn w:val="Normal"/>
    <w:link w:val="BodyTextChar"/>
    <w:rsid w:val="002D5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746"/>
    <w:rPr>
      <w:rFonts w:ascii="Times New Roman" w:eastAsia="Times New Roman" w:hAnsi="Times New Roman" w:cs="Times New Roman"/>
      <w:sz w:val="24"/>
      <w:lang w:eastAsia="en-US"/>
    </w:rPr>
  </w:style>
  <w:style w:type="paragraph" w:styleId="ListBullet">
    <w:name w:val="List Bullet"/>
    <w:basedOn w:val="List"/>
    <w:rsid w:val="002D5746"/>
    <w:pPr>
      <w:numPr>
        <w:numId w:val="12"/>
      </w:numPr>
      <w:tabs>
        <w:tab w:val="clear" w:pos="340"/>
      </w:tabs>
      <w:spacing w:before="40" w:after="40"/>
    </w:pPr>
  </w:style>
  <w:style w:type="character" w:customStyle="1" w:styleId="SpecialBold">
    <w:name w:val="Special Bold"/>
    <w:basedOn w:val="DefaultParagraphFont"/>
    <w:rsid w:val="002D5746"/>
    <w:rPr>
      <w:b/>
      <w:spacing w:val="0"/>
    </w:rPr>
  </w:style>
  <w:style w:type="paragraph" w:customStyle="1" w:styleId="SuperHeading">
    <w:name w:val="SuperHeading"/>
    <w:basedOn w:val="Normal"/>
    <w:rsid w:val="002D5746"/>
    <w:pPr>
      <w:spacing w:before="240" w:after="120"/>
      <w:outlineLvl w:val="0"/>
    </w:pPr>
    <w:rPr>
      <w:rFonts w:ascii="Times New Roman" w:hAnsi="Times New Roman"/>
      <w:b/>
      <w:sz w:val="32"/>
    </w:rPr>
  </w:style>
  <w:style w:type="paragraph" w:customStyle="1" w:styleId="AllowPageBreak">
    <w:name w:val="AllowPageBreak"/>
    <w:rsid w:val="002D57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7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7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746"/>
    <w:rPr>
      <w:rFonts w:ascii="Courier New" w:eastAsia="Times New Roman" w:hAnsi="Courier New" w:cs="Times New Roman"/>
      <w:i/>
      <w:szCs w:val="20"/>
      <w:lang w:eastAsia="en-US"/>
    </w:rPr>
  </w:style>
  <w:style w:type="paragraph" w:customStyle="1" w:styleId="HeadingBase">
    <w:name w:val="Heading Base"/>
    <w:rsid w:val="002D5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746"/>
    <w:pPr>
      <w:tabs>
        <w:tab w:val="right" w:leader="dot" w:pos="9072"/>
      </w:tabs>
      <w:ind w:left="567"/>
    </w:pPr>
    <w:rPr>
      <w:szCs w:val="22"/>
    </w:rPr>
  </w:style>
  <w:style w:type="paragraph" w:customStyle="1" w:styleId="TOCBase">
    <w:name w:val="TOC Base"/>
    <w:rsid w:val="002D5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746"/>
    <w:pPr>
      <w:tabs>
        <w:tab w:val="right" w:leader="dot" w:pos="9072"/>
      </w:tabs>
      <w:spacing w:before="40" w:after="40"/>
      <w:ind w:left="284"/>
    </w:pPr>
    <w:rPr>
      <w:rFonts w:ascii="Times New Roman" w:hAnsi="Times New Roman"/>
    </w:rPr>
  </w:style>
  <w:style w:type="paragraph" w:styleId="TOC1">
    <w:name w:val="toc 1"/>
    <w:basedOn w:val="TOCBase"/>
    <w:next w:val="Normal"/>
    <w:rsid w:val="002D57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746"/>
    <w:rPr>
      <w:rFonts w:ascii="Times New Roman" w:eastAsia="Times New Roman" w:hAnsi="Times New Roman" w:cs="Times New Roman"/>
      <w:sz w:val="16"/>
      <w:lang w:eastAsia="en-US"/>
    </w:rPr>
  </w:style>
  <w:style w:type="paragraph" w:styleId="Title">
    <w:name w:val="Title"/>
    <w:basedOn w:val="HeadingBase"/>
    <w:link w:val="TitleChar"/>
    <w:qFormat/>
    <w:rsid w:val="002D5746"/>
    <w:pPr>
      <w:spacing w:before="5040"/>
      <w:jc w:val="center"/>
    </w:pPr>
    <w:rPr>
      <w:sz w:val="48"/>
      <w:szCs w:val="72"/>
      <w:lang w:val="en-US"/>
    </w:rPr>
  </w:style>
  <w:style w:type="character" w:customStyle="1" w:styleId="TitleChar">
    <w:name w:val="Title Char"/>
    <w:basedOn w:val="DefaultParagraphFont"/>
    <w:link w:val="Title"/>
    <w:rsid w:val="002D5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746"/>
    <w:pPr>
      <w:tabs>
        <w:tab w:val="left" w:pos="3600"/>
        <w:tab w:val="left" w:pos="3958"/>
      </w:tabs>
    </w:pPr>
  </w:style>
  <w:style w:type="paragraph" w:styleId="List">
    <w:name w:val="List"/>
    <w:basedOn w:val="BodyText"/>
    <w:next w:val="BodyText"/>
    <w:rsid w:val="002D5746"/>
    <w:pPr>
      <w:tabs>
        <w:tab w:val="left" w:pos="340"/>
      </w:tabs>
      <w:spacing w:before="60" w:after="60"/>
      <w:ind w:left="340" w:hanging="340"/>
    </w:pPr>
  </w:style>
  <w:style w:type="paragraph" w:customStyle="1" w:styleId="Note">
    <w:name w:val="Note"/>
    <w:basedOn w:val="BodyText"/>
    <w:rsid w:val="002D5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746"/>
    <w:pPr>
      <w:framePr w:wrap="auto" w:hAnchor="text" w:y="6049"/>
    </w:pPr>
    <w:rPr>
      <w:color w:val="000000"/>
      <w:sz w:val="40"/>
    </w:rPr>
  </w:style>
  <w:style w:type="paragraph" w:customStyle="1" w:styleId="TOCTitle">
    <w:name w:val="TOCTitle"/>
    <w:basedOn w:val="Heading1"/>
    <w:rsid w:val="002D5746"/>
    <w:pPr>
      <w:spacing w:after="240"/>
      <w:jc w:val="center"/>
      <w:outlineLvl w:val="9"/>
    </w:pPr>
    <w:rPr>
      <w:caps/>
    </w:rPr>
  </w:style>
  <w:style w:type="paragraph" w:customStyle="1" w:styleId="Version">
    <w:name w:val="Version"/>
    <w:rsid w:val="002D57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746"/>
    <w:pPr>
      <w:numPr>
        <w:numId w:val="13"/>
      </w:numPr>
      <w:tabs>
        <w:tab w:val="clear" w:pos="680"/>
      </w:tabs>
    </w:pPr>
  </w:style>
  <w:style w:type="paragraph" w:styleId="Index1">
    <w:name w:val="index 1"/>
    <w:basedOn w:val="Normal"/>
    <w:next w:val="Normal"/>
    <w:semiHidden/>
    <w:rsid w:val="002D5746"/>
    <w:pPr>
      <w:keepNext w:val="0"/>
      <w:tabs>
        <w:tab w:val="right" w:pos="4176"/>
      </w:tabs>
      <w:ind w:left="198" w:hanging="198"/>
    </w:pPr>
    <w:rPr>
      <w:rFonts w:ascii="Garamond" w:hAnsi="Garamond"/>
    </w:rPr>
  </w:style>
  <w:style w:type="paragraph" w:styleId="IndexHeading">
    <w:name w:val="index heading"/>
    <w:basedOn w:val="Normal"/>
    <w:next w:val="Index1"/>
    <w:semiHidden/>
    <w:rsid w:val="002D5746"/>
    <w:pPr>
      <w:spacing w:before="120" w:after="120"/>
    </w:pPr>
    <w:rPr>
      <w:rFonts w:ascii="Arial" w:hAnsi="Arial"/>
      <w:b/>
      <w:color w:val="918585"/>
      <w:sz w:val="24"/>
    </w:rPr>
  </w:style>
  <w:style w:type="paragraph" w:styleId="Header">
    <w:name w:val="header"/>
    <w:basedOn w:val="Normal"/>
    <w:link w:val="HeaderChar"/>
    <w:rsid w:val="002D5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746"/>
    <w:rPr>
      <w:rFonts w:ascii="Times New Roman" w:eastAsia="Times New Roman" w:hAnsi="Times New Roman" w:cs="Times New Roman"/>
      <w:sz w:val="16"/>
      <w:szCs w:val="20"/>
      <w:lang w:val="en-GB" w:eastAsia="en-US"/>
    </w:rPr>
  </w:style>
  <w:style w:type="paragraph" w:customStyle="1" w:styleId="Chapter">
    <w:name w:val="Chapter"/>
    <w:basedOn w:val="Normal"/>
    <w:rsid w:val="002D5746"/>
    <w:pPr>
      <w:spacing w:before="240"/>
    </w:pPr>
    <w:rPr>
      <w:rFonts w:ascii="Times New Roman" w:hAnsi="Times New Roman"/>
      <w:smallCaps/>
      <w:spacing w:val="80"/>
      <w:sz w:val="28"/>
    </w:rPr>
  </w:style>
  <w:style w:type="paragraph" w:customStyle="1" w:styleId="InChapter">
    <w:name w:val="InChapter"/>
    <w:basedOn w:val="Heading3"/>
    <w:rsid w:val="002D5746"/>
    <w:pPr>
      <w:spacing w:after="240"/>
      <w:outlineLvl w:val="9"/>
    </w:pPr>
    <w:rPr>
      <w:noProof/>
    </w:rPr>
  </w:style>
  <w:style w:type="paragraph" w:styleId="Index2">
    <w:name w:val="index 2"/>
    <w:basedOn w:val="Normal"/>
    <w:next w:val="Normal"/>
    <w:semiHidden/>
    <w:rsid w:val="002D5746"/>
    <w:pPr>
      <w:tabs>
        <w:tab w:val="right" w:pos="4176"/>
      </w:tabs>
      <w:ind w:left="568" w:hanging="284"/>
    </w:pPr>
    <w:rPr>
      <w:rFonts w:ascii="Garamond" w:hAnsi="Garamond"/>
    </w:rPr>
  </w:style>
  <w:style w:type="paragraph" w:customStyle="1" w:styleId="Byline">
    <w:name w:val="Byline"/>
    <w:rsid w:val="002D5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746"/>
    <w:pPr>
      <w:tabs>
        <w:tab w:val="clear" w:pos="3600"/>
        <w:tab w:val="clear" w:pos="3958"/>
      </w:tabs>
      <w:jc w:val="right"/>
    </w:pPr>
  </w:style>
  <w:style w:type="character" w:styleId="Emphasis">
    <w:name w:val="Emphasis"/>
    <w:basedOn w:val="DefaultParagraphFont"/>
    <w:qFormat/>
    <w:rsid w:val="002D5746"/>
    <w:rPr>
      <w:i/>
    </w:rPr>
  </w:style>
  <w:style w:type="paragraph" w:styleId="Caption">
    <w:name w:val="caption"/>
    <w:basedOn w:val="BodyText"/>
    <w:next w:val="Normal"/>
    <w:qFormat/>
    <w:rsid w:val="002D5746"/>
    <w:pPr>
      <w:framePr w:w="2268" w:hSpace="181" w:vSpace="181" w:wrap="around" w:vAnchor="text" w:hAnchor="page" w:x="1135" w:y="285" w:anchorLock="1"/>
    </w:pPr>
    <w:rPr>
      <w:i/>
    </w:rPr>
  </w:style>
  <w:style w:type="paragraph" w:customStyle="1" w:styleId="MiniTOCTitle">
    <w:name w:val="MiniTOCTitle"/>
    <w:basedOn w:val="Heading4"/>
    <w:rsid w:val="002D5746"/>
    <w:pPr>
      <w:spacing w:before="240"/>
      <w:outlineLvl w:val="9"/>
    </w:pPr>
    <w:rPr>
      <w:noProof/>
      <w:sz w:val="24"/>
    </w:rPr>
  </w:style>
  <w:style w:type="paragraph" w:customStyle="1" w:styleId="MiniTOCItem">
    <w:name w:val="MiniTOCItem"/>
    <w:basedOn w:val="ListBullet"/>
    <w:rsid w:val="002D5746"/>
    <w:pPr>
      <w:numPr>
        <w:numId w:val="0"/>
      </w:numPr>
      <w:tabs>
        <w:tab w:val="right" w:leader="dot" w:pos="6521"/>
      </w:tabs>
      <w:spacing w:before="0" w:after="0"/>
    </w:pPr>
  </w:style>
  <w:style w:type="paragraph" w:customStyle="1" w:styleId="TOFTitle">
    <w:name w:val="TOFTitle"/>
    <w:basedOn w:val="TOCTitle"/>
    <w:rsid w:val="002D5746"/>
  </w:style>
  <w:style w:type="paragraph" w:styleId="TableofFigures">
    <w:name w:val="table of figures"/>
    <w:basedOn w:val="Normal"/>
    <w:next w:val="Normal"/>
    <w:semiHidden/>
    <w:rsid w:val="002D5746"/>
    <w:pPr>
      <w:tabs>
        <w:tab w:val="right" w:leader="dot" w:pos="9072"/>
      </w:tabs>
      <w:ind w:left="970" w:hanging="403"/>
    </w:pPr>
    <w:rPr>
      <w:rFonts w:ascii="Times New Roman" w:hAnsi="Times New Roman"/>
      <w:b/>
    </w:rPr>
  </w:style>
  <w:style w:type="paragraph" w:styleId="ListNumber">
    <w:name w:val="List Number"/>
    <w:basedOn w:val="List"/>
    <w:rsid w:val="002D5746"/>
    <w:pPr>
      <w:numPr>
        <w:numId w:val="10"/>
      </w:numPr>
    </w:pPr>
  </w:style>
  <w:style w:type="character" w:customStyle="1" w:styleId="WingdingSymbols">
    <w:name w:val="Wingding Symbols"/>
    <w:rsid w:val="002D5746"/>
    <w:rPr>
      <w:rFonts w:ascii="Wingdings" w:hAnsi="Wingdings"/>
    </w:rPr>
  </w:style>
  <w:style w:type="paragraph" w:customStyle="1" w:styleId="TableHeading">
    <w:name w:val="Table Heading"/>
    <w:basedOn w:val="HeadingBase"/>
    <w:rsid w:val="002D5746"/>
    <w:pPr>
      <w:keepLines/>
      <w:pBdr>
        <w:bottom w:val="single" w:sz="6" w:space="1" w:color="918585"/>
      </w:pBdr>
      <w:spacing w:before="240"/>
    </w:pPr>
  </w:style>
  <w:style w:type="character" w:customStyle="1" w:styleId="HotSpot">
    <w:name w:val="HotSpot"/>
    <w:rsid w:val="002D5746"/>
    <w:rPr>
      <w:color w:val="0033CC"/>
      <w:u w:val="none"/>
    </w:rPr>
  </w:style>
  <w:style w:type="paragraph" w:customStyle="1" w:styleId="BodyTextRight">
    <w:name w:val="Body Text Right"/>
    <w:basedOn w:val="BodyText"/>
    <w:rsid w:val="002D5746"/>
    <w:pPr>
      <w:spacing w:before="0" w:after="0"/>
      <w:jc w:val="right"/>
    </w:pPr>
  </w:style>
  <w:style w:type="paragraph" w:styleId="Index3">
    <w:name w:val="index 3"/>
    <w:basedOn w:val="ListNumber2"/>
    <w:next w:val="Normal"/>
    <w:semiHidden/>
    <w:rsid w:val="002D5746"/>
    <w:pPr>
      <w:numPr>
        <w:numId w:val="0"/>
      </w:numPr>
      <w:tabs>
        <w:tab w:val="right" w:leader="dot" w:pos="4176"/>
      </w:tabs>
    </w:pPr>
  </w:style>
  <w:style w:type="paragraph" w:styleId="ListNumber2">
    <w:name w:val="List Number 2"/>
    <w:basedOn w:val="List2"/>
    <w:rsid w:val="002D5746"/>
    <w:pPr>
      <w:numPr>
        <w:numId w:val="9"/>
      </w:numPr>
      <w:tabs>
        <w:tab w:val="clear" w:pos="1060"/>
      </w:tabs>
    </w:pPr>
  </w:style>
  <w:style w:type="paragraph" w:customStyle="1" w:styleId="MarginNote">
    <w:name w:val="Margin Note"/>
    <w:basedOn w:val="BodyText"/>
    <w:rsid w:val="002D5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7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746"/>
    <w:rPr>
      <w:sz w:val="32"/>
    </w:rPr>
  </w:style>
  <w:style w:type="paragraph" w:customStyle="1" w:styleId="HeadingProcedure">
    <w:name w:val="Heading Procedure"/>
    <w:basedOn w:val="HeadingBase"/>
    <w:next w:val="Normal"/>
    <w:rsid w:val="002D5746"/>
    <w:pPr>
      <w:tabs>
        <w:tab w:val="left" w:pos="0"/>
      </w:tabs>
      <w:spacing w:before="120" w:after="60"/>
    </w:pPr>
    <w:rPr>
      <w:i/>
      <w:color w:val="918585"/>
      <w:sz w:val="22"/>
    </w:rPr>
  </w:style>
  <w:style w:type="paragraph" w:customStyle="1" w:styleId="TableBodyText">
    <w:name w:val="Table Body Text"/>
    <w:basedOn w:val="BodyText"/>
    <w:rsid w:val="002D5746"/>
    <w:pPr>
      <w:spacing w:before="60" w:after="60"/>
    </w:pPr>
  </w:style>
  <w:style w:type="paragraph" w:styleId="ListContinue">
    <w:name w:val="List Continue"/>
    <w:basedOn w:val="List"/>
    <w:rsid w:val="002D5746"/>
    <w:pPr>
      <w:ind w:firstLine="0"/>
    </w:pPr>
  </w:style>
  <w:style w:type="paragraph" w:customStyle="1" w:styleId="ListNote">
    <w:name w:val="List Note"/>
    <w:basedOn w:val="List"/>
    <w:rsid w:val="002D5746"/>
    <w:pPr>
      <w:pBdr>
        <w:top w:val="single" w:sz="6" w:space="2" w:color="918585"/>
        <w:bottom w:val="single" w:sz="6" w:space="2" w:color="918585"/>
      </w:pBdr>
      <w:tabs>
        <w:tab w:val="left" w:pos="1021"/>
      </w:tabs>
      <w:ind w:firstLine="0"/>
    </w:pPr>
  </w:style>
  <w:style w:type="paragraph" w:customStyle="1" w:styleId="Warning">
    <w:name w:val="Warning"/>
    <w:basedOn w:val="BodyText"/>
    <w:rsid w:val="002D5746"/>
    <w:pPr>
      <w:shd w:val="clear" w:color="auto" w:fill="D9D9D9"/>
      <w:tabs>
        <w:tab w:val="left" w:pos="992"/>
      </w:tabs>
      <w:ind w:left="119" w:right="119"/>
    </w:pPr>
    <w:rPr>
      <w:sz w:val="20"/>
    </w:rPr>
  </w:style>
  <w:style w:type="paragraph" w:customStyle="1" w:styleId="MarginIcons">
    <w:name w:val="Margin Icons"/>
    <w:basedOn w:val="BodyText"/>
    <w:rsid w:val="002D5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746"/>
    <w:rPr>
      <w:rFonts w:ascii="Courier New" w:hAnsi="Courier New"/>
    </w:rPr>
  </w:style>
  <w:style w:type="paragraph" w:customStyle="1" w:styleId="NoteBullet">
    <w:name w:val="Note Bullet"/>
    <w:basedOn w:val="Note"/>
    <w:rsid w:val="002D5746"/>
    <w:pPr>
      <w:tabs>
        <w:tab w:val="clear" w:pos="680"/>
      </w:tabs>
      <w:spacing w:before="60" w:after="60"/>
    </w:pPr>
  </w:style>
  <w:style w:type="paragraph" w:customStyle="1" w:styleId="SubHeading2">
    <w:name w:val="SubHeading2"/>
    <w:basedOn w:val="HeadingBase"/>
    <w:rsid w:val="002D5746"/>
    <w:pPr>
      <w:spacing w:before="240" w:after="60"/>
    </w:pPr>
    <w:rPr>
      <w:sz w:val="20"/>
    </w:rPr>
  </w:style>
  <w:style w:type="paragraph" w:customStyle="1" w:styleId="SubHeading1">
    <w:name w:val="SubHeading1"/>
    <w:basedOn w:val="HeadingBase"/>
    <w:rsid w:val="002D5746"/>
    <w:pPr>
      <w:spacing w:before="240" w:after="60"/>
    </w:pPr>
    <w:rPr>
      <w:color w:val="918585"/>
      <w:sz w:val="22"/>
    </w:rPr>
  </w:style>
  <w:style w:type="paragraph" w:customStyle="1" w:styleId="SideHeading">
    <w:name w:val="Side Heading"/>
    <w:basedOn w:val="HeadingBase"/>
    <w:rsid w:val="002D5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746"/>
    <w:pPr>
      <w:tabs>
        <w:tab w:val="num" w:pos="360"/>
      </w:tabs>
    </w:pPr>
  </w:style>
  <w:style w:type="paragraph" w:styleId="PlainText">
    <w:name w:val="Plain Text"/>
    <w:basedOn w:val="Normal"/>
    <w:link w:val="PlainTextChar"/>
    <w:rsid w:val="002D5746"/>
    <w:rPr>
      <w:sz w:val="20"/>
    </w:rPr>
  </w:style>
  <w:style w:type="character" w:customStyle="1" w:styleId="PlainTextChar">
    <w:name w:val="Plain Text Char"/>
    <w:basedOn w:val="DefaultParagraphFont"/>
    <w:link w:val="PlainText"/>
    <w:rsid w:val="002D5746"/>
    <w:rPr>
      <w:rFonts w:ascii="Courier New" w:eastAsia="Times New Roman" w:hAnsi="Courier New" w:cs="Times New Roman"/>
      <w:sz w:val="20"/>
      <w:szCs w:val="20"/>
      <w:lang w:eastAsia="en-US"/>
    </w:rPr>
  </w:style>
  <w:style w:type="character" w:customStyle="1" w:styleId="MenuOption">
    <w:name w:val="Menu Option"/>
    <w:basedOn w:val="DefaultParagraphFont"/>
    <w:rsid w:val="002D5746"/>
    <w:rPr>
      <w:b/>
      <w:smallCaps/>
    </w:rPr>
  </w:style>
  <w:style w:type="paragraph" w:customStyle="1" w:styleId="TableListNumber">
    <w:name w:val="Table List Number"/>
    <w:basedOn w:val="ListNumber"/>
    <w:rsid w:val="002D5746"/>
    <w:pPr>
      <w:numPr>
        <w:numId w:val="0"/>
      </w:numPr>
    </w:pPr>
  </w:style>
  <w:style w:type="paragraph" w:styleId="TOC4">
    <w:name w:val="toc 4"/>
    <w:basedOn w:val="TOCBase"/>
    <w:next w:val="Normal"/>
    <w:semiHidden/>
    <w:rsid w:val="002D5746"/>
    <w:pPr>
      <w:tabs>
        <w:tab w:val="right" w:leader="dot" w:pos="9071"/>
      </w:tabs>
      <w:ind w:left="1701"/>
    </w:pPr>
  </w:style>
  <w:style w:type="paragraph" w:customStyle="1" w:styleId="ListAlpha">
    <w:name w:val="List Alpha"/>
    <w:basedOn w:val="List"/>
    <w:rsid w:val="002D5746"/>
    <w:pPr>
      <w:numPr>
        <w:numId w:val="8"/>
      </w:numPr>
    </w:pPr>
  </w:style>
  <w:style w:type="paragraph" w:customStyle="1" w:styleId="ListAlpha2">
    <w:name w:val="List Alpha 2"/>
    <w:basedOn w:val="List2"/>
    <w:rsid w:val="002D5746"/>
    <w:pPr>
      <w:numPr>
        <w:numId w:val="7"/>
      </w:numPr>
    </w:pPr>
  </w:style>
  <w:style w:type="paragraph" w:styleId="List2">
    <w:name w:val="List 2"/>
    <w:basedOn w:val="BodyText"/>
    <w:rsid w:val="002D5746"/>
    <w:pPr>
      <w:tabs>
        <w:tab w:val="left" w:pos="680"/>
      </w:tabs>
      <w:spacing w:before="60" w:after="60"/>
      <w:ind w:left="680" w:hanging="340"/>
    </w:pPr>
  </w:style>
  <w:style w:type="paragraph" w:styleId="List3">
    <w:name w:val="List 3"/>
    <w:basedOn w:val="BodyText"/>
    <w:rsid w:val="002D5746"/>
    <w:pPr>
      <w:tabs>
        <w:tab w:val="left" w:pos="1021"/>
      </w:tabs>
      <w:spacing w:before="60" w:after="60"/>
      <w:ind w:left="1020" w:hanging="340"/>
    </w:pPr>
  </w:style>
  <w:style w:type="paragraph" w:styleId="List4">
    <w:name w:val="List 4"/>
    <w:basedOn w:val="BodyText"/>
    <w:rsid w:val="002D5746"/>
    <w:pPr>
      <w:tabs>
        <w:tab w:val="left" w:pos="1361"/>
      </w:tabs>
      <w:spacing w:before="60" w:after="60"/>
      <w:ind w:left="1361" w:hanging="340"/>
    </w:pPr>
  </w:style>
  <w:style w:type="paragraph" w:styleId="List5">
    <w:name w:val="List 5"/>
    <w:basedOn w:val="BodyText"/>
    <w:rsid w:val="002D5746"/>
    <w:pPr>
      <w:tabs>
        <w:tab w:val="left" w:pos="1701"/>
      </w:tabs>
      <w:spacing w:before="60" w:after="60"/>
      <w:ind w:left="1701" w:hanging="340"/>
    </w:pPr>
  </w:style>
  <w:style w:type="paragraph" w:styleId="ListBullet3">
    <w:name w:val="List Bullet 3"/>
    <w:basedOn w:val="List3"/>
    <w:rsid w:val="002D5746"/>
    <w:pPr>
      <w:numPr>
        <w:numId w:val="14"/>
      </w:numPr>
      <w:tabs>
        <w:tab w:val="clear" w:pos="1021"/>
      </w:tabs>
      <w:ind w:left="1037" w:hanging="357"/>
    </w:pPr>
  </w:style>
  <w:style w:type="paragraph" w:styleId="ListBullet4">
    <w:name w:val="List Bullet 4"/>
    <w:basedOn w:val="List4"/>
    <w:rsid w:val="002D5746"/>
    <w:pPr>
      <w:numPr>
        <w:numId w:val="2"/>
      </w:numPr>
    </w:pPr>
  </w:style>
  <w:style w:type="paragraph" w:styleId="ListBullet5">
    <w:name w:val="List Bullet 5"/>
    <w:basedOn w:val="List5"/>
    <w:rsid w:val="002D5746"/>
    <w:pPr>
      <w:numPr>
        <w:numId w:val="3"/>
      </w:numPr>
    </w:pPr>
  </w:style>
  <w:style w:type="paragraph" w:styleId="ListContinue2">
    <w:name w:val="List Continue 2"/>
    <w:basedOn w:val="List2"/>
    <w:rsid w:val="002D5746"/>
    <w:pPr>
      <w:ind w:firstLine="0"/>
    </w:pPr>
  </w:style>
  <w:style w:type="paragraph" w:styleId="ListContinue3">
    <w:name w:val="List Continue 3"/>
    <w:basedOn w:val="List3"/>
    <w:rsid w:val="002D5746"/>
    <w:pPr>
      <w:ind w:left="1021" w:firstLine="0"/>
    </w:pPr>
  </w:style>
  <w:style w:type="paragraph" w:styleId="ListContinue4">
    <w:name w:val="List Continue 4"/>
    <w:basedOn w:val="List4"/>
    <w:rsid w:val="002D5746"/>
    <w:pPr>
      <w:ind w:firstLine="0"/>
    </w:pPr>
  </w:style>
  <w:style w:type="paragraph" w:styleId="ListContinue5">
    <w:name w:val="List Continue 5"/>
    <w:basedOn w:val="List5"/>
    <w:rsid w:val="002D5746"/>
    <w:pPr>
      <w:ind w:firstLine="0"/>
    </w:pPr>
  </w:style>
  <w:style w:type="paragraph" w:styleId="ListNumber3">
    <w:name w:val="List Number 3"/>
    <w:basedOn w:val="List3"/>
    <w:rsid w:val="002D5746"/>
    <w:pPr>
      <w:numPr>
        <w:numId w:val="4"/>
      </w:numPr>
    </w:pPr>
  </w:style>
  <w:style w:type="paragraph" w:styleId="ListNumber4">
    <w:name w:val="List Number 4"/>
    <w:basedOn w:val="List4"/>
    <w:rsid w:val="002D5746"/>
    <w:pPr>
      <w:numPr>
        <w:numId w:val="5"/>
      </w:numPr>
    </w:pPr>
  </w:style>
  <w:style w:type="paragraph" w:styleId="ListNumber5">
    <w:name w:val="List Number 5"/>
    <w:basedOn w:val="List5"/>
    <w:rsid w:val="002D5746"/>
    <w:pPr>
      <w:numPr>
        <w:numId w:val="6"/>
      </w:numPr>
    </w:pPr>
  </w:style>
  <w:style w:type="paragraph" w:styleId="BlockText">
    <w:name w:val="Block Text"/>
    <w:basedOn w:val="Normal"/>
    <w:rsid w:val="002D5746"/>
    <w:pPr>
      <w:spacing w:after="120"/>
      <w:ind w:left="1440" w:right="1440"/>
    </w:pPr>
  </w:style>
  <w:style w:type="character" w:customStyle="1" w:styleId="Subscript">
    <w:name w:val="Subscript"/>
    <w:basedOn w:val="DefaultParagraphFont"/>
    <w:rsid w:val="002D5746"/>
    <w:rPr>
      <w:sz w:val="16"/>
      <w:vertAlign w:val="subscript"/>
    </w:rPr>
  </w:style>
  <w:style w:type="character" w:customStyle="1" w:styleId="Superscript">
    <w:name w:val="Superscript"/>
    <w:basedOn w:val="DefaultParagraphFont"/>
    <w:rsid w:val="002D5746"/>
    <w:rPr>
      <w:sz w:val="16"/>
      <w:vertAlign w:val="superscript"/>
    </w:rPr>
  </w:style>
  <w:style w:type="character" w:customStyle="1" w:styleId="Symbols">
    <w:name w:val="Symbols"/>
    <w:basedOn w:val="DefaultParagraphFont"/>
    <w:rsid w:val="002D5746"/>
    <w:rPr>
      <w:rFonts w:ascii="Symbol" w:hAnsi="Symbol"/>
    </w:rPr>
  </w:style>
  <w:style w:type="character" w:customStyle="1" w:styleId="MenuOptions">
    <w:name w:val="Menu Options"/>
    <w:basedOn w:val="DefaultParagraphFont"/>
    <w:rsid w:val="002D5746"/>
    <w:rPr>
      <w:rFonts w:ascii="Arial Narrow" w:hAnsi="Arial Narrow"/>
      <w:smallCaps/>
    </w:rPr>
  </w:style>
  <w:style w:type="character" w:customStyle="1" w:styleId="Buttons">
    <w:name w:val="Buttons"/>
    <w:basedOn w:val="DefaultParagraphFont"/>
    <w:rsid w:val="002D5746"/>
    <w:rPr>
      <w:b/>
    </w:rPr>
  </w:style>
  <w:style w:type="character" w:customStyle="1" w:styleId="Underlined">
    <w:name w:val="Underlined"/>
    <w:basedOn w:val="DefaultParagraphFont"/>
    <w:rsid w:val="002D5746"/>
    <w:rPr>
      <w:u w:val="single"/>
    </w:rPr>
  </w:style>
  <w:style w:type="paragraph" w:customStyle="1" w:styleId="TableBodyTextRight">
    <w:name w:val="Table Body Text Right"/>
    <w:basedOn w:val="TableBodyText"/>
    <w:rsid w:val="002D5746"/>
    <w:pPr>
      <w:widowControl w:val="0"/>
      <w:autoSpaceDE w:val="0"/>
      <w:autoSpaceDN w:val="0"/>
      <w:adjustRightInd w:val="0"/>
      <w:jc w:val="right"/>
    </w:pPr>
    <w:rPr>
      <w:rFonts w:cs="Arial"/>
      <w:szCs w:val="18"/>
    </w:rPr>
  </w:style>
  <w:style w:type="paragraph" w:customStyle="1" w:styleId="CopyrightText">
    <w:name w:val="Copyright Text"/>
    <w:basedOn w:val="BodyText"/>
    <w:rsid w:val="002D5746"/>
    <w:rPr>
      <w:sz w:val="18"/>
    </w:rPr>
  </w:style>
  <w:style w:type="paragraph" w:customStyle="1" w:styleId="BodySmallRight">
    <w:name w:val="Body Small Right"/>
    <w:basedOn w:val="BodyTextRight"/>
    <w:rsid w:val="002D5746"/>
    <w:rPr>
      <w:sz w:val="18"/>
      <w:szCs w:val="18"/>
    </w:rPr>
  </w:style>
  <w:style w:type="paragraph" w:customStyle="1" w:styleId="MarginEdition">
    <w:name w:val="Margin Edition"/>
    <w:basedOn w:val="MarginNote"/>
    <w:rsid w:val="002D5746"/>
    <w:pPr>
      <w:spacing w:before="0" w:after="0"/>
    </w:pPr>
    <w:rPr>
      <w:rFonts w:ascii="Times New Roman" w:hAnsi="Times New Roman"/>
      <w:color w:val="999999"/>
    </w:rPr>
  </w:style>
  <w:style w:type="paragraph" w:customStyle="1" w:styleId="Spacer">
    <w:name w:val="Spacer"/>
    <w:basedOn w:val="Normal"/>
    <w:rsid w:val="002D5746"/>
    <w:rPr>
      <w:sz w:val="2"/>
      <w:szCs w:val="2"/>
    </w:rPr>
  </w:style>
  <w:style w:type="character" w:customStyle="1" w:styleId="Small">
    <w:name w:val="Small"/>
    <w:basedOn w:val="DefaultParagraphFont"/>
    <w:rsid w:val="002D5746"/>
    <w:rPr>
      <w:sz w:val="16"/>
    </w:rPr>
  </w:style>
  <w:style w:type="paragraph" w:customStyle="1" w:styleId="WideTable">
    <w:name w:val="Wide Table"/>
    <w:basedOn w:val="Normal"/>
    <w:rsid w:val="002D5746"/>
    <w:pPr>
      <w:ind w:left="-1418"/>
    </w:pPr>
    <w:rPr>
      <w:sz w:val="2"/>
      <w:szCs w:val="2"/>
    </w:rPr>
  </w:style>
  <w:style w:type="character" w:styleId="PageNumber">
    <w:name w:val="page number"/>
    <w:basedOn w:val="DefaultParagraphFont"/>
    <w:rsid w:val="002D5746"/>
  </w:style>
  <w:style w:type="paragraph" w:styleId="Quote">
    <w:name w:val="Quote"/>
    <w:basedOn w:val="Heading1"/>
    <w:link w:val="QuoteChar"/>
    <w:qFormat/>
    <w:rsid w:val="002D5746"/>
    <w:rPr>
      <w:b w:val="0"/>
      <w:sz w:val="72"/>
      <w:szCs w:val="72"/>
      <w:lang w:val="en-NZ"/>
    </w:rPr>
  </w:style>
  <w:style w:type="character" w:customStyle="1" w:styleId="QuoteChar">
    <w:name w:val="Quote Char"/>
    <w:basedOn w:val="DefaultParagraphFont"/>
    <w:link w:val="Quote"/>
    <w:rsid w:val="002D5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746"/>
    <w:pPr>
      <w:pageBreakBefore/>
    </w:pPr>
  </w:style>
  <w:style w:type="paragraph" w:customStyle="1" w:styleId="Border">
    <w:name w:val="Border"/>
    <w:basedOn w:val="Normal"/>
    <w:qFormat/>
    <w:rsid w:val="002D5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746"/>
    <w:rPr>
      <w:b/>
      <w:bCs/>
      <w:i/>
      <w:iCs/>
      <w:color w:val="auto"/>
    </w:rPr>
  </w:style>
  <w:style w:type="paragraph" w:styleId="IntenseQuote">
    <w:name w:val="Intense Quote"/>
    <w:basedOn w:val="Normal"/>
    <w:next w:val="Normal"/>
    <w:link w:val="IntenseQuoteChar"/>
    <w:uiPriority w:val="30"/>
    <w:qFormat/>
    <w:rsid w:val="002D5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7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746"/>
    <w:rPr>
      <w:smallCaps/>
      <w:color w:val="auto"/>
      <w:u w:val="single"/>
    </w:rPr>
  </w:style>
  <w:style w:type="character" w:styleId="IntenseReference">
    <w:name w:val="Intense Reference"/>
    <w:basedOn w:val="DefaultParagraphFont"/>
    <w:uiPriority w:val="32"/>
    <w:qFormat/>
    <w:rsid w:val="002D5746"/>
    <w:rPr>
      <w:b/>
      <w:bCs/>
      <w:smallCaps/>
      <w:color w:val="auto"/>
      <w:spacing w:val="5"/>
      <w:u w:val="single"/>
    </w:rPr>
  </w:style>
  <w:style w:type="paragraph" w:customStyle="1" w:styleId="2ColumnHeading">
    <w:name w:val="2Column Heading"/>
    <w:basedOn w:val="BodyText"/>
    <w:qFormat/>
    <w:rsid w:val="002D5746"/>
    <w:pPr>
      <w:spacing w:after="60"/>
      <w:ind w:left="-2268"/>
    </w:pPr>
    <w:rPr>
      <w:b/>
    </w:rPr>
  </w:style>
  <w:style w:type="paragraph" w:customStyle="1" w:styleId="Heading1TOC">
    <w:name w:val="Heading1 TOC"/>
    <w:basedOn w:val="Normal"/>
    <w:qFormat/>
    <w:rsid w:val="002D5746"/>
    <w:pPr>
      <w:spacing w:before="240" w:after="120"/>
    </w:pPr>
    <w:rPr>
      <w:rFonts w:ascii="Times New Roman" w:hAnsi="Times New Roman"/>
      <w:b/>
      <w:sz w:val="32"/>
    </w:rPr>
  </w:style>
  <w:style w:type="paragraph" w:customStyle="1" w:styleId="Heading2TOC">
    <w:name w:val="Heading2 TOC"/>
    <w:basedOn w:val="Normal"/>
    <w:qFormat/>
    <w:rsid w:val="002D5746"/>
    <w:pPr>
      <w:spacing w:before="240" w:after="60"/>
    </w:pPr>
    <w:rPr>
      <w:rFonts w:ascii="Times New Roman" w:hAnsi="Times New Roman"/>
      <w:b/>
      <w:sz w:val="28"/>
    </w:rPr>
  </w:style>
  <w:style w:type="character" w:customStyle="1" w:styleId="Underline">
    <w:name w:val="Underline"/>
    <w:basedOn w:val="DefaultParagraphFont"/>
    <w:qFormat/>
    <w:rsid w:val="002D5746"/>
    <w:rPr>
      <w:u w:val="single"/>
    </w:rPr>
  </w:style>
  <w:style w:type="character" w:customStyle="1" w:styleId="BoldandItalics">
    <w:name w:val="Bold and Italics"/>
    <w:qFormat/>
    <w:rsid w:val="002D5746"/>
    <w:rPr>
      <w:b/>
      <w:i/>
      <w:u w:val="none"/>
    </w:rPr>
  </w:style>
  <w:style w:type="paragraph" w:styleId="BalloonText">
    <w:name w:val="Balloon Text"/>
    <w:basedOn w:val="Normal"/>
    <w:link w:val="BalloonTextChar"/>
    <w:rsid w:val="002D5746"/>
    <w:rPr>
      <w:rFonts w:ascii="Tahoma" w:hAnsi="Tahoma" w:cs="Tahoma"/>
      <w:sz w:val="16"/>
      <w:szCs w:val="16"/>
    </w:rPr>
  </w:style>
  <w:style w:type="character" w:customStyle="1" w:styleId="BalloonTextChar">
    <w:name w:val="Balloon Text Char"/>
    <w:basedOn w:val="DefaultParagraphFont"/>
    <w:link w:val="BalloonText"/>
    <w:rsid w:val="002D57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7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746"/>
    <w:rPr>
      <w:b/>
      <w:color w:val="660033"/>
      <w:spacing w:val="0"/>
    </w:rPr>
  </w:style>
  <w:style w:type="paragraph" w:customStyle="1" w:styleId="Nameditemlist">
    <w:name w:val="Named item list"/>
    <w:basedOn w:val="BodyText"/>
    <w:qFormat/>
    <w:rsid w:val="002D57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786</Words>
  <Characters>5050</Characters>
  <Application>Microsoft Office Word</Application>
  <DocSecurity>0</DocSecurity>
  <Lines>206</Lines>
  <Paragraphs>126</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TLIX5058A Review decisions of regulatory bodies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2013-12-24T08:54:05Z</dcterms:created>
  <dcterms:modified xsi:type="dcterms:W3CDTF">2013-12-23T05:25:00Z</dcterms:modified>
</cp:coreProperties>
</file>