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A0F" w:rsidP="00C21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TLIX5056A Carry out additional customs clearance practices</w:t>
      </w:r>
      <w:r>
        <w:fldChar w:fldCharType="end"/>
      </w:r>
    </w:p>
    <w:p w:rsidR="00C21A0F" w:rsidP="00C21A0F">
      <w:pPr>
        <w:pStyle w:val="Version"/>
        <w:sectPr w:rsidSect="001C1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10BF" w:rsidP="001C10BF">
      <w:pPr>
        <w:pStyle w:val="SuperHeading"/>
      </w:pPr>
      <w:r w:rsidRPr="001C10BF">
        <w:t>TLIX5056A Carry out additional customs clearance practices</w:t>
      </w:r>
    </w:p>
    <w:p w:rsidR="00000000" w:rsidRPr="001C10BF" w:rsidP="001C10BF">
      <w:pPr>
        <w:pStyle w:val="Heading1"/>
      </w:pPr>
      <w:bookmarkStart w:id="1" w:name="O_628168"/>
      <w:bookmarkEnd w:id="1"/>
      <w:r w:rsidRPr="001C10BF">
        <w:t>Modification History</w:t>
      </w:r>
    </w:p>
    <w:p w:rsidR="00000000" w:rsidRPr="001C10BF" w:rsidP="001C10BF">
      <w:pPr>
        <w:pStyle w:val="BodyText"/>
      </w:pPr>
      <w:r w:rsidRPr="001C10BF">
        <w:t>Release 1. This is the first release of this unit.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2" w:name="O_628169"/>
      <w:bookmarkEnd w:id="2"/>
      <w:r w:rsidRPr="001C10BF">
        <w:t>Unit Descriptor</w:t>
      </w:r>
    </w:p>
    <w:p w:rsidR="00000000" w:rsidRPr="001C10BF" w:rsidP="001C10BF">
      <w:pPr>
        <w:pStyle w:val="BodyText"/>
      </w:pPr>
      <w:r w:rsidRPr="001C10BF">
        <w:t>This unit involves the skills and knowledge required to carry out customs clearance practices that are additional to the standard clear</w:t>
      </w:r>
      <w:r w:rsidRPr="001C10BF">
        <w:t xml:space="preserve">ance practices in accordance with the Customs Act 1901 and amendments, as well as related legislation, regulatory requirements and workplace requirements. </w:t>
      </w:r>
    </w:p>
    <w:p w:rsidR="00000000" w:rsidRPr="001C10BF" w:rsidP="001C10BF">
      <w:pPr>
        <w:pStyle w:val="BodyText"/>
      </w:pPr>
    </w:p>
    <w:p w:rsidR="00000000" w:rsidRPr="001C10BF" w:rsidP="001C10BF">
      <w:pPr>
        <w:pStyle w:val="BodyText"/>
      </w:pPr>
      <w:r w:rsidRPr="001C10BF">
        <w:t>Licensing, legislative, regulatory or certification requirements are applicable to this unit.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3" w:name="O_628170"/>
      <w:bookmarkEnd w:id="3"/>
      <w:r w:rsidRPr="001C10BF">
        <w:t>Application of the Unit</w:t>
      </w:r>
    </w:p>
    <w:p w:rsidR="00000000" w:rsidRPr="001C10BF" w:rsidP="001C10BF">
      <w:pPr>
        <w:pStyle w:val="BodyText"/>
      </w:pPr>
      <w:r w:rsidRPr="001C10BF">
        <w:t xml:space="preserve">This unit applies to individuals working as a Customs Broker. Work must be carried out in compliance with the relevant customs related legislation and workplace requirements concerning customs clearance practices. </w:t>
      </w:r>
    </w:p>
    <w:p w:rsidR="00000000" w:rsidRPr="001C10BF" w:rsidP="001C10BF">
      <w:pPr>
        <w:pStyle w:val="BodyText"/>
      </w:pPr>
    </w:p>
    <w:p w:rsidR="00000000" w:rsidRPr="001C10BF" w:rsidP="001C10BF">
      <w:pPr>
        <w:pStyle w:val="BodyText"/>
      </w:pPr>
      <w:r w:rsidRPr="001C10BF">
        <w:t>Work</w:t>
      </w:r>
      <w:r w:rsidRPr="001C10BF">
        <w:t xml:space="preserve"> is undertaken in a range of environments, including small to large worksites in the Custom Broking Industry. 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4" w:name="O_628171"/>
      <w:bookmarkEnd w:id="4"/>
      <w:r w:rsidRPr="001C10BF">
        <w:t>Licensing/Regulatory Information</w:t>
      </w:r>
    </w:p>
    <w:p w:rsidR="00000000" w:rsidRPr="001C10BF" w:rsidP="001C10BF">
      <w:pPr>
        <w:pStyle w:val="BodyText"/>
      </w:pPr>
      <w:r w:rsidRPr="001C10BF">
        <w:t>Refer to Unit Descriptor.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5" w:name="O_628172"/>
      <w:bookmarkEnd w:id="5"/>
      <w:r w:rsidRPr="001C10BF">
        <w:t>Pre-Requisites</w:t>
      </w:r>
    </w:p>
    <w:p w:rsidR="00000000" w:rsidRPr="001C10BF" w:rsidP="001C10BF">
      <w:pPr>
        <w:pStyle w:val="BodyText"/>
      </w:pPr>
      <w:r w:rsidRPr="001C10BF">
        <w:t>Nil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6" w:name="O_628173"/>
      <w:bookmarkEnd w:id="6"/>
      <w:r w:rsidRPr="001C10BF">
        <w:t>Employability Sk</w:t>
      </w:r>
      <w:r w:rsidRPr="001C10BF">
        <w:t>ills Information</w:t>
      </w:r>
    </w:p>
    <w:p w:rsidR="00000000" w:rsidRPr="001C10BF" w:rsidP="001C10BF">
      <w:pPr>
        <w:pStyle w:val="BodyText"/>
      </w:pPr>
      <w:r w:rsidRPr="001C10BF">
        <w:t>This unit contains employability skills.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7" w:name="O_628174"/>
      <w:bookmarkEnd w:id="7"/>
      <w:r w:rsidRPr="001C10B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21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t>Performance criteria describe the required performance needed to demo</w:t>
            </w:r>
            <w:r w:rsidRPr="001C10BF">
              <w:t>nstrate achievement of the element. Assessment of performance is to be consistent with the evidence guide.</w:t>
            </w:r>
          </w:p>
        </w:tc>
      </w:tr>
    </w:tbl>
    <w:p w:rsidR="00000000" w:rsidRPr="001C10BF" w:rsidP="001C10BF">
      <w:pPr>
        <w:pStyle w:val="BodyText"/>
      </w:pP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8" w:name="O_628175"/>
      <w:bookmarkEnd w:id="8"/>
      <w:r w:rsidRPr="001C10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"/>
        <w:gridCol w:w="1747"/>
        <w:gridCol w:w="558"/>
        <w:gridCol w:w="6547"/>
      </w:tblGrid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Calculate landed costs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Documents are examined and factors required to calculate a landed cost are identified from commercial and customs documentation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Client is contacted to verify rate of exchange required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Any missing data is identified and rectification processes are initiated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Determine eligibility of import transaction for refund, rebate or remission of customs duty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Transaction documents are examined for accuracy and completeness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Circumstance</w:t>
            </w:r>
            <w:r w:rsidRPr="001C10BF">
              <w:t>s giving rise to refund, rebate or remission opportunities are identified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Relevant reason code is determined from Customs Regulations 1926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Timeframes within which refunds are available is determined in accordance with Customs Regulations 1926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Determine eligibility of import consignments for entry under relevant legislation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Temporary import is identified and established as conforming to the requirements of the Customs Act 1901 and associated regulations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Goods are identified as subject to carnet and dealt with in accordance with customs requirements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Goods are identified as a temporary import under event status and dealt with in accordance with customs requirements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Goods are identified as a te</w:t>
            </w:r>
            <w:r w:rsidRPr="001C10BF">
              <w:t>mporary importation and dealt with in accordance with customs requirements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Application forms for securities relating to temporary imports and/or end use are accurately completed and lodged in accordance with customs requirements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Determine e</w:t>
            </w:r>
            <w:r w:rsidRPr="001C10BF">
              <w:rPr>
                <w:rStyle w:val="SpecialBold"/>
              </w:rPr>
              <w:t>ligibility for, calculate drawback claims and advise on TRADEX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Sufficient import and export information to prepare claim is collated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Drawback claims are determined within the prescribed timeframes and advice is provided accordingly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Drawback claim is prepared and calculated in accordance with a customs approved method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 xml:space="preserve">Situations suitable for TRADEX registration are identified and advice is provided 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Assess goods against export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Goods subject to export re</w:t>
            </w:r>
            <w:r w:rsidRPr="001C10BF">
              <w:t>quirements are identified including entry for export, in accordance with the Customs Act 1901 as amended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 xml:space="preserve">Circumstances where permissions are required are identified and such </w:t>
            </w:r>
            <w:r w:rsidRPr="001C10BF">
              <w:t>permissions are sought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Circumstances where permissions are not required are identified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t>Relevant export entry and/or application form is completed lodged in accordance with goods to be exported and legislative requirements</w:t>
            </w:r>
          </w:p>
        </w:tc>
      </w:tr>
    </w:tbl>
    <w:p w:rsidR="00000000" w:rsidRPr="001C10BF" w:rsidP="001C10BF">
      <w:pPr>
        <w:pStyle w:val="BodyText"/>
      </w:pP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9" w:name="O_628176"/>
      <w:bookmarkEnd w:id="9"/>
      <w:r w:rsidRPr="001C10B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This section describes the knowledge and skills required for this unit.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Required knowledge: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Customs Act 1901, regulations and current amendments as they relate to refunds, remissions and drawbacks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Drawbacks and Tradex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Exports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Landed costs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Refunds and Post Warrant Amendments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Refunds, rebates and remissions of duty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Securities and temporary imports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Various forms and functions of securities and temporary importations</w:t>
            </w:r>
          </w:p>
        </w:tc>
      </w:tr>
    </w:tbl>
    <w:p w:rsidR="00000000" w:rsidRPr="001C10BF" w:rsidP="001C10B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Required skills: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Carry out complex calculations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Communicate effectively with a range of stakeholders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Examine documents for accuracy and completeness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Identify non-compliance and respond accordingly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Implement timeframes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Manage quality customer service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Provide accurate advice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Read and interpret Customs Act 1901 as amended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Read and interpret Customs Regulations 1926 as amended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Source information on new developments in customs clearance practices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Use software application systems</w:t>
            </w:r>
          </w:p>
        </w:tc>
      </w:tr>
    </w:tbl>
    <w:p w:rsidR="00000000" w:rsidRPr="001C10BF" w:rsidP="001C10BF">
      <w:pPr>
        <w:pStyle w:val="BodyText"/>
      </w:pP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10" w:name="O_628177"/>
      <w:bookmarkEnd w:id="10"/>
      <w:r w:rsidRPr="001C10BF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The evidenc</w:t>
            </w:r>
            <w:r w:rsidRPr="001C10BF">
              <w:t>e guide provides advice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t>The evidence required to demonstrate competence in this unit must be relevant to and satisfy all of the requirements of the Elements, Performance Criteria, Require</w:t>
            </w:r>
            <w:r w:rsidRPr="001C10BF">
              <w:t>d Skills, Required Knowledge and include:</w:t>
            </w:r>
          </w:p>
          <w:p w:rsidR="00000000" w:rsidRPr="001C10BF" w:rsidP="001C10BF">
            <w:pPr>
              <w:pStyle w:val="ListBullet"/>
            </w:pPr>
            <w:r w:rsidRPr="001C10BF">
              <w:t>applying procedures for compliance with customs and related legislation</w:t>
            </w:r>
          </w:p>
          <w:p w:rsidR="00000000" w:rsidRPr="001C10BF" w:rsidP="001C10BF">
            <w:pPr>
              <w:pStyle w:val="ListBullet"/>
            </w:pPr>
            <w:r w:rsidRPr="001C10BF">
              <w:t>conducting calculations and making appropriate adjustments as part of routine activities in customs clearance operations</w:t>
            </w:r>
          </w:p>
          <w:p w:rsidR="00000000" w:rsidRPr="001C10BF" w:rsidP="001C10BF">
            <w:pPr>
              <w:pStyle w:val="ListBullet"/>
            </w:pPr>
            <w:r w:rsidRPr="001C10BF">
              <w:t>using software appli</w:t>
            </w:r>
            <w:r w:rsidRPr="001C10BF">
              <w:t>cation systems to carry out customs clearance practices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implementing dispute resolution procedures.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t>Performance is demonstrated consistently over time and in a suitable range of contexts.</w:t>
            </w:r>
          </w:p>
          <w:p w:rsidR="00000000" w:rsidRPr="001C10BF" w:rsidP="001C10BF">
            <w:pPr>
              <w:pStyle w:val="BodyText"/>
            </w:pPr>
            <w:r w:rsidRPr="001C10BF">
              <w:t>Resources for assessment include access to:</w:t>
            </w:r>
          </w:p>
          <w:p w:rsidR="00000000" w:rsidRPr="001C10BF" w:rsidP="001C10BF">
            <w:pPr>
              <w:pStyle w:val="ListBullet"/>
            </w:pPr>
            <w:r w:rsidRPr="001C10BF">
              <w:t>relevant regulatory and equipment documentation that impacts on work activities</w:t>
            </w:r>
          </w:p>
          <w:p w:rsidR="00000000" w:rsidRPr="001C10BF" w:rsidP="001C10BF">
            <w:pPr>
              <w:pStyle w:val="ListBullet"/>
            </w:pPr>
            <w:r w:rsidRPr="001C10BF">
              <w:t>range of relevant exercises, case studies, scenarios and/or other simulated practical and knowledge assessments</w:t>
            </w:r>
          </w:p>
          <w:p w:rsidR="00000000" w:rsidRPr="001C10BF" w:rsidP="001C10BF">
            <w:pPr>
              <w:pStyle w:val="ListBullet"/>
            </w:pPr>
            <w:r w:rsidRPr="001C10BF">
              <w:t>appropriate range o</w:t>
            </w:r>
            <w:r w:rsidRPr="001C10BF">
              <w:t>f relevant operational situations in the workplace.</w:t>
            </w:r>
          </w:p>
          <w:p w:rsidR="00000000" w:rsidRPr="001C10BF" w:rsidP="001C10BF">
            <w:pPr>
              <w:pStyle w:val="BodyText"/>
            </w:pPr>
            <w:r w:rsidRPr="001C10BF">
              <w:t>In both real and simulated environments, access is required to:</w:t>
            </w:r>
          </w:p>
          <w:p w:rsidR="00000000" w:rsidRPr="001C10BF" w:rsidP="001C10BF">
            <w:pPr>
              <w:pStyle w:val="ListBullet"/>
            </w:pPr>
            <w:r w:rsidRPr="001C10BF">
              <w:t>relevant and appropriate materials and equipment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applicable documentation including legislation, and workplace procedures.</w:t>
            </w:r>
          </w:p>
        </w:tc>
      </w:tr>
      <w:tr w:rsidTr="001C10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rPr>
                <w:rStyle w:val="SpecialBold"/>
              </w:rPr>
              <w:t>Method of asses</w:t>
            </w:r>
            <w:r w:rsidRPr="001C10BF">
              <w:rPr>
                <w:rStyle w:val="SpecialBold"/>
              </w:rPr>
              <w:t>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BodyText"/>
            </w:pPr>
            <w:r w:rsidRPr="001C10BF">
              <w:t>Practical assessment must occur in an:</w:t>
            </w:r>
          </w:p>
          <w:p w:rsidR="00000000" w:rsidRPr="001C10BF" w:rsidP="001C10BF">
            <w:pPr>
              <w:pStyle w:val="ListBullet"/>
            </w:pPr>
            <w:r w:rsidRPr="001C10BF">
              <w:t>appropriately simulated workplace environment and/or</w:t>
            </w:r>
          </w:p>
          <w:p w:rsidR="00000000" w:rsidRPr="001C10BF" w:rsidP="001C10BF">
            <w:pPr>
              <w:pStyle w:val="ListBullet"/>
            </w:pPr>
            <w:r w:rsidRPr="001C10BF">
              <w:t>appropriate range of situations in the workplace.</w:t>
            </w:r>
          </w:p>
          <w:p w:rsidR="00000000" w:rsidRPr="001C10BF" w:rsidP="001C10BF">
            <w:pPr>
              <w:pStyle w:val="BodyText"/>
            </w:pPr>
            <w:r w:rsidRPr="001C10BF">
              <w:t>A range of assessment methods should be used to assess practical skills and knowledge. The following exampl</w:t>
            </w:r>
            <w:r w:rsidRPr="001C10BF">
              <w:t>es are appropriate to this unit:</w:t>
            </w:r>
          </w:p>
          <w:p w:rsidR="00000000" w:rsidRPr="001C10BF" w:rsidP="001C10BF">
            <w:pPr>
              <w:pStyle w:val="ListBullet"/>
            </w:pPr>
            <w:r w:rsidRPr="001C10BF">
              <w:t>as a minimum, assessment of knowledge must be undertaken through appropriate written/oral knowledge assessments</w:t>
            </w:r>
          </w:p>
          <w:p w:rsidR="00000000" w:rsidRPr="001C10BF" w:rsidP="001C10BF">
            <w:pPr>
              <w:pStyle w:val="ListBullet"/>
            </w:pPr>
            <w:r w:rsidRPr="001C10BF">
              <w:t>direct observation of the candidate carrying out additional customs clearance processes.</w:t>
            </w:r>
          </w:p>
        </w:tc>
      </w:tr>
    </w:tbl>
    <w:p w:rsidR="00000000" w:rsidRPr="001C10BF" w:rsidP="001C10BF">
      <w:pPr>
        <w:pStyle w:val="BodyText"/>
      </w:pP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11" w:name="O_628178"/>
      <w:bookmarkEnd w:id="11"/>
      <w:r w:rsidRPr="001C10B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The range statement relates to the unit of competency as a whole. It allows for different work environments and situations that may affect performance.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Industry support schemes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relevant government department that administers industry support schemes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Tradex Scheme which provides for an upfront exemption from customs duty and taxes on imported goods intended for re-export or to be used as inputs to exports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New developments in cust</w:t>
            </w:r>
            <w:r w:rsidRPr="001C10BF">
              <w:t>oms clearance operations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processes</w:t>
            </w:r>
          </w:p>
          <w:p w:rsidR="00000000" w:rsidRPr="001C10BF" w:rsidP="001C10BF">
            <w:pPr>
              <w:pStyle w:val="ListBullet"/>
            </w:pPr>
            <w:r w:rsidRPr="001C10BF">
              <w:t>regulations</w:t>
            </w:r>
          </w:p>
          <w:p w:rsidR="00000000" w:rsidRPr="001C10BF" w:rsidP="001C10BF">
            <w:pPr>
              <w:pStyle w:val="ListBullet"/>
            </w:pPr>
            <w:r w:rsidRPr="001C10BF">
              <w:t>systems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technology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Information on new developments in customs clearance operations may be obtained from: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bulletins, journals, magazines, books</w:t>
            </w:r>
          </w:p>
          <w:p w:rsidR="00000000" w:rsidRPr="001C10BF" w:rsidP="001C10BF">
            <w:pPr>
              <w:pStyle w:val="ListBullet"/>
            </w:pPr>
            <w:r w:rsidRPr="001C10BF">
              <w:t>continuing professional development</w:t>
            </w:r>
          </w:p>
          <w:p w:rsidR="00000000" w:rsidRPr="001C10BF" w:rsidP="001C10BF">
            <w:pPr>
              <w:pStyle w:val="ListBullet"/>
            </w:pPr>
            <w:r w:rsidRPr="001C10BF">
              <w:t>external netwo</w:t>
            </w:r>
            <w:r w:rsidRPr="001C10BF">
              <w:t>rks</w:t>
            </w:r>
          </w:p>
          <w:p w:rsidR="00000000" w:rsidRPr="001C10BF" w:rsidP="001C10BF">
            <w:pPr>
              <w:pStyle w:val="ListBullet"/>
            </w:pPr>
            <w:r w:rsidRPr="001C10BF">
              <w:t xml:space="preserve">independent reading </w:t>
            </w:r>
          </w:p>
          <w:p w:rsidR="00000000" w:rsidRPr="001C10BF" w:rsidP="001C10BF">
            <w:pPr>
              <w:pStyle w:val="ListBullet"/>
            </w:pPr>
            <w:r w:rsidRPr="001C10BF">
              <w:t>internal and external training programs</w:t>
            </w:r>
          </w:p>
          <w:p w:rsidR="00000000" w:rsidRPr="001C10BF" w:rsidP="001C10BF">
            <w:pPr>
              <w:pStyle w:val="ListBullet"/>
            </w:pPr>
            <w:r w:rsidRPr="001C10BF">
              <w:t>internet websites – Australian Customs and Border Protection Service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online learning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Depending on the organisation concerned, workplace procedures may be called: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quality procedures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Communication in the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electronic data interchange (EDI)</w:t>
            </w:r>
          </w:p>
          <w:p w:rsidR="00000000" w:rsidRPr="001C10BF" w:rsidP="001C10BF">
            <w:pPr>
              <w:pStyle w:val="ListBullet"/>
            </w:pPr>
            <w:r w:rsidRPr="001C10BF">
              <w:t>email</w:t>
            </w:r>
          </w:p>
          <w:p w:rsidR="00000000" w:rsidRPr="001C10BF" w:rsidP="001C10BF">
            <w:pPr>
              <w:pStyle w:val="ListBullet"/>
            </w:pPr>
            <w:r w:rsidRPr="001C10BF">
              <w:t>internet</w:t>
            </w:r>
          </w:p>
          <w:p w:rsidR="00000000" w:rsidRPr="001C10BF" w:rsidP="001C10BF">
            <w:pPr>
              <w:pStyle w:val="ListBullet"/>
            </w:pPr>
            <w:r w:rsidRPr="001C10BF">
              <w:t>oral, aural or signed communications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phone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Consultative processes may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agents</w:t>
            </w:r>
          </w:p>
          <w:p w:rsidR="00000000" w:rsidRPr="001C10BF" w:rsidP="001C10BF">
            <w:pPr>
              <w:pStyle w:val="ListBullet"/>
            </w:pPr>
            <w:r w:rsidRPr="001C10BF">
              <w:t>clients</w:t>
            </w:r>
          </w:p>
          <w:p w:rsidR="00000000" w:rsidRPr="001C10BF" w:rsidP="001C10BF">
            <w:pPr>
              <w:pStyle w:val="ListBullet"/>
            </w:pPr>
            <w:r w:rsidRPr="001C10BF">
              <w:t xml:space="preserve">customs technical experts </w:t>
            </w:r>
          </w:p>
          <w:p w:rsidR="00000000" w:rsidRPr="001C10BF" w:rsidP="001C10BF">
            <w:pPr>
              <w:pStyle w:val="ListBullet"/>
            </w:pPr>
            <w:r w:rsidRPr="001C10BF">
              <w:t>management representatives</w:t>
            </w:r>
          </w:p>
          <w:p w:rsidR="00000000" w:rsidRPr="001C10BF" w:rsidP="001C10BF">
            <w:pPr>
              <w:pStyle w:val="ListBullet"/>
            </w:pPr>
            <w:r w:rsidRPr="001C10BF">
              <w:t>other employees and supervisors</w:t>
            </w:r>
          </w:p>
          <w:p w:rsidR="00000000" w:rsidP="001C10BF">
            <w:pPr>
              <w:pStyle w:val="ListBullet"/>
              <w:rPr>
                <w:lang w:val="en-NZ"/>
              </w:rPr>
            </w:pPr>
            <w:r w:rsidRPr="001C10BF">
              <w:t>relevant authorities and institutions</w:t>
            </w:r>
          </w:p>
        </w:tc>
      </w:tr>
      <w:tr w:rsidTr="00C2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BF">
            <w:pPr>
              <w:pStyle w:val="BodyText"/>
              <w:rPr>
                <w:lang w:val="en-NZ"/>
              </w:rPr>
            </w:pPr>
            <w:r w:rsidRPr="001C10BF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BF" w:rsidP="001C10BF">
            <w:pPr>
              <w:pStyle w:val="ListBullet"/>
            </w:pPr>
            <w:r w:rsidRPr="001C10BF">
              <w:t>client instructions</w:t>
            </w:r>
          </w:p>
          <w:p w:rsidR="00000000" w:rsidRPr="001C10BF" w:rsidP="001C10BF">
            <w:pPr>
              <w:pStyle w:val="ListBullet"/>
            </w:pPr>
            <w:r w:rsidRPr="001C10BF">
              <w:t>Customs Act 1901 and related legislation</w:t>
            </w:r>
          </w:p>
          <w:p w:rsidR="00000000" w:rsidRPr="001C10BF" w:rsidP="001C10BF">
            <w:pPr>
              <w:pStyle w:val="ListBullet"/>
            </w:pPr>
            <w:r w:rsidRPr="001C10BF">
              <w:t>Customs Regulations 1926 as amended</w:t>
            </w:r>
          </w:p>
          <w:p w:rsidR="00000000" w:rsidRPr="001C10BF" w:rsidP="001C10BF">
            <w:pPr>
              <w:pStyle w:val="ListBullet"/>
            </w:pPr>
            <w:r w:rsidRPr="001C10BF">
              <w:t>internal documentation used for customs clearanc</w:t>
            </w:r>
            <w:r w:rsidRPr="001C10BF">
              <w:t>e functions</w:t>
            </w:r>
          </w:p>
          <w:p w:rsidR="00000000" w:rsidRPr="001C10BF" w:rsidP="001C10BF">
            <w:pPr>
              <w:pStyle w:val="ListBullet"/>
            </w:pPr>
            <w:r w:rsidRPr="001C10BF">
              <w:t>manufacturer specifications for equipment</w:t>
            </w:r>
          </w:p>
          <w:p w:rsidR="00000000" w:rsidRPr="001C10BF" w:rsidP="001C10BF">
            <w:pPr>
              <w:pStyle w:val="ListBullet"/>
            </w:pPr>
            <w:r w:rsidRPr="001C10BF">
              <w:t>other regulatory requirements pertaining to customs clearance functions</w:t>
            </w:r>
          </w:p>
          <w:p w:rsidR="00000000" w:rsidRPr="001C10BF" w:rsidP="001C10BF">
            <w:pPr>
              <w:pStyle w:val="ListBullet"/>
            </w:pPr>
            <w:r w:rsidRPr="001C10BF">
              <w:t>relevant sections of Australian Customs Notices and Practice Statements</w:t>
            </w:r>
          </w:p>
        </w:tc>
      </w:tr>
    </w:tbl>
    <w:p w:rsidR="00000000" w:rsidRPr="001C10BF" w:rsidP="001C10BF">
      <w:pPr>
        <w:pStyle w:val="BodyText"/>
      </w:pP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12" w:name="O_628179"/>
      <w:bookmarkEnd w:id="12"/>
      <w:r w:rsidRPr="001C10BF">
        <w:t>Unit Sector(s)</w:t>
      </w:r>
    </w:p>
    <w:p w:rsidR="00000000" w:rsidRPr="001C10BF" w:rsidP="001C10BF">
      <w:pPr>
        <w:pStyle w:val="BodyText"/>
      </w:pPr>
      <w:r w:rsidRPr="001C10BF">
        <w:t>Not applicable.</w:t>
      </w:r>
    </w:p>
    <w:p w:rsidR="00000000" w:rsidRPr="001C10BF" w:rsidP="001C10BF">
      <w:pPr>
        <w:pStyle w:val="AllowPageBreak"/>
      </w:pPr>
    </w:p>
    <w:p w:rsidR="00000000" w:rsidRPr="001C10BF" w:rsidP="001C10BF">
      <w:pPr>
        <w:pStyle w:val="Heading1"/>
      </w:pPr>
      <w:bookmarkStart w:id="13" w:name="O_628180"/>
      <w:bookmarkEnd w:id="13"/>
      <w:r w:rsidRPr="001C10BF">
        <w:t>Competency Field</w:t>
      </w:r>
    </w:p>
    <w:p w:rsidR="00000000" w:rsidRPr="001C10BF" w:rsidP="001C10BF">
      <w:pPr>
        <w:pStyle w:val="BodyText"/>
      </w:pPr>
      <w:r w:rsidRPr="001C10BF">
        <w:t>X – Logistics</w:t>
      </w:r>
    </w:p>
    <w:p w:rsidR="00000000" w:rsidRPr="001C10BF" w:rsidP="001C10BF"/>
    <w:sectPr w:rsidSect="001C1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BF" w:rsidRPr="00C21A0F" w:rsidP="00C21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0F" w:rsidP="001C1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21A0F" w:rsidP="001C1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21A0F" w:rsidP="001C1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BF" w:rsidRPr="00C21A0F" w:rsidP="00C21A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0F" w:rsidRPr="002D2AF8" w:rsidP="001C1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TLIX5056A Carry out additional customs clearance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C21A0F" w:rsidP="001C1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000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A9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0BF"/>
  </w:style>
  <w:style w:type="character" w:customStyle="1" w:styleId="Heading1Char">
    <w:name w:val="Heading 1 Char"/>
    <w:basedOn w:val="DefaultParagraphFont"/>
    <w:link w:val="Heading1"/>
    <w:rsid w:val="001C1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0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0BF"/>
    <w:rPr>
      <w:b/>
      <w:spacing w:val="0"/>
    </w:rPr>
  </w:style>
  <w:style w:type="paragraph" w:customStyle="1" w:styleId="SuperHeading">
    <w:name w:val="SuperHeading"/>
    <w:basedOn w:val="Normal"/>
    <w:rsid w:val="001C1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0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0BF"/>
    <w:rPr>
      <w:i/>
    </w:rPr>
  </w:style>
  <w:style w:type="paragraph" w:styleId="Caption">
    <w:name w:val="caption"/>
    <w:basedOn w:val="BodyText"/>
    <w:next w:val="Normal"/>
    <w:qFormat/>
    <w:rsid w:val="001C1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0BF"/>
  </w:style>
  <w:style w:type="paragraph" w:styleId="TableofFigures">
    <w:name w:val="table of figures"/>
    <w:basedOn w:val="Normal"/>
    <w:next w:val="Normal"/>
    <w:semiHidden/>
    <w:rsid w:val="001C1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0BF"/>
    <w:pPr>
      <w:numPr>
        <w:numId w:val="10"/>
      </w:numPr>
    </w:pPr>
  </w:style>
  <w:style w:type="character" w:customStyle="1" w:styleId="WingdingSymbols">
    <w:name w:val="Wingding Symbols"/>
    <w:rsid w:val="001C10BF"/>
    <w:rPr>
      <w:rFonts w:ascii="Wingdings" w:hAnsi="Wingdings"/>
    </w:rPr>
  </w:style>
  <w:style w:type="paragraph" w:customStyle="1" w:styleId="TableHeading">
    <w:name w:val="Table Heading"/>
    <w:basedOn w:val="HeadingBase"/>
    <w:rsid w:val="001C1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0BF"/>
    <w:rPr>
      <w:color w:val="0033CC"/>
      <w:u w:val="none"/>
    </w:rPr>
  </w:style>
  <w:style w:type="paragraph" w:customStyle="1" w:styleId="BodyTextRight">
    <w:name w:val="Body Text Right"/>
    <w:basedOn w:val="BodyText"/>
    <w:rsid w:val="001C1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0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0BF"/>
    <w:rPr>
      <w:sz w:val="32"/>
    </w:rPr>
  </w:style>
  <w:style w:type="paragraph" w:customStyle="1" w:styleId="HeadingProcedure">
    <w:name w:val="Heading Procedure"/>
    <w:basedOn w:val="HeadingBase"/>
    <w:next w:val="Normal"/>
    <w:rsid w:val="001C1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0BF"/>
    <w:pPr>
      <w:spacing w:before="60" w:after="60"/>
    </w:pPr>
  </w:style>
  <w:style w:type="paragraph" w:styleId="ListContinue">
    <w:name w:val="List Continue"/>
    <w:basedOn w:val="List"/>
    <w:rsid w:val="001C10BF"/>
    <w:pPr>
      <w:ind w:firstLine="0"/>
    </w:pPr>
  </w:style>
  <w:style w:type="paragraph" w:customStyle="1" w:styleId="ListNote">
    <w:name w:val="List Note"/>
    <w:basedOn w:val="List"/>
    <w:rsid w:val="001C1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0BF"/>
    <w:rPr>
      <w:rFonts w:ascii="Courier New" w:hAnsi="Courier New"/>
    </w:rPr>
  </w:style>
  <w:style w:type="paragraph" w:customStyle="1" w:styleId="NoteBullet">
    <w:name w:val="Note Bullet"/>
    <w:basedOn w:val="Note"/>
    <w:rsid w:val="001C1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0BF"/>
    <w:rPr>
      <w:b/>
      <w:smallCaps/>
    </w:rPr>
  </w:style>
  <w:style w:type="paragraph" w:customStyle="1" w:styleId="TableListNumber">
    <w:name w:val="Table List Number"/>
    <w:basedOn w:val="ListNumber"/>
    <w:rsid w:val="001C1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0BF"/>
    <w:pPr>
      <w:numPr>
        <w:numId w:val="8"/>
      </w:numPr>
    </w:pPr>
  </w:style>
  <w:style w:type="paragraph" w:customStyle="1" w:styleId="ListAlpha2">
    <w:name w:val="List Alpha 2"/>
    <w:basedOn w:val="List2"/>
    <w:rsid w:val="001C10BF"/>
    <w:pPr>
      <w:numPr>
        <w:numId w:val="7"/>
      </w:numPr>
    </w:pPr>
  </w:style>
  <w:style w:type="paragraph" w:styleId="List2">
    <w:name w:val="List 2"/>
    <w:basedOn w:val="BodyText"/>
    <w:rsid w:val="001C1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0BF"/>
    <w:pPr>
      <w:numPr>
        <w:numId w:val="2"/>
      </w:numPr>
    </w:pPr>
  </w:style>
  <w:style w:type="paragraph" w:styleId="ListBullet5">
    <w:name w:val="List Bullet 5"/>
    <w:basedOn w:val="List5"/>
    <w:rsid w:val="001C10BF"/>
    <w:pPr>
      <w:numPr>
        <w:numId w:val="3"/>
      </w:numPr>
    </w:pPr>
  </w:style>
  <w:style w:type="paragraph" w:styleId="ListContinue2">
    <w:name w:val="List Continue 2"/>
    <w:basedOn w:val="List2"/>
    <w:rsid w:val="001C10BF"/>
    <w:pPr>
      <w:ind w:firstLine="0"/>
    </w:pPr>
  </w:style>
  <w:style w:type="paragraph" w:styleId="ListContinue3">
    <w:name w:val="List Continue 3"/>
    <w:basedOn w:val="List3"/>
    <w:rsid w:val="001C10BF"/>
    <w:pPr>
      <w:ind w:left="1021" w:firstLine="0"/>
    </w:pPr>
  </w:style>
  <w:style w:type="paragraph" w:styleId="ListContinue4">
    <w:name w:val="List Continue 4"/>
    <w:basedOn w:val="List4"/>
    <w:rsid w:val="001C10BF"/>
    <w:pPr>
      <w:ind w:firstLine="0"/>
    </w:pPr>
  </w:style>
  <w:style w:type="paragraph" w:styleId="ListContinue5">
    <w:name w:val="List Continue 5"/>
    <w:basedOn w:val="List5"/>
    <w:rsid w:val="001C10BF"/>
    <w:pPr>
      <w:ind w:firstLine="0"/>
    </w:pPr>
  </w:style>
  <w:style w:type="paragraph" w:styleId="ListNumber3">
    <w:name w:val="List Number 3"/>
    <w:basedOn w:val="List3"/>
    <w:rsid w:val="001C10BF"/>
    <w:pPr>
      <w:numPr>
        <w:numId w:val="4"/>
      </w:numPr>
    </w:pPr>
  </w:style>
  <w:style w:type="paragraph" w:styleId="ListNumber4">
    <w:name w:val="List Number 4"/>
    <w:basedOn w:val="List4"/>
    <w:rsid w:val="001C10BF"/>
    <w:pPr>
      <w:numPr>
        <w:numId w:val="5"/>
      </w:numPr>
    </w:pPr>
  </w:style>
  <w:style w:type="paragraph" w:styleId="ListNumber5">
    <w:name w:val="List Number 5"/>
    <w:basedOn w:val="List5"/>
    <w:rsid w:val="001C10BF"/>
    <w:pPr>
      <w:numPr>
        <w:numId w:val="6"/>
      </w:numPr>
    </w:pPr>
  </w:style>
  <w:style w:type="paragraph" w:styleId="BlockText">
    <w:name w:val="Block Text"/>
    <w:basedOn w:val="Normal"/>
    <w:rsid w:val="001C1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0BF"/>
    <w:rPr>
      <w:sz w:val="16"/>
      <w:vertAlign w:val="superscript"/>
    </w:rPr>
  </w:style>
  <w:style w:type="character" w:customStyle="1" w:styleId="Symbols">
    <w:name w:val="Symbols"/>
    <w:basedOn w:val="DefaultParagraphFont"/>
    <w:rsid w:val="001C10BF"/>
    <w:rPr>
      <w:rFonts w:ascii="Symbol" w:hAnsi="Symbol"/>
    </w:rPr>
  </w:style>
  <w:style w:type="character" w:customStyle="1" w:styleId="MenuOptions">
    <w:name w:val="Menu Options"/>
    <w:basedOn w:val="DefaultParagraphFont"/>
    <w:rsid w:val="001C1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0BF"/>
    <w:rPr>
      <w:b/>
    </w:rPr>
  </w:style>
  <w:style w:type="character" w:customStyle="1" w:styleId="Underlined">
    <w:name w:val="Underlined"/>
    <w:basedOn w:val="DefaultParagraphFont"/>
    <w:rsid w:val="001C10BF"/>
    <w:rPr>
      <w:u w:val="single"/>
    </w:rPr>
  </w:style>
  <w:style w:type="paragraph" w:customStyle="1" w:styleId="TableBodyTextRight">
    <w:name w:val="Table Body Text Right"/>
    <w:basedOn w:val="TableBodyText"/>
    <w:rsid w:val="001C1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0BF"/>
    <w:rPr>
      <w:sz w:val="18"/>
    </w:rPr>
  </w:style>
  <w:style w:type="paragraph" w:customStyle="1" w:styleId="BodySmallRight">
    <w:name w:val="Body Small Right"/>
    <w:basedOn w:val="BodyTextRight"/>
    <w:rsid w:val="001C10BF"/>
    <w:rPr>
      <w:sz w:val="18"/>
      <w:szCs w:val="18"/>
    </w:rPr>
  </w:style>
  <w:style w:type="paragraph" w:customStyle="1" w:styleId="MarginEdition">
    <w:name w:val="Margin Edition"/>
    <w:basedOn w:val="MarginNote"/>
    <w:rsid w:val="001C1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0BF"/>
    <w:rPr>
      <w:sz w:val="2"/>
      <w:szCs w:val="2"/>
    </w:rPr>
  </w:style>
  <w:style w:type="character" w:customStyle="1" w:styleId="Small">
    <w:name w:val="Small"/>
    <w:basedOn w:val="DefaultParagraphFont"/>
    <w:rsid w:val="001C10BF"/>
    <w:rPr>
      <w:sz w:val="16"/>
    </w:rPr>
  </w:style>
  <w:style w:type="paragraph" w:customStyle="1" w:styleId="WideTable">
    <w:name w:val="Wide Table"/>
    <w:basedOn w:val="Normal"/>
    <w:rsid w:val="001C1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0BF"/>
  </w:style>
  <w:style w:type="paragraph" w:styleId="Quote">
    <w:name w:val="Quote"/>
    <w:basedOn w:val="Heading1"/>
    <w:link w:val="QuoteChar"/>
    <w:qFormat/>
    <w:rsid w:val="001C1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0BF"/>
    <w:pPr>
      <w:pageBreakBefore/>
    </w:pPr>
  </w:style>
  <w:style w:type="paragraph" w:customStyle="1" w:styleId="Border">
    <w:name w:val="Border"/>
    <w:basedOn w:val="Normal"/>
    <w:qFormat/>
    <w:rsid w:val="001C1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0BF"/>
    <w:rPr>
      <w:u w:val="single"/>
    </w:rPr>
  </w:style>
  <w:style w:type="character" w:customStyle="1" w:styleId="BoldandItalics">
    <w:name w:val="Bold and Italics"/>
    <w:qFormat/>
    <w:rsid w:val="001C10BF"/>
    <w:rPr>
      <w:b/>
      <w:i/>
      <w:u w:val="none"/>
    </w:rPr>
  </w:style>
  <w:style w:type="paragraph" w:styleId="BalloonText">
    <w:name w:val="Balloon Text"/>
    <w:basedOn w:val="Normal"/>
    <w:link w:val="BalloonTextChar"/>
    <w:rsid w:val="001C1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0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0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1140</Words>
  <Characters>7316</Characters>
  <Application>Microsoft Office Word</Application>
  <DocSecurity>0</DocSecurity>
  <Lines>305</Lines>
  <Paragraphs>163</Paragraphs>
  <ScaleCrop>false</ScaleCrop>
  <Company>Author-it Software Corporation Ltd.</Company>
  <LinksUpToDate>false</LinksUpToDate>
  <CharactersWithSpaces>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TLIX5056A Carry out additional customs clearance practices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2013-12-24T08:54:02Z</dcterms:created>
  <dcterms:modified xsi:type="dcterms:W3CDTF">2013-12-23T05:22:00Z</dcterms:modified>
</cp:coreProperties>
</file>