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30BE" w:rsidP="004430BE">
      <w:pPr>
        <w:pStyle w:val="Title"/>
      </w:pPr>
      <w:r>
        <w:fldChar w:fldCharType="begin"/>
      </w:r>
      <w:r>
        <w:instrText xml:space="preserve"> TITLE   \* MERGEFORMAT </w:instrText>
      </w:r>
      <w:r>
        <w:fldChar w:fldCharType="separate"/>
      </w:r>
      <w:r>
        <w:t>TLIX5055A Apply anti-dumping and countervailing measures</w:t>
      </w:r>
      <w:r>
        <w:fldChar w:fldCharType="end"/>
      </w:r>
    </w:p>
    <w:p w:rsidR="004430BE" w:rsidP="004430BE">
      <w:pPr>
        <w:pStyle w:val="Version"/>
        <w:sectPr w:rsidSect="00AB3FC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3FC6" w:rsidP="00AB3FC6">
      <w:pPr>
        <w:pStyle w:val="SuperHeading"/>
      </w:pPr>
      <w:r w:rsidRPr="00AB3FC6">
        <w:t>TLIX5055A Apply anti-dumping and countervailing measures</w:t>
      </w:r>
    </w:p>
    <w:p w:rsidR="00000000" w:rsidRPr="00AB3FC6" w:rsidP="00AB3FC6">
      <w:pPr>
        <w:pStyle w:val="Heading1"/>
      </w:pPr>
      <w:bookmarkStart w:id="1" w:name="O_628198"/>
      <w:bookmarkEnd w:id="1"/>
      <w:r w:rsidRPr="00AB3FC6">
        <w:t>Modification History</w:t>
      </w:r>
    </w:p>
    <w:p w:rsidR="00000000" w:rsidRPr="00AB3FC6" w:rsidP="00AB3FC6">
      <w:pPr>
        <w:pStyle w:val="BodyText"/>
      </w:pPr>
      <w:r w:rsidRPr="00AB3FC6">
        <w:t>Release 1. This is the first release of this unit.</w:t>
      </w:r>
    </w:p>
    <w:p w:rsidR="00000000" w:rsidRPr="00AB3FC6" w:rsidP="00AB3FC6">
      <w:pPr>
        <w:pStyle w:val="AllowPageBreak"/>
      </w:pPr>
    </w:p>
    <w:p w:rsidR="00000000" w:rsidRPr="00AB3FC6" w:rsidP="00AB3FC6">
      <w:pPr>
        <w:pStyle w:val="Heading1"/>
      </w:pPr>
      <w:bookmarkStart w:id="2" w:name="O_628199"/>
      <w:bookmarkEnd w:id="2"/>
      <w:r w:rsidRPr="00AB3FC6">
        <w:t>Unit Descriptor</w:t>
      </w:r>
    </w:p>
    <w:p w:rsidR="00000000" w:rsidRPr="00AB3FC6" w:rsidP="00AB3FC6">
      <w:pPr>
        <w:pStyle w:val="BodyText"/>
      </w:pPr>
      <w:r w:rsidRPr="00AB3FC6">
        <w:t>This unit involves the skills and knowledge required to identify goods subject to dumping and/or countervailing measures and to calcula</w:t>
      </w:r>
      <w:r w:rsidRPr="00AB3FC6">
        <w:t>te applicable duties.</w:t>
      </w:r>
    </w:p>
    <w:p w:rsidR="00000000" w:rsidRPr="00AB3FC6" w:rsidP="00AB3FC6">
      <w:pPr>
        <w:pStyle w:val="BodyText"/>
      </w:pPr>
    </w:p>
    <w:p w:rsidR="00000000" w:rsidRPr="00AB3FC6" w:rsidP="00AB3FC6">
      <w:pPr>
        <w:pStyle w:val="BodyText"/>
      </w:pPr>
      <w:r w:rsidRPr="00AB3FC6">
        <w:t>Licensing, legislative, regulatory or certification requirements are applicable to this unit.</w:t>
      </w:r>
    </w:p>
    <w:p w:rsidR="00000000" w:rsidRPr="00AB3FC6" w:rsidP="00AB3FC6">
      <w:pPr>
        <w:pStyle w:val="AllowPageBreak"/>
      </w:pPr>
    </w:p>
    <w:p w:rsidR="00000000" w:rsidRPr="00AB3FC6" w:rsidP="00AB3FC6">
      <w:pPr>
        <w:pStyle w:val="Heading1"/>
      </w:pPr>
      <w:bookmarkStart w:id="3" w:name="O_628200"/>
      <w:bookmarkEnd w:id="3"/>
      <w:r w:rsidRPr="00AB3FC6">
        <w:t>Application of the Unit</w:t>
      </w:r>
    </w:p>
    <w:p w:rsidR="00000000" w:rsidRPr="00AB3FC6" w:rsidP="00AB3FC6">
      <w:pPr>
        <w:pStyle w:val="BodyText"/>
      </w:pPr>
      <w:r w:rsidRPr="00AB3FC6">
        <w:t>Work must be carried out in compliance with the relevant Customs and related legislation and workp</w:t>
      </w:r>
      <w:r w:rsidRPr="00AB3FC6">
        <w:t>lace requirements concerning the application of anti-dumping and/or countervailing duties.</w:t>
      </w:r>
    </w:p>
    <w:p w:rsidR="00000000" w:rsidRPr="00AB3FC6" w:rsidP="00AB3FC6">
      <w:pPr>
        <w:pStyle w:val="BodyText"/>
      </w:pPr>
    </w:p>
    <w:p w:rsidR="00000000" w:rsidRPr="00AB3FC6" w:rsidP="00AB3FC6">
      <w:pPr>
        <w:pStyle w:val="BodyText"/>
      </w:pPr>
      <w:r w:rsidRPr="00AB3FC6">
        <w:t>Work is undertaken in a range of environments including small to large worksites in the Customs Broking Industry.</w:t>
      </w:r>
    </w:p>
    <w:p w:rsidR="00000000" w:rsidRPr="00AB3FC6" w:rsidP="00AB3FC6">
      <w:pPr>
        <w:pStyle w:val="AllowPageBreak"/>
      </w:pPr>
    </w:p>
    <w:p w:rsidR="00000000" w:rsidRPr="00AB3FC6" w:rsidP="00AB3FC6">
      <w:pPr>
        <w:pStyle w:val="Heading1"/>
      </w:pPr>
      <w:bookmarkStart w:id="4" w:name="O_628201"/>
      <w:bookmarkEnd w:id="4"/>
      <w:r w:rsidRPr="00AB3FC6">
        <w:t>Licensing/Regulatory Information</w:t>
      </w:r>
    </w:p>
    <w:p w:rsidR="00000000" w:rsidRPr="00AB3FC6" w:rsidP="00AB3FC6">
      <w:pPr>
        <w:pStyle w:val="BodyText"/>
      </w:pPr>
      <w:r w:rsidRPr="00AB3FC6">
        <w:t>Refer to Unit Descriptor.</w:t>
      </w:r>
    </w:p>
    <w:p w:rsidR="00000000" w:rsidRPr="00AB3FC6" w:rsidP="00AB3FC6">
      <w:pPr>
        <w:pStyle w:val="AllowPageBreak"/>
      </w:pPr>
    </w:p>
    <w:p w:rsidR="00000000" w:rsidRPr="00AB3FC6" w:rsidP="00AB3FC6">
      <w:pPr>
        <w:pStyle w:val="Heading1"/>
      </w:pPr>
      <w:bookmarkStart w:id="5" w:name="O_628202"/>
      <w:bookmarkEnd w:id="5"/>
      <w:r w:rsidRPr="00AB3FC6">
        <w:t>Pre-Requisites</w:t>
      </w:r>
    </w:p>
    <w:p w:rsidR="00000000" w:rsidRPr="00AB3FC6" w:rsidP="00AB3FC6">
      <w:pPr>
        <w:pStyle w:val="BodyText"/>
      </w:pPr>
      <w:r w:rsidRPr="00AB3FC6">
        <w:t>Nil</w:t>
      </w:r>
    </w:p>
    <w:p w:rsidR="00000000" w:rsidRPr="00AB3FC6" w:rsidP="00AB3FC6">
      <w:pPr>
        <w:pStyle w:val="AllowPageBreak"/>
      </w:pPr>
    </w:p>
    <w:p w:rsidR="00000000" w:rsidRPr="00AB3FC6" w:rsidP="00AB3FC6">
      <w:pPr>
        <w:pStyle w:val="Heading1"/>
      </w:pPr>
      <w:bookmarkStart w:id="6" w:name="O_628203"/>
      <w:bookmarkEnd w:id="6"/>
      <w:r w:rsidRPr="00AB3FC6">
        <w:t>Employability Skills Information</w:t>
      </w:r>
    </w:p>
    <w:p w:rsidR="00000000" w:rsidRPr="00AB3FC6" w:rsidP="00AB3FC6">
      <w:pPr>
        <w:pStyle w:val="BodyText"/>
      </w:pPr>
      <w:r w:rsidRPr="00AB3FC6">
        <w:t>This unit contains employability skills.</w:t>
      </w:r>
    </w:p>
    <w:p w:rsidR="00000000" w:rsidRPr="00AB3FC6" w:rsidP="00AB3FC6">
      <w:pPr>
        <w:pStyle w:val="AllowPageBreak"/>
      </w:pPr>
    </w:p>
    <w:p w:rsidR="00000000" w:rsidRPr="00AB3FC6" w:rsidP="00AB3FC6">
      <w:pPr>
        <w:pStyle w:val="Heading1"/>
      </w:pPr>
      <w:bookmarkStart w:id="7" w:name="O_628204"/>
      <w:bookmarkEnd w:id="7"/>
      <w:r w:rsidRPr="00AB3FC6">
        <w:t>Elements and Performance Criteria Pre-Content</w:t>
      </w:r>
    </w:p>
    <w:tbl>
      <w:tblPr>
        <w:tblW w:w="9640" w:type="dxa"/>
        <w:tblLayout w:type="fixed"/>
        <w:tblCellMar>
          <w:left w:w="62" w:type="dxa"/>
          <w:right w:w="62" w:type="dxa"/>
        </w:tblCellMar>
        <w:tblLook w:val="0000"/>
      </w:tblPr>
      <w:tblGrid>
        <w:gridCol w:w="2776"/>
        <w:gridCol w:w="6864"/>
      </w:tblGrid>
      <w:tr w:rsidTr="004430BE">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AB3FC6">
            <w:pPr>
              <w:pStyle w:val="BodyText"/>
              <w:rPr>
                <w:lang w:val="en-NZ"/>
              </w:rPr>
            </w:pPr>
            <w:r w:rsidRPr="00AB3FC6">
              <w:t>Elements describe the essential outcomes</w:t>
            </w:r>
            <w:r w:rsidRPr="00AB3FC6">
              <w:t xml:space="preserve"> of a unit of competency.</w:t>
            </w:r>
          </w:p>
        </w:tc>
        <w:tc>
          <w:tcPr>
            <w:tcW w:w="6864" w:type="dxa"/>
            <w:tcBorders>
              <w:top w:val="nil"/>
              <w:left w:val="nil"/>
              <w:bottom w:val="nil"/>
              <w:right w:val="nil"/>
            </w:tcBorders>
            <w:tcMar>
              <w:top w:w="0" w:type="dxa"/>
              <w:left w:w="62" w:type="dxa"/>
              <w:bottom w:w="0" w:type="dxa"/>
              <w:right w:w="62" w:type="dxa"/>
            </w:tcMar>
          </w:tcPr>
          <w:p w:rsidR="00000000" w:rsidRPr="00AB3FC6" w:rsidP="00AB3FC6">
            <w:pPr>
              <w:pStyle w:val="BodyText"/>
            </w:pPr>
            <w:r w:rsidRPr="00AB3FC6">
              <w:t>Performance criteria describe the required performance needed to demonstrate achievement of the element. Assessment of performance is to be consistent with the evidence guide.</w:t>
            </w:r>
          </w:p>
        </w:tc>
      </w:tr>
    </w:tbl>
    <w:p w:rsidR="00000000" w:rsidRPr="00AB3FC6" w:rsidP="00AB3FC6">
      <w:pPr>
        <w:pStyle w:val="BodyText"/>
      </w:pPr>
    </w:p>
    <w:p w:rsidR="00000000" w:rsidRPr="00AB3FC6" w:rsidP="00AB3FC6">
      <w:pPr>
        <w:pStyle w:val="AllowPageBreak"/>
      </w:pPr>
    </w:p>
    <w:p w:rsidR="00000000" w:rsidRPr="00AB3FC6" w:rsidP="00AB3FC6">
      <w:pPr>
        <w:pStyle w:val="Heading1"/>
      </w:pPr>
      <w:bookmarkStart w:id="8" w:name="O_628205"/>
      <w:bookmarkEnd w:id="8"/>
      <w:r w:rsidRPr="00AB3FC6">
        <w:t>Elements and Performance Criteria</w:t>
      </w:r>
    </w:p>
    <w:tbl>
      <w:tblPr>
        <w:tblW w:w="0" w:type="auto"/>
        <w:tblCellMar>
          <w:left w:w="62" w:type="dxa"/>
          <w:right w:w="62" w:type="dxa"/>
        </w:tblCellMar>
        <w:tblLook w:val="0000"/>
      </w:tblPr>
      <w:tblGrid>
        <w:gridCol w:w="344"/>
        <w:gridCol w:w="1747"/>
        <w:gridCol w:w="558"/>
        <w:gridCol w:w="6547"/>
      </w:tblGrid>
      <w:tr w:rsidTr="004430B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AB3FC6" w:rsidP="00AB3FC6">
            <w:pPr>
              <w:pStyle w:val="BodyText"/>
            </w:pPr>
            <w:r w:rsidRPr="00AB3FC6">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AB3FC6">
            <w:pPr>
              <w:pStyle w:val="BodyText"/>
              <w:rPr>
                <w:lang w:val="en-NZ"/>
              </w:rPr>
            </w:pPr>
            <w:r w:rsidRPr="00AB3FC6">
              <w:rPr>
                <w:rStyle w:val="SpecialBold"/>
              </w:rPr>
              <w:t>Identify goods subject to anti-dumping and/or countervailing measures</w:t>
            </w:r>
          </w:p>
        </w:tc>
        <w:tc>
          <w:tcPr>
            <w:tcW w:w="0" w:type="auto"/>
            <w:tcBorders>
              <w:top w:val="nil"/>
              <w:left w:val="nil"/>
              <w:bottom w:val="nil"/>
              <w:right w:val="nil"/>
            </w:tcBorders>
            <w:tcMar>
              <w:top w:w="0" w:type="dxa"/>
              <w:left w:w="62" w:type="dxa"/>
              <w:bottom w:w="0" w:type="dxa"/>
              <w:right w:w="62" w:type="dxa"/>
            </w:tcMar>
          </w:tcPr>
          <w:p w:rsidR="00000000" w:rsidP="00AB3FC6">
            <w:pPr>
              <w:pStyle w:val="BodyText"/>
              <w:rPr>
                <w:lang w:val="en-NZ"/>
              </w:rPr>
            </w:pPr>
            <w:r w:rsidRPr="00AB3FC6">
              <w:t>1.1</w:t>
            </w:r>
          </w:p>
        </w:tc>
        <w:tc>
          <w:tcPr>
            <w:tcW w:w="0" w:type="auto"/>
            <w:tcBorders>
              <w:top w:val="nil"/>
              <w:left w:val="nil"/>
              <w:bottom w:val="nil"/>
              <w:right w:val="nil"/>
            </w:tcBorders>
            <w:tcMar>
              <w:top w:w="0" w:type="dxa"/>
              <w:left w:w="62" w:type="dxa"/>
              <w:bottom w:w="0" w:type="dxa"/>
              <w:right w:w="62" w:type="dxa"/>
            </w:tcMar>
          </w:tcPr>
          <w:p w:rsidR="00000000" w:rsidP="00AB3FC6">
            <w:pPr>
              <w:pStyle w:val="BodyText"/>
              <w:rPr>
                <w:lang w:val="en-NZ"/>
              </w:rPr>
            </w:pPr>
            <w:r w:rsidRPr="00AB3FC6">
              <w:t xml:space="preserve">Dumping alert for a particular tariff classification and statistical code in the import declaration is recognised </w:t>
            </w:r>
          </w:p>
        </w:tc>
      </w:tr>
      <w:tr w:rsidTr="004430B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B3FC6">
            <w:pPr>
              <w:pStyle w:val="BodyText"/>
              <w:rPr>
                <w:lang w:val="en-NZ"/>
              </w:rPr>
            </w:pPr>
            <w:r w:rsidRPr="00AB3FC6">
              <w:t>1.2</w:t>
            </w:r>
          </w:p>
        </w:tc>
        <w:tc>
          <w:tcPr>
            <w:tcW w:w="0" w:type="auto"/>
            <w:tcBorders>
              <w:top w:val="nil"/>
              <w:left w:val="nil"/>
              <w:bottom w:val="nil"/>
              <w:right w:val="nil"/>
            </w:tcBorders>
            <w:tcMar>
              <w:top w:w="0" w:type="dxa"/>
              <w:left w:w="62" w:type="dxa"/>
              <w:bottom w:w="0" w:type="dxa"/>
              <w:right w:w="62" w:type="dxa"/>
            </w:tcMar>
          </w:tcPr>
          <w:p w:rsidR="00000000" w:rsidP="00AB3FC6">
            <w:pPr>
              <w:pStyle w:val="BodyText"/>
              <w:rPr>
                <w:lang w:val="en-NZ"/>
              </w:rPr>
            </w:pPr>
            <w:r w:rsidRPr="00AB3FC6">
              <w:t>Dumping Commodities Register is reviewed</w:t>
            </w:r>
          </w:p>
        </w:tc>
      </w:tr>
      <w:tr w:rsidTr="004430B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B3FC6">
            <w:pPr>
              <w:pStyle w:val="BodyText"/>
              <w:rPr>
                <w:lang w:val="en-NZ"/>
              </w:rPr>
            </w:pPr>
            <w:r w:rsidRPr="00AB3FC6">
              <w:t>1.3</w:t>
            </w:r>
          </w:p>
        </w:tc>
        <w:tc>
          <w:tcPr>
            <w:tcW w:w="0" w:type="auto"/>
            <w:tcBorders>
              <w:top w:val="nil"/>
              <w:left w:val="nil"/>
              <w:bottom w:val="nil"/>
              <w:right w:val="nil"/>
            </w:tcBorders>
            <w:tcMar>
              <w:top w:w="0" w:type="dxa"/>
              <w:left w:w="62" w:type="dxa"/>
              <w:bottom w:w="0" w:type="dxa"/>
              <w:right w:w="62" w:type="dxa"/>
            </w:tcMar>
          </w:tcPr>
          <w:p w:rsidR="00000000" w:rsidP="00AB3FC6">
            <w:pPr>
              <w:pStyle w:val="BodyText"/>
              <w:rPr>
                <w:lang w:val="en-NZ"/>
              </w:rPr>
            </w:pPr>
            <w:r w:rsidRPr="00AB3FC6">
              <w:t>Date of effect is verified</w:t>
            </w:r>
          </w:p>
        </w:tc>
      </w:tr>
      <w:tr w:rsidTr="004430B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B3FC6">
            <w:pPr>
              <w:pStyle w:val="BodyText"/>
              <w:rPr>
                <w:lang w:val="en-NZ"/>
              </w:rPr>
            </w:pPr>
            <w:r w:rsidRPr="00AB3FC6">
              <w:t>1.4</w:t>
            </w:r>
          </w:p>
        </w:tc>
        <w:tc>
          <w:tcPr>
            <w:tcW w:w="0" w:type="auto"/>
            <w:tcBorders>
              <w:top w:val="nil"/>
              <w:left w:val="nil"/>
              <w:bottom w:val="nil"/>
              <w:right w:val="nil"/>
            </w:tcBorders>
            <w:tcMar>
              <w:top w:w="0" w:type="dxa"/>
              <w:left w:w="62" w:type="dxa"/>
              <w:bottom w:w="0" w:type="dxa"/>
              <w:right w:w="62" w:type="dxa"/>
            </w:tcMar>
          </w:tcPr>
          <w:p w:rsidR="00000000" w:rsidP="00AB3FC6">
            <w:pPr>
              <w:pStyle w:val="BodyText"/>
              <w:rPr>
                <w:lang w:val="en-NZ"/>
              </w:rPr>
            </w:pPr>
            <w:r w:rsidRPr="00AB3FC6">
              <w:t>Place and/or country of export is determined as subject to anti-dumping and/or countervailing measures</w:t>
            </w:r>
          </w:p>
        </w:tc>
      </w:tr>
      <w:tr w:rsidTr="004430B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B3FC6">
            <w:pPr>
              <w:pStyle w:val="BodyText"/>
              <w:rPr>
                <w:lang w:val="en-NZ"/>
              </w:rPr>
            </w:pPr>
            <w:r w:rsidRPr="00AB3FC6">
              <w:t>1.5</w:t>
            </w:r>
          </w:p>
        </w:tc>
        <w:tc>
          <w:tcPr>
            <w:tcW w:w="0" w:type="auto"/>
            <w:tcBorders>
              <w:top w:val="nil"/>
              <w:left w:val="nil"/>
              <w:bottom w:val="nil"/>
              <w:right w:val="nil"/>
            </w:tcBorders>
            <w:tcMar>
              <w:top w:w="0" w:type="dxa"/>
              <w:left w:w="62" w:type="dxa"/>
              <w:bottom w:w="0" w:type="dxa"/>
              <w:right w:w="62" w:type="dxa"/>
            </w:tcMar>
          </w:tcPr>
          <w:p w:rsidR="00000000" w:rsidP="00AB3FC6">
            <w:pPr>
              <w:pStyle w:val="BodyText"/>
              <w:rPr>
                <w:lang w:val="en-NZ"/>
              </w:rPr>
            </w:pPr>
            <w:r w:rsidRPr="00AB3FC6">
              <w:t>Goods are verified as of a kind subject to anti-dumping and/or countervailing measures</w:t>
            </w:r>
          </w:p>
        </w:tc>
      </w:tr>
      <w:tr w:rsidTr="004430B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B3FC6">
            <w:pPr>
              <w:pStyle w:val="BodyText"/>
              <w:rPr>
                <w:lang w:val="en-NZ"/>
              </w:rPr>
            </w:pPr>
            <w:r w:rsidRPr="00AB3FC6">
              <w:t>1.6</w:t>
            </w:r>
          </w:p>
        </w:tc>
        <w:tc>
          <w:tcPr>
            <w:tcW w:w="0" w:type="auto"/>
            <w:tcBorders>
              <w:top w:val="nil"/>
              <w:left w:val="nil"/>
              <w:bottom w:val="nil"/>
              <w:right w:val="nil"/>
            </w:tcBorders>
            <w:tcMar>
              <w:top w:w="0" w:type="dxa"/>
              <w:left w:w="62" w:type="dxa"/>
              <w:bottom w:w="0" w:type="dxa"/>
              <w:right w:w="62" w:type="dxa"/>
            </w:tcMar>
          </w:tcPr>
          <w:p w:rsidR="00000000" w:rsidP="00AB3FC6">
            <w:pPr>
              <w:pStyle w:val="BodyText"/>
              <w:rPr>
                <w:lang w:val="en-NZ"/>
              </w:rPr>
            </w:pPr>
            <w:r w:rsidRPr="00AB3FC6">
              <w:t>Custom client iden</w:t>
            </w:r>
            <w:r w:rsidRPr="00AB3FC6">
              <w:t>tifiers (CCIDs) of the exporter and/or supplier of goods is determined as subject to anti-dumping and/or countervailing measures</w:t>
            </w:r>
          </w:p>
        </w:tc>
      </w:tr>
      <w:tr w:rsidTr="004430B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AB3FC6" w:rsidP="00AB3FC6">
            <w:pPr>
              <w:pStyle w:val="BodyText"/>
            </w:pPr>
            <w:r w:rsidRPr="00AB3FC6">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AB3FC6">
            <w:pPr>
              <w:pStyle w:val="BodyText"/>
              <w:rPr>
                <w:lang w:val="en-NZ"/>
              </w:rPr>
            </w:pPr>
            <w:r w:rsidRPr="00AB3FC6">
              <w:rPr>
                <w:rStyle w:val="SpecialBold"/>
              </w:rPr>
              <w:t>Determine dumping elements</w:t>
            </w:r>
          </w:p>
        </w:tc>
        <w:tc>
          <w:tcPr>
            <w:tcW w:w="0" w:type="auto"/>
            <w:tcBorders>
              <w:top w:val="nil"/>
              <w:left w:val="nil"/>
              <w:bottom w:val="nil"/>
              <w:right w:val="nil"/>
            </w:tcBorders>
            <w:tcMar>
              <w:top w:w="0" w:type="dxa"/>
              <w:left w:w="62" w:type="dxa"/>
              <w:bottom w:w="0" w:type="dxa"/>
              <w:right w:w="62" w:type="dxa"/>
            </w:tcMar>
          </w:tcPr>
          <w:p w:rsidR="00000000" w:rsidP="00AB3FC6">
            <w:pPr>
              <w:pStyle w:val="BodyText"/>
              <w:rPr>
                <w:lang w:val="en-NZ"/>
              </w:rPr>
            </w:pPr>
            <w:r w:rsidRPr="00AB3FC6">
              <w:t>2.1</w:t>
            </w:r>
          </w:p>
        </w:tc>
        <w:tc>
          <w:tcPr>
            <w:tcW w:w="0" w:type="auto"/>
            <w:tcBorders>
              <w:top w:val="nil"/>
              <w:left w:val="nil"/>
              <w:bottom w:val="nil"/>
              <w:right w:val="nil"/>
            </w:tcBorders>
            <w:tcMar>
              <w:top w:w="0" w:type="dxa"/>
              <w:left w:w="62" w:type="dxa"/>
              <w:bottom w:w="0" w:type="dxa"/>
              <w:right w:w="62" w:type="dxa"/>
            </w:tcMar>
          </w:tcPr>
          <w:p w:rsidR="00000000" w:rsidP="00AB3FC6">
            <w:pPr>
              <w:pStyle w:val="BodyText"/>
              <w:rPr>
                <w:lang w:val="en-NZ"/>
              </w:rPr>
            </w:pPr>
            <w:r w:rsidRPr="00AB3FC6">
              <w:t>Exempt goods are declared in accordance with Dumping Commodities Register</w:t>
            </w:r>
          </w:p>
        </w:tc>
      </w:tr>
      <w:tr w:rsidTr="004430B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B3FC6">
            <w:pPr>
              <w:pStyle w:val="BodyText"/>
              <w:rPr>
                <w:lang w:val="en-NZ"/>
              </w:rPr>
            </w:pPr>
            <w:r w:rsidRPr="00AB3FC6">
              <w:t>2.2</w:t>
            </w:r>
          </w:p>
        </w:tc>
        <w:tc>
          <w:tcPr>
            <w:tcW w:w="0" w:type="auto"/>
            <w:tcBorders>
              <w:top w:val="nil"/>
              <w:left w:val="nil"/>
              <w:bottom w:val="nil"/>
              <w:right w:val="nil"/>
            </w:tcBorders>
            <w:tcMar>
              <w:top w:w="0" w:type="dxa"/>
              <w:left w:w="62" w:type="dxa"/>
              <w:bottom w:w="0" w:type="dxa"/>
              <w:right w:w="62" w:type="dxa"/>
            </w:tcMar>
          </w:tcPr>
          <w:p w:rsidR="00000000" w:rsidP="00AB3FC6">
            <w:pPr>
              <w:pStyle w:val="BodyText"/>
              <w:rPr>
                <w:lang w:val="en-NZ"/>
              </w:rPr>
            </w:pPr>
            <w:r w:rsidRPr="00AB3FC6">
              <w:t>Dumping specification number (DSN) is determined in accordance with Dumping Commodities Register</w:t>
            </w:r>
          </w:p>
        </w:tc>
      </w:tr>
      <w:tr w:rsidTr="004430B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B3FC6">
            <w:pPr>
              <w:pStyle w:val="BodyText"/>
              <w:rPr>
                <w:lang w:val="en-NZ"/>
              </w:rPr>
            </w:pPr>
            <w:r w:rsidRPr="00AB3FC6">
              <w:t>2.3</w:t>
            </w:r>
          </w:p>
        </w:tc>
        <w:tc>
          <w:tcPr>
            <w:tcW w:w="0" w:type="auto"/>
            <w:tcBorders>
              <w:top w:val="nil"/>
              <w:left w:val="nil"/>
              <w:bottom w:val="nil"/>
              <w:right w:val="nil"/>
            </w:tcBorders>
            <w:tcMar>
              <w:top w:w="0" w:type="dxa"/>
              <w:left w:w="62" w:type="dxa"/>
              <w:bottom w:w="0" w:type="dxa"/>
              <w:right w:w="62" w:type="dxa"/>
            </w:tcMar>
          </w:tcPr>
          <w:p w:rsidR="00000000" w:rsidP="00AB3FC6">
            <w:pPr>
              <w:pStyle w:val="BodyText"/>
              <w:rPr>
                <w:lang w:val="en-NZ"/>
              </w:rPr>
            </w:pPr>
            <w:r w:rsidRPr="00AB3FC6">
              <w:t>Dumping export price (DXP) is calculated in accordance with Dumping Commodities Register</w:t>
            </w:r>
          </w:p>
        </w:tc>
      </w:tr>
      <w:tr w:rsidTr="004430B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B3FC6">
            <w:pPr>
              <w:pStyle w:val="BodyText"/>
              <w:rPr>
                <w:lang w:val="en-NZ"/>
              </w:rPr>
            </w:pPr>
            <w:r w:rsidRPr="00AB3FC6">
              <w:t>2.4</w:t>
            </w:r>
          </w:p>
        </w:tc>
        <w:tc>
          <w:tcPr>
            <w:tcW w:w="0" w:type="auto"/>
            <w:tcBorders>
              <w:top w:val="nil"/>
              <w:left w:val="nil"/>
              <w:bottom w:val="nil"/>
              <w:right w:val="nil"/>
            </w:tcBorders>
            <w:tcMar>
              <w:top w:w="0" w:type="dxa"/>
              <w:left w:w="62" w:type="dxa"/>
              <w:bottom w:w="0" w:type="dxa"/>
              <w:right w:w="62" w:type="dxa"/>
            </w:tcMar>
          </w:tcPr>
          <w:p w:rsidR="00000000" w:rsidP="00AB3FC6">
            <w:pPr>
              <w:pStyle w:val="BodyText"/>
              <w:rPr>
                <w:lang w:val="en-NZ"/>
              </w:rPr>
            </w:pPr>
            <w:r w:rsidRPr="00AB3FC6">
              <w:t>Currency code for DXP is determined</w:t>
            </w:r>
          </w:p>
        </w:tc>
      </w:tr>
      <w:tr w:rsidTr="004430B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B3FC6">
            <w:pPr>
              <w:pStyle w:val="BodyText"/>
              <w:rPr>
                <w:lang w:val="en-NZ"/>
              </w:rPr>
            </w:pPr>
            <w:r w:rsidRPr="00AB3FC6">
              <w:t>2.5</w:t>
            </w:r>
          </w:p>
        </w:tc>
        <w:tc>
          <w:tcPr>
            <w:tcW w:w="0" w:type="auto"/>
            <w:tcBorders>
              <w:top w:val="nil"/>
              <w:left w:val="nil"/>
              <w:bottom w:val="nil"/>
              <w:right w:val="nil"/>
            </w:tcBorders>
            <w:tcMar>
              <w:top w:w="0" w:type="dxa"/>
              <w:left w:w="62" w:type="dxa"/>
              <w:bottom w:w="0" w:type="dxa"/>
              <w:right w:w="62" w:type="dxa"/>
            </w:tcMar>
          </w:tcPr>
          <w:p w:rsidR="00000000" w:rsidP="00AB3FC6">
            <w:pPr>
              <w:pStyle w:val="BodyText"/>
              <w:rPr>
                <w:lang w:val="en-NZ"/>
              </w:rPr>
            </w:pPr>
            <w:r w:rsidRPr="00AB3FC6">
              <w:t>Export country code is determined where required</w:t>
            </w:r>
          </w:p>
        </w:tc>
      </w:tr>
      <w:tr w:rsidTr="004430B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B3FC6">
            <w:pPr>
              <w:pStyle w:val="BodyText"/>
              <w:rPr>
                <w:lang w:val="en-NZ"/>
              </w:rPr>
            </w:pPr>
            <w:r w:rsidRPr="00AB3FC6">
              <w:t>2.6</w:t>
            </w:r>
          </w:p>
        </w:tc>
        <w:tc>
          <w:tcPr>
            <w:tcW w:w="0" w:type="auto"/>
            <w:tcBorders>
              <w:top w:val="nil"/>
              <w:left w:val="nil"/>
              <w:bottom w:val="nil"/>
              <w:right w:val="nil"/>
            </w:tcBorders>
            <w:tcMar>
              <w:top w:w="0" w:type="dxa"/>
              <w:left w:w="62" w:type="dxa"/>
              <w:bottom w:w="0" w:type="dxa"/>
              <w:right w:w="62" w:type="dxa"/>
            </w:tcMar>
          </w:tcPr>
          <w:p w:rsidR="00000000" w:rsidP="00AB3FC6">
            <w:pPr>
              <w:pStyle w:val="BodyText"/>
              <w:rPr>
                <w:lang w:val="en-NZ"/>
              </w:rPr>
            </w:pPr>
            <w:r w:rsidRPr="00AB3FC6">
              <w:t>Exchange rate is input where required</w:t>
            </w:r>
          </w:p>
        </w:tc>
      </w:tr>
      <w:tr w:rsidTr="004430B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B3FC6">
            <w:pPr>
              <w:pStyle w:val="BodyText"/>
              <w:rPr>
                <w:lang w:val="en-NZ"/>
              </w:rPr>
            </w:pPr>
            <w:r w:rsidRPr="00AB3FC6">
              <w:t>2.7</w:t>
            </w:r>
          </w:p>
        </w:tc>
        <w:tc>
          <w:tcPr>
            <w:tcW w:w="0" w:type="auto"/>
            <w:tcBorders>
              <w:top w:val="nil"/>
              <w:left w:val="nil"/>
              <w:bottom w:val="nil"/>
              <w:right w:val="nil"/>
            </w:tcBorders>
            <w:tcMar>
              <w:top w:w="0" w:type="dxa"/>
              <w:left w:w="62" w:type="dxa"/>
              <w:bottom w:w="0" w:type="dxa"/>
              <w:right w:w="62" w:type="dxa"/>
            </w:tcMar>
          </w:tcPr>
          <w:p w:rsidR="00000000" w:rsidP="00AB3FC6">
            <w:pPr>
              <w:pStyle w:val="BodyText"/>
              <w:rPr>
                <w:lang w:val="en-NZ"/>
              </w:rPr>
            </w:pPr>
            <w:r w:rsidRPr="00AB3FC6">
              <w:t>Dumping unit quantity (DUS) is reported in accordance with software application system requirements</w:t>
            </w:r>
          </w:p>
        </w:tc>
      </w:tr>
      <w:tr w:rsidTr="004430BE">
        <w:tblPrEx>
          <w:tblW w:w="0" w:type="auto"/>
          <w:tblCellMar>
            <w:left w:w="62" w:type="dxa"/>
            <w:right w:w="62" w:type="dxa"/>
          </w:tblCellMar>
          <w:tblLook w:val="0000"/>
        </w:tblPrEx>
        <w:trPr>
          <w:trHeight w:val="819"/>
        </w:trPr>
        <w:tc>
          <w:tcPr>
            <w:tcW w:w="0" w:type="auto"/>
            <w:vMerge w:val="restart"/>
            <w:tcBorders>
              <w:top w:val="nil"/>
              <w:left w:val="nil"/>
              <w:bottom w:val="nil"/>
              <w:right w:val="nil"/>
            </w:tcBorders>
            <w:tcMar>
              <w:top w:w="0" w:type="dxa"/>
              <w:left w:w="62" w:type="dxa"/>
              <w:bottom w:w="0" w:type="dxa"/>
              <w:right w:w="62" w:type="dxa"/>
            </w:tcMar>
          </w:tcPr>
          <w:p w:rsidR="00000000" w:rsidRPr="00AB3FC6" w:rsidP="00AB3FC6">
            <w:pPr>
              <w:pStyle w:val="BodyText"/>
            </w:pPr>
            <w:r w:rsidRPr="00AB3FC6">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AB3FC6">
            <w:pPr>
              <w:pStyle w:val="BodyText"/>
              <w:rPr>
                <w:lang w:val="en-NZ"/>
              </w:rPr>
            </w:pPr>
            <w:r w:rsidRPr="00AB3FC6">
              <w:rPr>
                <w:rStyle w:val="SpecialBold"/>
              </w:rPr>
              <w:t>Advise clients on anti-dumping and countervailing legislation</w:t>
            </w:r>
          </w:p>
        </w:tc>
        <w:tc>
          <w:tcPr>
            <w:tcW w:w="0" w:type="auto"/>
            <w:tcBorders>
              <w:top w:val="nil"/>
              <w:left w:val="nil"/>
              <w:bottom w:val="nil"/>
              <w:right w:val="nil"/>
            </w:tcBorders>
            <w:tcMar>
              <w:top w:w="0" w:type="dxa"/>
              <w:left w:w="62" w:type="dxa"/>
              <w:bottom w:w="0" w:type="dxa"/>
              <w:right w:w="62" w:type="dxa"/>
            </w:tcMar>
          </w:tcPr>
          <w:p w:rsidR="00000000" w:rsidP="00AB3FC6">
            <w:pPr>
              <w:pStyle w:val="BodyText"/>
              <w:rPr>
                <w:lang w:val="en-NZ"/>
              </w:rPr>
            </w:pPr>
            <w:r w:rsidRPr="00AB3FC6">
              <w:t>3.1</w:t>
            </w:r>
          </w:p>
        </w:tc>
        <w:tc>
          <w:tcPr>
            <w:tcW w:w="0" w:type="auto"/>
            <w:tcBorders>
              <w:top w:val="nil"/>
              <w:left w:val="nil"/>
              <w:bottom w:val="nil"/>
              <w:right w:val="nil"/>
            </w:tcBorders>
            <w:tcMar>
              <w:top w:w="0" w:type="dxa"/>
              <w:left w:w="62" w:type="dxa"/>
              <w:bottom w:w="0" w:type="dxa"/>
              <w:right w:w="62" w:type="dxa"/>
            </w:tcMar>
          </w:tcPr>
          <w:p w:rsidR="00000000" w:rsidP="00AB3FC6">
            <w:pPr>
              <w:pStyle w:val="BodyText"/>
              <w:rPr>
                <w:lang w:val="en-NZ"/>
              </w:rPr>
            </w:pPr>
            <w:r w:rsidRPr="00AB3FC6">
              <w:t>Clients are informed of basic requirements of the anti-dumping and countervailing legislation</w:t>
            </w:r>
          </w:p>
        </w:tc>
      </w:tr>
      <w:tr w:rsidTr="004430BE">
        <w:tblPrEx>
          <w:tblW w:w="0" w:type="auto"/>
          <w:tblCellMar>
            <w:left w:w="62" w:type="dxa"/>
            <w:right w:w="62" w:type="dxa"/>
          </w:tblCellMar>
          <w:tblLook w:val="0000"/>
        </w:tblPrEx>
        <w:trPr>
          <w:trHeight w:val="716"/>
        </w:trPr>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B3FC6">
            <w:pPr>
              <w:pStyle w:val="BodyText"/>
              <w:rPr>
                <w:lang w:val="en-NZ"/>
              </w:rPr>
            </w:pPr>
            <w:r w:rsidRPr="00AB3FC6">
              <w:t>3.2</w:t>
            </w:r>
          </w:p>
        </w:tc>
        <w:tc>
          <w:tcPr>
            <w:tcW w:w="0" w:type="auto"/>
            <w:tcBorders>
              <w:top w:val="nil"/>
              <w:left w:val="nil"/>
              <w:bottom w:val="nil"/>
              <w:right w:val="nil"/>
            </w:tcBorders>
            <w:tcMar>
              <w:top w:w="0" w:type="dxa"/>
              <w:left w:w="62" w:type="dxa"/>
              <w:bottom w:w="0" w:type="dxa"/>
              <w:right w:w="62" w:type="dxa"/>
            </w:tcMar>
          </w:tcPr>
          <w:p w:rsidR="00000000" w:rsidRPr="00AB3FC6" w:rsidP="00AB3FC6">
            <w:pPr>
              <w:pStyle w:val="BodyText"/>
            </w:pPr>
            <w:r w:rsidRPr="00AB3FC6">
              <w:t>Client understanding of anti-dumping and countervailing information provided is confirmed</w:t>
            </w:r>
            <w:r w:rsidRPr="00AB3FC6">
              <w:t xml:space="preserve"> and any client misunderstanding is clarified</w:t>
            </w:r>
          </w:p>
        </w:tc>
      </w:tr>
    </w:tbl>
    <w:p w:rsidR="00000000" w:rsidRPr="00AB3FC6" w:rsidP="00AB3FC6">
      <w:pPr>
        <w:pStyle w:val="BodyText"/>
      </w:pPr>
    </w:p>
    <w:p w:rsidR="00000000" w:rsidRPr="00AB3FC6" w:rsidP="00AB3FC6">
      <w:pPr>
        <w:pStyle w:val="AllowPageBreak"/>
      </w:pPr>
    </w:p>
    <w:p w:rsidR="00000000" w:rsidRPr="00AB3FC6" w:rsidP="00AB3FC6">
      <w:pPr>
        <w:pStyle w:val="Heading1"/>
      </w:pPr>
      <w:bookmarkStart w:id="9" w:name="O_628206"/>
      <w:bookmarkEnd w:id="9"/>
      <w:r w:rsidRPr="00AB3FC6">
        <w:t>Required Skills and Knowledge</w:t>
      </w:r>
    </w:p>
    <w:tbl>
      <w:tblPr>
        <w:tblW w:w="9640" w:type="dxa"/>
        <w:tblLayout w:type="fixed"/>
        <w:tblCellMar>
          <w:left w:w="62" w:type="dxa"/>
          <w:right w:w="62" w:type="dxa"/>
        </w:tblCellMar>
        <w:tblLook w:val="0000"/>
      </w:tblPr>
      <w:tblGrid>
        <w:gridCol w:w="9640"/>
      </w:tblGrid>
      <w:tr w:rsidTr="00AB3F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B3FC6">
            <w:pPr>
              <w:pStyle w:val="BodyText"/>
              <w:rPr>
                <w:lang w:val="en-NZ"/>
              </w:rPr>
            </w:pPr>
            <w:r w:rsidRPr="00AB3FC6">
              <w:t>This section describes the knowledge and skills required for this unit.</w:t>
            </w:r>
          </w:p>
        </w:tc>
      </w:tr>
      <w:tr w:rsidTr="00AB3F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B3FC6">
            <w:pPr>
              <w:pStyle w:val="BodyText"/>
              <w:rPr>
                <w:lang w:val="en-NZ"/>
              </w:rPr>
            </w:pPr>
            <w:r w:rsidRPr="00AB3FC6">
              <w:rPr>
                <w:rStyle w:val="SpecialBold"/>
              </w:rPr>
              <w:t>Required knowledge:</w:t>
            </w:r>
          </w:p>
        </w:tc>
      </w:tr>
      <w:tr w:rsidTr="00AB3F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B3FC6">
            <w:pPr>
              <w:pStyle w:val="ListBullet"/>
              <w:rPr>
                <w:lang w:val="en-NZ"/>
              </w:rPr>
            </w:pPr>
            <w:r w:rsidRPr="00AB3FC6">
              <w:t xml:space="preserve">Australian anti-dumping and countervailing legislation </w:t>
            </w:r>
          </w:p>
        </w:tc>
      </w:tr>
      <w:tr w:rsidTr="00AB3F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B3FC6">
            <w:pPr>
              <w:pStyle w:val="ListBullet"/>
              <w:rPr>
                <w:lang w:val="en-NZ"/>
              </w:rPr>
            </w:pPr>
            <w:r w:rsidRPr="00AB3FC6">
              <w:t>Content and use of Dumping Commodity Register</w:t>
            </w:r>
          </w:p>
        </w:tc>
      </w:tr>
      <w:tr w:rsidTr="00AB3F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B3FC6">
            <w:pPr>
              <w:pStyle w:val="ListBullet"/>
              <w:rPr>
                <w:lang w:val="en-NZ"/>
              </w:rPr>
            </w:pPr>
            <w:r w:rsidRPr="00AB3FC6">
              <w:t>Policy and procedures involved in the application, administration, review and revocation of anti-dumping and/or countervailing measures in Australia</w:t>
            </w:r>
          </w:p>
        </w:tc>
      </w:tr>
      <w:tr w:rsidTr="00AB3F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AB3FC6" w:rsidP="00AB3FC6">
            <w:pPr>
              <w:pStyle w:val="ListBullet"/>
            </w:pPr>
            <w:r w:rsidRPr="00AB3FC6">
              <w:t>Processes to determine and calculate anti-dumping and cou</w:t>
            </w:r>
            <w:r w:rsidRPr="00AB3FC6">
              <w:t>ntervailing duties</w:t>
            </w:r>
          </w:p>
        </w:tc>
      </w:tr>
    </w:tbl>
    <w:p w:rsidR="00000000" w:rsidRPr="00AB3FC6" w:rsidP="00AB3FC6">
      <w:pPr>
        <w:pStyle w:val="BodyText"/>
      </w:pPr>
    </w:p>
    <w:tbl>
      <w:tblPr>
        <w:tblW w:w="9640" w:type="dxa"/>
        <w:tblLayout w:type="fixed"/>
        <w:tblCellMar>
          <w:left w:w="62" w:type="dxa"/>
          <w:right w:w="62" w:type="dxa"/>
        </w:tblCellMar>
        <w:tblLook w:val="0000"/>
      </w:tblPr>
      <w:tblGrid>
        <w:gridCol w:w="9640"/>
      </w:tblGrid>
      <w:tr w:rsidTr="00AB3F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B3FC6">
            <w:pPr>
              <w:pStyle w:val="BodyText"/>
              <w:rPr>
                <w:lang w:val="en-NZ"/>
              </w:rPr>
            </w:pPr>
            <w:r w:rsidRPr="00AB3FC6">
              <w:rPr>
                <w:rStyle w:val="SpecialBold"/>
              </w:rPr>
              <w:t>Required skills:</w:t>
            </w:r>
          </w:p>
        </w:tc>
      </w:tr>
      <w:tr w:rsidTr="00AB3F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B3FC6">
            <w:pPr>
              <w:pStyle w:val="ListBullet"/>
              <w:rPr>
                <w:lang w:val="en-NZ"/>
              </w:rPr>
            </w:pPr>
            <w:r w:rsidRPr="00AB3FC6">
              <w:t>Accurately calculate anti-dumping and/or countervailing duties</w:t>
            </w:r>
          </w:p>
        </w:tc>
      </w:tr>
      <w:tr w:rsidTr="00AB3F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B3FC6">
            <w:pPr>
              <w:pStyle w:val="ListBullet"/>
              <w:rPr>
                <w:lang w:val="en-NZ"/>
              </w:rPr>
            </w:pPr>
            <w:r w:rsidRPr="00AB3FC6">
              <w:t>Communicate effectively with clients</w:t>
            </w:r>
          </w:p>
        </w:tc>
      </w:tr>
      <w:tr w:rsidTr="00AB3F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B3FC6">
            <w:pPr>
              <w:pStyle w:val="ListBullet"/>
              <w:rPr>
                <w:lang w:val="en-NZ"/>
              </w:rPr>
            </w:pPr>
            <w:r w:rsidRPr="00AB3FC6">
              <w:t>Identify exempt goods and suppliers</w:t>
            </w:r>
          </w:p>
        </w:tc>
      </w:tr>
      <w:tr w:rsidTr="00AB3F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B3FC6">
            <w:pPr>
              <w:pStyle w:val="ListBullet"/>
              <w:rPr>
                <w:lang w:val="en-NZ"/>
              </w:rPr>
            </w:pPr>
            <w:r w:rsidRPr="00AB3FC6">
              <w:t>Identify inclusive goods and suppliers</w:t>
            </w:r>
          </w:p>
        </w:tc>
      </w:tr>
      <w:tr w:rsidTr="00AB3F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B3FC6">
            <w:pPr>
              <w:pStyle w:val="ListBullet"/>
              <w:rPr>
                <w:lang w:val="en-NZ"/>
              </w:rPr>
            </w:pPr>
            <w:r w:rsidRPr="00AB3FC6">
              <w:t>Identify relevant country of export</w:t>
            </w:r>
          </w:p>
        </w:tc>
      </w:tr>
      <w:tr w:rsidTr="00AB3F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B3FC6">
            <w:pPr>
              <w:pStyle w:val="ListBullet"/>
              <w:rPr>
                <w:lang w:val="en-NZ"/>
              </w:rPr>
            </w:pPr>
            <w:r w:rsidRPr="00AB3FC6">
              <w:t>Read and interpret appropriate Acts and regulations</w:t>
            </w:r>
          </w:p>
        </w:tc>
      </w:tr>
      <w:tr w:rsidTr="00AB3F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AB3FC6" w:rsidP="00AB3FC6">
            <w:pPr>
              <w:pStyle w:val="ListBullet"/>
            </w:pPr>
            <w:r w:rsidRPr="00AB3FC6">
              <w:t>Solve problems</w:t>
            </w:r>
          </w:p>
        </w:tc>
      </w:tr>
    </w:tbl>
    <w:p w:rsidR="00000000" w:rsidRPr="00AB3FC6" w:rsidP="00AB3FC6">
      <w:pPr>
        <w:pStyle w:val="BodyText"/>
      </w:pPr>
    </w:p>
    <w:p w:rsidR="00000000" w:rsidRPr="00AB3FC6" w:rsidP="00AB3FC6">
      <w:pPr>
        <w:pStyle w:val="AllowPageBreak"/>
      </w:pPr>
    </w:p>
    <w:p w:rsidR="00000000" w:rsidRPr="00AB3FC6" w:rsidP="00AB3FC6">
      <w:pPr>
        <w:pStyle w:val="Heading1"/>
      </w:pPr>
      <w:bookmarkStart w:id="10" w:name="O_628207"/>
      <w:bookmarkEnd w:id="10"/>
      <w:r w:rsidRPr="00AB3FC6">
        <w:t>Evidence Guide</w:t>
      </w:r>
    </w:p>
    <w:tbl>
      <w:tblPr>
        <w:tblW w:w="9640" w:type="dxa"/>
        <w:tblLayout w:type="fixed"/>
        <w:tblCellMar>
          <w:left w:w="62" w:type="dxa"/>
          <w:right w:w="62" w:type="dxa"/>
        </w:tblCellMar>
        <w:tblLook w:val="0000"/>
      </w:tblPr>
      <w:tblGrid>
        <w:gridCol w:w="2683"/>
        <w:gridCol w:w="6957"/>
      </w:tblGrid>
      <w:tr w:rsidTr="00AB3FC6">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AB3FC6">
            <w:pPr>
              <w:pStyle w:val="BodyText"/>
              <w:rPr>
                <w:lang w:val="en-NZ"/>
              </w:rPr>
            </w:pPr>
            <w:r w:rsidRPr="00AB3FC6">
              <w:t>The evidence guide provides advice on assessment and must be read in conjunction with the performance criteria, required knowledge and skills, the range statement and the assessment guidelines for this Training Package.</w:t>
            </w:r>
          </w:p>
        </w:tc>
      </w:tr>
      <w:tr w:rsidTr="00AB3FC6">
        <w:tblPrEx>
          <w:tblW w:w="9640" w:type="dxa"/>
          <w:tblLayout w:type="fixed"/>
          <w:tblCellMar>
            <w:left w:w="62" w:type="dxa"/>
            <w:right w:w="62" w:type="dxa"/>
          </w:tblCellMar>
          <w:tblLook w:val="0000"/>
        </w:tblPrEx>
        <w:tc>
          <w:tcPr>
            <w:tcW w:w="2683" w:type="dxa"/>
            <w:tcBorders>
              <w:top w:val="nil"/>
              <w:left w:val="nil"/>
              <w:bottom w:val="nil"/>
              <w:right w:val="nil"/>
            </w:tcBorders>
            <w:tcMar>
              <w:top w:w="0" w:type="dxa"/>
              <w:left w:w="62" w:type="dxa"/>
              <w:bottom w:w="0" w:type="dxa"/>
              <w:right w:w="62" w:type="dxa"/>
            </w:tcMar>
          </w:tcPr>
          <w:p w:rsidR="00000000" w:rsidP="00AB3FC6">
            <w:pPr>
              <w:pStyle w:val="BodyText"/>
              <w:rPr>
                <w:lang w:val="en-NZ"/>
              </w:rPr>
            </w:pPr>
            <w:r w:rsidRPr="00AB3FC6">
              <w:rPr>
                <w:rStyle w:val="SpecialBold"/>
              </w:rPr>
              <w:t>Critical aspects for assessment an</w:t>
            </w:r>
            <w:r w:rsidRPr="00AB3FC6">
              <w:rPr>
                <w:rStyle w:val="SpecialBold"/>
              </w:rPr>
              <w:t>d evidence required to demonstrate competency in this unit</w:t>
            </w:r>
          </w:p>
        </w:tc>
        <w:tc>
          <w:tcPr>
            <w:tcW w:w="6957" w:type="dxa"/>
            <w:tcBorders>
              <w:top w:val="nil"/>
              <w:left w:val="nil"/>
              <w:bottom w:val="nil"/>
              <w:right w:val="nil"/>
            </w:tcBorders>
            <w:tcMar>
              <w:top w:w="0" w:type="dxa"/>
              <w:left w:w="62" w:type="dxa"/>
              <w:bottom w:w="0" w:type="dxa"/>
              <w:right w:w="62" w:type="dxa"/>
            </w:tcMar>
          </w:tcPr>
          <w:p w:rsidR="00000000" w:rsidRPr="00AB3FC6" w:rsidP="00AB3FC6">
            <w:pPr>
              <w:pStyle w:val="BodyText"/>
            </w:pPr>
            <w:r w:rsidRPr="00AB3FC6">
              <w:t>The evidence required to demonstrate competence in this unit must be relevant to and satisfy all of the requirements of the Elements, Performance Criteria, Required Skills, Required Knowledge and i</w:t>
            </w:r>
            <w:r w:rsidRPr="00AB3FC6">
              <w:t>nclude:</w:t>
            </w:r>
          </w:p>
          <w:p w:rsidR="00000000" w:rsidRPr="00AB3FC6" w:rsidP="00AB3FC6">
            <w:pPr>
              <w:pStyle w:val="ListBullet"/>
            </w:pPr>
            <w:r w:rsidRPr="00AB3FC6">
              <w:t>sequencing activity in a way that demonstrates the development of competence</w:t>
            </w:r>
          </w:p>
          <w:p w:rsidR="00000000" w:rsidRPr="00AB3FC6" w:rsidP="00AB3FC6">
            <w:pPr>
              <w:pStyle w:val="ListBullet"/>
            </w:pPr>
            <w:r w:rsidRPr="00AB3FC6">
              <w:t>ensuring currency of relevant legislative and regulatory knowledge</w:t>
            </w:r>
          </w:p>
          <w:p w:rsidR="00000000" w:rsidP="00AB3FC6">
            <w:pPr>
              <w:pStyle w:val="ListBullet"/>
              <w:rPr>
                <w:lang w:val="en-NZ"/>
              </w:rPr>
            </w:pPr>
            <w:r w:rsidRPr="00AB3FC6">
              <w:t>providing high quality advice to clients.</w:t>
            </w:r>
          </w:p>
        </w:tc>
      </w:tr>
      <w:tr w:rsidTr="00AB3FC6">
        <w:tblPrEx>
          <w:tblW w:w="9640" w:type="dxa"/>
          <w:tblLayout w:type="fixed"/>
          <w:tblCellMar>
            <w:left w:w="62" w:type="dxa"/>
            <w:right w:w="62" w:type="dxa"/>
          </w:tblCellMar>
          <w:tblLook w:val="0000"/>
        </w:tblPrEx>
        <w:tc>
          <w:tcPr>
            <w:tcW w:w="2683" w:type="dxa"/>
            <w:tcBorders>
              <w:top w:val="nil"/>
              <w:left w:val="nil"/>
              <w:bottom w:val="nil"/>
              <w:right w:val="nil"/>
            </w:tcBorders>
            <w:tcMar>
              <w:top w:w="0" w:type="dxa"/>
              <w:left w:w="62" w:type="dxa"/>
              <w:bottom w:w="0" w:type="dxa"/>
              <w:right w:w="62" w:type="dxa"/>
            </w:tcMar>
          </w:tcPr>
          <w:p w:rsidR="00000000" w:rsidP="00AB3FC6">
            <w:pPr>
              <w:pStyle w:val="BodyText"/>
              <w:rPr>
                <w:lang w:val="en-NZ"/>
              </w:rPr>
            </w:pPr>
            <w:r w:rsidRPr="00AB3FC6">
              <w:rPr>
                <w:rStyle w:val="SpecialBold"/>
              </w:rPr>
              <w:t>Context of and specific resources for assessment</w:t>
            </w:r>
          </w:p>
        </w:tc>
        <w:tc>
          <w:tcPr>
            <w:tcW w:w="6957" w:type="dxa"/>
            <w:tcBorders>
              <w:top w:val="nil"/>
              <w:left w:val="nil"/>
              <w:bottom w:val="nil"/>
              <w:right w:val="nil"/>
            </w:tcBorders>
            <w:tcMar>
              <w:top w:w="0" w:type="dxa"/>
              <w:left w:w="62" w:type="dxa"/>
              <w:bottom w:w="0" w:type="dxa"/>
              <w:right w:w="62" w:type="dxa"/>
            </w:tcMar>
          </w:tcPr>
          <w:p w:rsidR="00000000" w:rsidRPr="00AB3FC6" w:rsidP="00AB3FC6">
            <w:pPr>
              <w:pStyle w:val="BodyText"/>
            </w:pPr>
            <w:r w:rsidRPr="00AB3FC6">
              <w:t>Performance is demonstrated consistently over time and in a suitable range of contexts.</w:t>
            </w:r>
          </w:p>
          <w:p w:rsidR="00000000" w:rsidRPr="00AB3FC6" w:rsidP="00AB3FC6">
            <w:pPr>
              <w:pStyle w:val="BodyText"/>
            </w:pPr>
            <w:r w:rsidRPr="00AB3FC6">
              <w:t>Resources for assessment include access to:</w:t>
            </w:r>
          </w:p>
          <w:p w:rsidR="00000000" w:rsidRPr="00AB3FC6" w:rsidP="00AB3FC6">
            <w:pPr>
              <w:pStyle w:val="ListBullet"/>
            </w:pPr>
            <w:r w:rsidRPr="00AB3FC6">
              <w:t>workplace where activities with individuals or small groups can be conducted</w:t>
            </w:r>
          </w:p>
          <w:p w:rsidR="00000000" w:rsidRPr="00AB3FC6" w:rsidP="00AB3FC6">
            <w:pPr>
              <w:pStyle w:val="ListBullet"/>
            </w:pPr>
            <w:r w:rsidRPr="00AB3FC6">
              <w:t>relevant documents used in industry</w:t>
            </w:r>
          </w:p>
          <w:p w:rsidR="00000000" w:rsidRPr="00AB3FC6" w:rsidP="00AB3FC6">
            <w:pPr>
              <w:pStyle w:val="ListBullet"/>
            </w:pPr>
            <w:r w:rsidRPr="00AB3FC6">
              <w:t>relevant d</w:t>
            </w:r>
            <w:r w:rsidRPr="00AB3FC6">
              <w:t>ocuments that impact on work activities</w:t>
            </w:r>
          </w:p>
          <w:p w:rsidR="00000000" w:rsidRPr="00AB3FC6" w:rsidP="00AB3FC6">
            <w:pPr>
              <w:pStyle w:val="ListBullet"/>
            </w:pPr>
            <w:r w:rsidRPr="00AB3FC6">
              <w:t>range of relevant exercises, case studies, scenarios and/or other simulated practical and knowledge assessments</w:t>
            </w:r>
          </w:p>
          <w:p w:rsidR="00000000" w:rsidRPr="00AB3FC6" w:rsidP="00AB3FC6">
            <w:pPr>
              <w:pStyle w:val="ListBullet"/>
            </w:pPr>
            <w:r w:rsidRPr="00AB3FC6">
              <w:t>appropriate range of relevant operational situations in the workplace.</w:t>
            </w:r>
          </w:p>
          <w:p w:rsidR="00000000" w:rsidRPr="00AB3FC6" w:rsidP="00AB3FC6">
            <w:pPr>
              <w:pStyle w:val="BodyText"/>
            </w:pPr>
            <w:r w:rsidRPr="00AB3FC6">
              <w:t>In both real and simulated enviro</w:t>
            </w:r>
            <w:r w:rsidRPr="00AB3FC6">
              <w:t>nments, access is required to:</w:t>
            </w:r>
          </w:p>
          <w:p w:rsidR="00000000" w:rsidRPr="00AB3FC6" w:rsidP="00AB3FC6">
            <w:pPr>
              <w:pStyle w:val="ListBullet"/>
            </w:pPr>
            <w:r w:rsidRPr="00AB3FC6">
              <w:t>relevant and appropriate materials and equipment</w:t>
            </w:r>
          </w:p>
          <w:p w:rsidR="00000000" w:rsidP="00AB3FC6">
            <w:pPr>
              <w:pStyle w:val="ListBullet"/>
              <w:rPr>
                <w:lang w:val="en-NZ"/>
              </w:rPr>
            </w:pPr>
            <w:r w:rsidRPr="00AB3FC6">
              <w:t>applicable documentation including legislation and the Dumping Commodities Register.</w:t>
            </w:r>
          </w:p>
        </w:tc>
      </w:tr>
      <w:tr w:rsidTr="00AB3FC6">
        <w:tblPrEx>
          <w:tblW w:w="9640" w:type="dxa"/>
          <w:tblLayout w:type="fixed"/>
          <w:tblCellMar>
            <w:left w:w="62" w:type="dxa"/>
            <w:right w:w="62" w:type="dxa"/>
          </w:tblCellMar>
          <w:tblLook w:val="0000"/>
        </w:tblPrEx>
        <w:tc>
          <w:tcPr>
            <w:tcW w:w="2683" w:type="dxa"/>
            <w:tcBorders>
              <w:top w:val="nil"/>
              <w:left w:val="nil"/>
              <w:bottom w:val="nil"/>
              <w:right w:val="nil"/>
            </w:tcBorders>
            <w:tcMar>
              <w:top w:w="0" w:type="dxa"/>
              <w:left w:w="62" w:type="dxa"/>
              <w:bottom w:w="0" w:type="dxa"/>
              <w:right w:w="62" w:type="dxa"/>
            </w:tcMar>
          </w:tcPr>
          <w:p w:rsidR="00000000" w:rsidP="00AB3FC6">
            <w:pPr>
              <w:pStyle w:val="BodyText"/>
              <w:rPr>
                <w:lang w:val="en-NZ"/>
              </w:rPr>
            </w:pPr>
            <w:r w:rsidRPr="00AB3FC6">
              <w:rPr>
                <w:rStyle w:val="SpecialBold"/>
              </w:rPr>
              <w:t>Method of assessment</w:t>
            </w:r>
          </w:p>
        </w:tc>
        <w:tc>
          <w:tcPr>
            <w:tcW w:w="6957" w:type="dxa"/>
            <w:tcBorders>
              <w:top w:val="nil"/>
              <w:left w:val="nil"/>
              <w:bottom w:val="nil"/>
              <w:right w:val="nil"/>
            </w:tcBorders>
            <w:tcMar>
              <w:top w:w="0" w:type="dxa"/>
              <w:left w:w="62" w:type="dxa"/>
              <w:bottom w:w="0" w:type="dxa"/>
              <w:right w:w="62" w:type="dxa"/>
            </w:tcMar>
          </w:tcPr>
          <w:p w:rsidR="00000000" w:rsidRPr="00AB3FC6" w:rsidP="00AB3FC6">
            <w:pPr>
              <w:pStyle w:val="BodyText"/>
            </w:pPr>
            <w:r w:rsidRPr="00AB3FC6">
              <w:t>Practical assessment must occur in an:</w:t>
            </w:r>
          </w:p>
          <w:p w:rsidR="00000000" w:rsidRPr="00AB3FC6" w:rsidP="00AB3FC6">
            <w:pPr>
              <w:pStyle w:val="ListBullet"/>
            </w:pPr>
            <w:r w:rsidRPr="00AB3FC6">
              <w:t>appropriately simulated workplace environment and/or</w:t>
            </w:r>
          </w:p>
          <w:p w:rsidR="00000000" w:rsidRPr="00AB3FC6" w:rsidP="00AB3FC6">
            <w:pPr>
              <w:pStyle w:val="ListBullet"/>
            </w:pPr>
            <w:r w:rsidRPr="00AB3FC6">
              <w:t>appropriate range of situations in the workplace.</w:t>
            </w:r>
          </w:p>
          <w:p w:rsidR="00000000" w:rsidRPr="00AB3FC6" w:rsidP="00AB3FC6">
            <w:pPr>
              <w:pStyle w:val="BodyText"/>
            </w:pPr>
            <w:r w:rsidRPr="00AB3FC6">
              <w:t>A range of assessment methods should be used to assess practical skills and knowledge. The following examples are appropriate to this unit:</w:t>
            </w:r>
          </w:p>
          <w:p w:rsidR="00000000" w:rsidRPr="00AB3FC6" w:rsidP="00AB3FC6">
            <w:pPr>
              <w:pStyle w:val="ListBullet"/>
            </w:pPr>
            <w:r w:rsidRPr="00AB3FC6">
              <w:t>direct obser</w:t>
            </w:r>
            <w:r w:rsidRPr="00AB3FC6">
              <w:t>vation of the candidate undertaking anti-dumping and/or countervailing assessments</w:t>
            </w:r>
          </w:p>
          <w:p w:rsidR="00000000" w:rsidRPr="00AB3FC6" w:rsidP="00AB3FC6">
            <w:pPr>
              <w:pStyle w:val="ListBullet"/>
            </w:pPr>
            <w:r w:rsidRPr="00AB3FC6">
              <w:t>direct observation of the candidate applying relevant Dumping Commodities Register information to work practices</w:t>
            </w:r>
          </w:p>
          <w:p w:rsidR="00000000" w:rsidRPr="00AB3FC6" w:rsidP="00AB3FC6">
            <w:pPr>
              <w:pStyle w:val="ListBullet"/>
            </w:pPr>
            <w:r w:rsidRPr="00AB3FC6">
              <w:t>performance and/or knowledge questions.</w:t>
            </w:r>
          </w:p>
        </w:tc>
      </w:tr>
    </w:tbl>
    <w:p w:rsidR="00000000" w:rsidRPr="00AB3FC6" w:rsidP="00AB3FC6">
      <w:pPr>
        <w:pStyle w:val="BodyText"/>
      </w:pPr>
    </w:p>
    <w:p w:rsidR="00000000" w:rsidRPr="00AB3FC6" w:rsidP="00AB3FC6">
      <w:pPr>
        <w:pStyle w:val="AllowPageBreak"/>
      </w:pPr>
    </w:p>
    <w:p w:rsidR="00000000" w:rsidRPr="00AB3FC6" w:rsidP="00AB3FC6">
      <w:pPr>
        <w:pStyle w:val="Heading1"/>
      </w:pPr>
      <w:bookmarkStart w:id="11" w:name="O_628208"/>
      <w:bookmarkEnd w:id="11"/>
      <w:r w:rsidRPr="00AB3FC6">
        <w:t>R</w:t>
      </w:r>
      <w:r w:rsidRPr="00AB3FC6">
        <w:t>ange Statement</w:t>
      </w:r>
    </w:p>
    <w:tbl>
      <w:tblPr>
        <w:tblW w:w="0" w:type="auto"/>
        <w:tblCellMar>
          <w:left w:w="62" w:type="dxa"/>
          <w:right w:w="62" w:type="dxa"/>
        </w:tblCellMar>
        <w:tblLook w:val="0000"/>
      </w:tblPr>
      <w:tblGrid>
        <w:gridCol w:w="2402"/>
        <w:gridCol w:w="6794"/>
      </w:tblGrid>
      <w:tr w:rsidTr="004430B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B3FC6">
            <w:pPr>
              <w:pStyle w:val="BodyText"/>
              <w:rPr>
                <w:lang w:val="en-NZ"/>
              </w:rPr>
            </w:pPr>
            <w:r w:rsidRPr="00AB3FC6">
              <w:t>The range statement relates to the unit of competency as a whole. It allows for different work environments and situations that may affect performance.</w:t>
            </w:r>
          </w:p>
        </w:tc>
      </w:tr>
      <w:tr w:rsidTr="004430B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B3FC6">
            <w:pPr>
              <w:pStyle w:val="BodyText"/>
              <w:rPr>
                <w:lang w:val="en-NZ"/>
              </w:rPr>
            </w:pPr>
            <w:r w:rsidRPr="00AB3FC6">
              <w:t>Applicable regulations and legislation may include:</w:t>
            </w:r>
          </w:p>
        </w:tc>
        <w:tc>
          <w:tcPr>
            <w:tcW w:w="0" w:type="auto"/>
            <w:tcBorders>
              <w:top w:val="nil"/>
              <w:left w:val="nil"/>
              <w:bottom w:val="nil"/>
              <w:right w:val="nil"/>
            </w:tcBorders>
            <w:tcMar>
              <w:top w:w="0" w:type="dxa"/>
              <w:left w:w="62" w:type="dxa"/>
              <w:bottom w:w="0" w:type="dxa"/>
              <w:right w:w="62" w:type="dxa"/>
            </w:tcMar>
          </w:tcPr>
          <w:p w:rsidR="00000000" w:rsidRPr="00AB3FC6" w:rsidP="00AB3FC6">
            <w:pPr>
              <w:pStyle w:val="ListBullet"/>
            </w:pPr>
            <w:r w:rsidRPr="00AB3FC6">
              <w:t xml:space="preserve">Customs Act 1901 </w:t>
            </w:r>
          </w:p>
          <w:p w:rsidR="00000000" w:rsidRPr="00AB3FC6" w:rsidP="00AB3FC6">
            <w:pPr>
              <w:pStyle w:val="ListBullet"/>
            </w:pPr>
            <w:r w:rsidRPr="00AB3FC6">
              <w:t>Customs Administration Act 1985</w:t>
            </w:r>
          </w:p>
          <w:p w:rsidR="00000000" w:rsidRPr="00AB3FC6" w:rsidP="00AB3FC6">
            <w:pPr>
              <w:pStyle w:val="ListBullet"/>
            </w:pPr>
            <w:r w:rsidRPr="00AB3FC6">
              <w:t xml:space="preserve">Customs Regulations 1926 </w:t>
            </w:r>
          </w:p>
          <w:p w:rsidR="00000000" w:rsidRPr="00AB3FC6" w:rsidP="00AB3FC6">
            <w:pPr>
              <w:pStyle w:val="ListBullet"/>
            </w:pPr>
            <w:r w:rsidRPr="00AB3FC6">
              <w:t>Customs Tariff (Anti-Dumping) Act 1975</w:t>
            </w:r>
          </w:p>
          <w:p w:rsidR="00000000" w:rsidP="00AB3FC6">
            <w:pPr>
              <w:pStyle w:val="ListBullet"/>
              <w:rPr>
                <w:lang w:val="en-NZ"/>
              </w:rPr>
            </w:pPr>
            <w:r w:rsidRPr="00AB3FC6">
              <w:t>Customs Tariff (Anti-Dumping) Regulations 2013</w:t>
            </w:r>
          </w:p>
        </w:tc>
      </w:tr>
      <w:tr w:rsidTr="004430B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B3FC6">
            <w:pPr>
              <w:pStyle w:val="BodyText"/>
              <w:rPr>
                <w:lang w:val="en-NZ"/>
              </w:rPr>
            </w:pPr>
            <w:r w:rsidRPr="00AB3FC6">
              <w:t>Documents may include:</w:t>
            </w:r>
          </w:p>
        </w:tc>
        <w:tc>
          <w:tcPr>
            <w:tcW w:w="0" w:type="auto"/>
            <w:tcBorders>
              <w:top w:val="nil"/>
              <w:left w:val="nil"/>
              <w:bottom w:val="nil"/>
              <w:right w:val="nil"/>
            </w:tcBorders>
            <w:tcMar>
              <w:top w:w="0" w:type="dxa"/>
              <w:left w:w="62" w:type="dxa"/>
              <w:bottom w:w="0" w:type="dxa"/>
              <w:right w:w="62" w:type="dxa"/>
            </w:tcMar>
          </w:tcPr>
          <w:p w:rsidR="00000000" w:rsidP="00AB3FC6">
            <w:pPr>
              <w:pStyle w:val="ListBullet"/>
              <w:rPr>
                <w:lang w:val="en-NZ"/>
              </w:rPr>
            </w:pPr>
            <w:r w:rsidRPr="00AB3FC6">
              <w:t>Dumping Commodity Register</w:t>
            </w:r>
          </w:p>
        </w:tc>
      </w:tr>
      <w:tr w:rsidTr="004430BE">
        <w:tblPrEx>
          <w:tblW w:w="0" w:type="auto"/>
          <w:tblCellMar>
            <w:left w:w="62" w:type="dxa"/>
            <w:right w:w="62" w:type="dxa"/>
          </w:tblCellMar>
          <w:tblLook w:val="0000"/>
        </w:tblPrEx>
        <w:trPr>
          <w:trHeight w:val="241"/>
        </w:trPr>
        <w:tc>
          <w:tcPr>
            <w:tcW w:w="0" w:type="auto"/>
            <w:tcBorders>
              <w:top w:val="nil"/>
              <w:left w:val="nil"/>
              <w:bottom w:val="nil"/>
              <w:right w:val="nil"/>
            </w:tcBorders>
            <w:tcMar>
              <w:top w:w="0" w:type="dxa"/>
              <w:left w:w="62" w:type="dxa"/>
              <w:bottom w:w="0" w:type="dxa"/>
              <w:right w:w="62" w:type="dxa"/>
            </w:tcMar>
          </w:tcPr>
          <w:p w:rsidR="00000000" w:rsidP="00AB3FC6">
            <w:pPr>
              <w:pStyle w:val="BodyText"/>
              <w:rPr>
                <w:lang w:val="en-NZ"/>
              </w:rPr>
            </w:pPr>
            <w:r w:rsidRPr="00AB3FC6">
              <w:t>Work may be conducted:</w:t>
            </w:r>
          </w:p>
        </w:tc>
        <w:tc>
          <w:tcPr>
            <w:tcW w:w="0" w:type="auto"/>
            <w:tcBorders>
              <w:top w:val="nil"/>
              <w:left w:val="nil"/>
              <w:bottom w:val="nil"/>
              <w:right w:val="nil"/>
            </w:tcBorders>
            <w:tcMar>
              <w:top w:w="0" w:type="dxa"/>
              <w:left w:w="62" w:type="dxa"/>
              <w:bottom w:w="0" w:type="dxa"/>
              <w:right w:w="62" w:type="dxa"/>
            </w:tcMar>
          </w:tcPr>
          <w:p w:rsidR="00000000" w:rsidRPr="00AB3FC6" w:rsidP="00AB3FC6">
            <w:pPr>
              <w:pStyle w:val="ListBullet"/>
            </w:pPr>
            <w:r w:rsidRPr="00AB3FC6">
              <w:t>by day or night</w:t>
            </w:r>
          </w:p>
          <w:p w:rsidR="00000000" w:rsidP="00AB3FC6">
            <w:pPr>
              <w:pStyle w:val="ListBullet"/>
              <w:rPr>
                <w:lang w:val="en-NZ"/>
              </w:rPr>
            </w:pPr>
            <w:r w:rsidRPr="00AB3FC6">
              <w:t>in a range of work environments</w:t>
            </w:r>
          </w:p>
        </w:tc>
      </w:tr>
      <w:tr w:rsidTr="004430B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B3FC6">
            <w:pPr>
              <w:pStyle w:val="BodyText"/>
              <w:rPr>
                <w:lang w:val="en-NZ"/>
              </w:rPr>
            </w:pPr>
            <w:r w:rsidRPr="00AB3FC6">
              <w:t>Clients may be:</w:t>
            </w:r>
          </w:p>
        </w:tc>
        <w:tc>
          <w:tcPr>
            <w:tcW w:w="0" w:type="auto"/>
            <w:tcBorders>
              <w:top w:val="nil"/>
              <w:left w:val="nil"/>
              <w:bottom w:val="nil"/>
              <w:right w:val="nil"/>
            </w:tcBorders>
            <w:tcMar>
              <w:top w:w="0" w:type="dxa"/>
              <w:left w:w="62" w:type="dxa"/>
              <w:bottom w:w="0" w:type="dxa"/>
              <w:right w:w="62" w:type="dxa"/>
            </w:tcMar>
          </w:tcPr>
          <w:p w:rsidR="00000000" w:rsidRPr="00AB3FC6" w:rsidP="00AB3FC6">
            <w:pPr>
              <w:pStyle w:val="ListBullet"/>
            </w:pPr>
            <w:r w:rsidRPr="00AB3FC6">
              <w:t>external</w:t>
            </w:r>
          </w:p>
          <w:p w:rsidR="00000000" w:rsidP="00AB3FC6">
            <w:pPr>
              <w:pStyle w:val="ListBullet"/>
              <w:rPr>
                <w:lang w:val="en-NZ"/>
              </w:rPr>
            </w:pPr>
            <w:r w:rsidRPr="00AB3FC6">
              <w:t>internal</w:t>
            </w:r>
          </w:p>
        </w:tc>
      </w:tr>
      <w:tr w:rsidTr="004430B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B3FC6">
            <w:pPr>
              <w:pStyle w:val="BodyText"/>
              <w:rPr>
                <w:lang w:val="en-NZ"/>
              </w:rPr>
            </w:pPr>
            <w:r w:rsidRPr="00AB3FC6">
              <w:t>Workplaces may comprise:</w:t>
            </w:r>
          </w:p>
        </w:tc>
        <w:tc>
          <w:tcPr>
            <w:tcW w:w="0" w:type="auto"/>
            <w:tcBorders>
              <w:top w:val="nil"/>
              <w:left w:val="nil"/>
              <w:bottom w:val="nil"/>
              <w:right w:val="nil"/>
            </w:tcBorders>
            <w:tcMar>
              <w:top w:w="0" w:type="dxa"/>
              <w:left w:w="62" w:type="dxa"/>
              <w:bottom w:w="0" w:type="dxa"/>
              <w:right w:w="62" w:type="dxa"/>
            </w:tcMar>
          </w:tcPr>
          <w:p w:rsidR="00000000" w:rsidRPr="00AB3FC6" w:rsidP="00AB3FC6">
            <w:pPr>
              <w:pStyle w:val="ListBullet"/>
            </w:pPr>
            <w:r w:rsidRPr="00AB3FC6">
              <w:t>large</w:t>
            </w:r>
          </w:p>
          <w:p w:rsidR="00000000" w:rsidRPr="00AB3FC6" w:rsidP="00AB3FC6">
            <w:pPr>
              <w:pStyle w:val="ListBullet"/>
            </w:pPr>
            <w:r w:rsidRPr="00AB3FC6">
              <w:t>medium</w:t>
            </w:r>
          </w:p>
          <w:p w:rsidR="00000000" w:rsidRPr="00AB3FC6" w:rsidP="00AB3FC6">
            <w:pPr>
              <w:pStyle w:val="ListBullet"/>
            </w:pPr>
            <w:r w:rsidRPr="00AB3FC6">
              <w:t>small worksites</w:t>
            </w:r>
          </w:p>
        </w:tc>
      </w:tr>
    </w:tbl>
    <w:p w:rsidR="00000000" w:rsidRPr="00AB3FC6" w:rsidP="00AB3FC6">
      <w:pPr>
        <w:pStyle w:val="BodyText"/>
      </w:pPr>
    </w:p>
    <w:p w:rsidR="00000000" w:rsidRPr="00AB3FC6" w:rsidP="00AB3FC6">
      <w:pPr>
        <w:pStyle w:val="AllowPageBreak"/>
      </w:pPr>
    </w:p>
    <w:p w:rsidR="00000000" w:rsidRPr="00AB3FC6" w:rsidP="00AB3FC6">
      <w:pPr>
        <w:pStyle w:val="Heading1"/>
      </w:pPr>
      <w:bookmarkStart w:id="12" w:name="O_628209"/>
      <w:bookmarkEnd w:id="12"/>
      <w:r w:rsidRPr="00AB3FC6">
        <w:t>Unit Sector(s)</w:t>
      </w:r>
    </w:p>
    <w:p w:rsidR="00000000" w:rsidRPr="00AB3FC6" w:rsidP="00AB3FC6">
      <w:pPr>
        <w:pStyle w:val="BodyText"/>
      </w:pPr>
      <w:r w:rsidRPr="00AB3FC6">
        <w:t>Not applicable.</w:t>
      </w:r>
    </w:p>
    <w:p w:rsidR="00000000" w:rsidRPr="00AB3FC6" w:rsidP="00AB3FC6">
      <w:pPr>
        <w:pStyle w:val="AllowPageBreak"/>
      </w:pPr>
    </w:p>
    <w:p w:rsidR="00000000" w:rsidRPr="00AB3FC6" w:rsidP="00AB3FC6">
      <w:pPr>
        <w:pStyle w:val="Heading1"/>
      </w:pPr>
      <w:bookmarkStart w:id="13" w:name="O_628210"/>
      <w:bookmarkEnd w:id="13"/>
      <w:r w:rsidRPr="00AB3FC6">
        <w:t>Competency Field</w:t>
      </w:r>
    </w:p>
    <w:p w:rsidR="00000000" w:rsidRPr="00AB3FC6" w:rsidP="00AB3FC6">
      <w:pPr>
        <w:pStyle w:val="BodyText"/>
      </w:pPr>
      <w:r w:rsidRPr="00AB3FC6">
        <w:t>X – Logistics</w:t>
      </w:r>
    </w:p>
    <w:p w:rsidR="00000000" w:rsidRPr="00AB3FC6" w:rsidP="00AB3FC6"/>
    <w:sectPr w:rsidSect="00AB3FC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F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FC6" w:rsidRPr="004430BE" w:rsidP="004430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F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0BE" w:rsidP="00AB3F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430BE" w:rsidP="00AB3FC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4430BE" w:rsidP="00AB3FC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F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FC6" w:rsidRPr="004430BE" w:rsidP="004430B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F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0BE" w:rsidRPr="002D2AF8" w:rsidP="00AB3FC6">
    <w:pPr>
      <w:pStyle w:val="Header"/>
      <w:framePr w:wrap="around"/>
    </w:pPr>
    <w:r>
      <w:fldChar w:fldCharType="begin"/>
    </w:r>
    <w:r>
      <w:instrText xml:space="preserve"> TITLE   \* MERGEFORMAT </w:instrText>
    </w:r>
    <w:r>
      <w:fldChar w:fldCharType="separate"/>
    </w:r>
    <w:r>
      <w:t>TLIX5055A Apply anti-dumping and countervailing measures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2013</w:t>
    </w:r>
    <w:r>
      <w:fldChar w:fldCharType="end"/>
    </w:r>
  </w:p>
  <w:p w:rsidR="004430BE" w:rsidP="00AB3F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2C6E9C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E6C04D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3F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3FC6"/>
    <w:pPr>
      <w:spacing w:before="360" w:after="60"/>
      <w:outlineLvl w:val="0"/>
    </w:pPr>
    <w:rPr>
      <w:sz w:val="32"/>
    </w:rPr>
  </w:style>
  <w:style w:type="paragraph" w:styleId="Heading2">
    <w:name w:val="heading 2"/>
    <w:basedOn w:val="HeadingBase"/>
    <w:next w:val="BodyText"/>
    <w:link w:val="Heading2Char"/>
    <w:qFormat/>
    <w:rsid w:val="00AB3FC6"/>
    <w:pPr>
      <w:keepLines/>
      <w:spacing w:before="240" w:after="120"/>
      <w:outlineLvl w:val="1"/>
    </w:pPr>
    <w:rPr>
      <w:sz w:val="28"/>
      <w:szCs w:val="40"/>
    </w:rPr>
  </w:style>
  <w:style w:type="paragraph" w:styleId="Heading3">
    <w:name w:val="heading 3"/>
    <w:basedOn w:val="HeadingBase"/>
    <w:next w:val="BodyText"/>
    <w:link w:val="Heading3Char"/>
    <w:qFormat/>
    <w:rsid w:val="00AB3FC6"/>
    <w:pPr>
      <w:spacing w:before="180" w:after="120"/>
      <w:outlineLvl w:val="2"/>
    </w:pPr>
    <w:rPr>
      <w:spacing w:val="-10"/>
      <w:kern w:val="32"/>
    </w:rPr>
  </w:style>
  <w:style w:type="paragraph" w:styleId="Heading4">
    <w:name w:val="heading 4"/>
    <w:basedOn w:val="HeadingBase"/>
    <w:next w:val="BodyText"/>
    <w:link w:val="Heading4Char"/>
    <w:qFormat/>
    <w:rsid w:val="00AB3FC6"/>
    <w:pPr>
      <w:spacing w:before="160" w:after="120"/>
      <w:outlineLvl w:val="3"/>
    </w:pPr>
    <w:rPr>
      <w:sz w:val="22"/>
    </w:rPr>
  </w:style>
  <w:style w:type="paragraph" w:styleId="Heading5">
    <w:name w:val="heading 5"/>
    <w:basedOn w:val="HeadingBase"/>
    <w:next w:val="Normal"/>
    <w:link w:val="Heading5Char"/>
    <w:qFormat/>
    <w:rsid w:val="00AB3FC6"/>
    <w:pPr>
      <w:spacing w:before="80"/>
      <w:outlineLvl w:val="4"/>
    </w:pPr>
    <w:rPr>
      <w:color w:val="918585"/>
      <w:sz w:val="20"/>
    </w:rPr>
  </w:style>
  <w:style w:type="paragraph" w:styleId="Heading6">
    <w:name w:val="heading 6"/>
    <w:basedOn w:val="HeadingBase"/>
    <w:next w:val="Normal"/>
    <w:link w:val="Heading6Char"/>
    <w:qFormat/>
    <w:rsid w:val="00AB3FC6"/>
    <w:pPr>
      <w:spacing w:before="60"/>
      <w:outlineLvl w:val="5"/>
    </w:pPr>
    <w:rPr>
      <w:color w:val="918585"/>
      <w:sz w:val="20"/>
    </w:rPr>
  </w:style>
  <w:style w:type="paragraph" w:styleId="Heading7">
    <w:name w:val="heading 7"/>
    <w:basedOn w:val="Normal"/>
    <w:next w:val="Normal"/>
    <w:link w:val="Heading7Char"/>
    <w:qFormat/>
    <w:rsid w:val="00AB3FC6"/>
    <w:pPr>
      <w:ind w:left="720"/>
      <w:outlineLvl w:val="6"/>
    </w:pPr>
    <w:rPr>
      <w:i/>
    </w:rPr>
  </w:style>
  <w:style w:type="paragraph" w:styleId="Heading8">
    <w:name w:val="heading 8"/>
    <w:basedOn w:val="Normal"/>
    <w:next w:val="Normal"/>
    <w:link w:val="Heading8Char"/>
    <w:qFormat/>
    <w:rsid w:val="00AB3FC6"/>
    <w:pPr>
      <w:ind w:left="720"/>
      <w:outlineLvl w:val="7"/>
    </w:pPr>
    <w:rPr>
      <w:i/>
    </w:rPr>
  </w:style>
  <w:style w:type="paragraph" w:styleId="Heading9">
    <w:name w:val="heading 9"/>
    <w:basedOn w:val="Normal"/>
    <w:next w:val="Normal"/>
    <w:link w:val="Heading9Char"/>
    <w:qFormat/>
    <w:rsid w:val="00AB3FC6"/>
    <w:pPr>
      <w:ind w:left="720"/>
      <w:outlineLvl w:val="8"/>
    </w:pPr>
    <w:rPr>
      <w:i/>
    </w:rPr>
  </w:style>
  <w:style w:type="character" w:default="1" w:styleId="DefaultParagraphFont">
    <w:name w:val="Default Paragraph Font"/>
    <w:uiPriority w:val="1"/>
    <w:unhideWhenUsed/>
    <w:rsid w:val="00AB3F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3FC6"/>
  </w:style>
  <w:style w:type="character" w:customStyle="1" w:styleId="Heading1Char">
    <w:name w:val="Heading 1 Char"/>
    <w:basedOn w:val="DefaultParagraphFont"/>
    <w:link w:val="Heading1"/>
    <w:rsid w:val="00AB3FC6"/>
    <w:rPr>
      <w:rFonts w:ascii="Times New Roman" w:eastAsia="Times New Roman" w:hAnsi="Times New Roman" w:cs="Times New Roman"/>
      <w:b/>
      <w:sz w:val="32"/>
      <w:szCs w:val="20"/>
      <w:lang w:eastAsia="en-US"/>
    </w:rPr>
  </w:style>
  <w:style w:type="paragraph" w:styleId="BodyText">
    <w:name w:val="Body Text"/>
    <w:basedOn w:val="Normal"/>
    <w:link w:val="BodyTextChar"/>
    <w:rsid w:val="00AB3FC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B3FC6"/>
    <w:rPr>
      <w:rFonts w:ascii="Times New Roman" w:eastAsia="Times New Roman" w:hAnsi="Times New Roman" w:cs="Times New Roman"/>
      <w:sz w:val="24"/>
      <w:lang w:eastAsia="en-US"/>
    </w:rPr>
  </w:style>
  <w:style w:type="paragraph" w:styleId="ListBullet">
    <w:name w:val="List Bullet"/>
    <w:basedOn w:val="List"/>
    <w:rsid w:val="00AB3FC6"/>
    <w:pPr>
      <w:numPr>
        <w:numId w:val="12"/>
      </w:numPr>
      <w:tabs>
        <w:tab w:val="clear" w:pos="340"/>
      </w:tabs>
      <w:spacing w:before="40" w:after="40"/>
    </w:pPr>
  </w:style>
  <w:style w:type="character" w:customStyle="1" w:styleId="SpecialBold">
    <w:name w:val="Special Bold"/>
    <w:basedOn w:val="DefaultParagraphFont"/>
    <w:rsid w:val="00AB3FC6"/>
    <w:rPr>
      <w:b/>
      <w:spacing w:val="0"/>
    </w:rPr>
  </w:style>
  <w:style w:type="paragraph" w:customStyle="1" w:styleId="SuperHeading">
    <w:name w:val="SuperHeading"/>
    <w:basedOn w:val="Normal"/>
    <w:rsid w:val="00AB3FC6"/>
    <w:pPr>
      <w:spacing w:before="240" w:after="120"/>
      <w:outlineLvl w:val="0"/>
    </w:pPr>
    <w:rPr>
      <w:rFonts w:ascii="Times New Roman" w:hAnsi="Times New Roman"/>
      <w:b/>
      <w:sz w:val="32"/>
    </w:rPr>
  </w:style>
  <w:style w:type="paragraph" w:customStyle="1" w:styleId="AllowPageBreak">
    <w:name w:val="AllowPageBreak"/>
    <w:rsid w:val="00AB3FC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B3F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3F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3F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3F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3F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3F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3F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3FC6"/>
    <w:rPr>
      <w:rFonts w:ascii="Courier New" w:eastAsia="Times New Roman" w:hAnsi="Courier New" w:cs="Times New Roman"/>
      <w:i/>
      <w:szCs w:val="20"/>
      <w:lang w:eastAsia="en-US"/>
    </w:rPr>
  </w:style>
  <w:style w:type="paragraph" w:customStyle="1" w:styleId="HeadingBase">
    <w:name w:val="Heading Base"/>
    <w:rsid w:val="00AB3F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3FC6"/>
    <w:pPr>
      <w:tabs>
        <w:tab w:val="right" w:leader="dot" w:pos="9072"/>
      </w:tabs>
      <w:ind w:left="567"/>
    </w:pPr>
    <w:rPr>
      <w:szCs w:val="22"/>
    </w:rPr>
  </w:style>
  <w:style w:type="paragraph" w:customStyle="1" w:styleId="TOCBase">
    <w:name w:val="TOC Base"/>
    <w:rsid w:val="00AB3F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3FC6"/>
    <w:pPr>
      <w:tabs>
        <w:tab w:val="right" w:leader="dot" w:pos="9072"/>
      </w:tabs>
      <w:spacing w:before="40" w:after="40"/>
      <w:ind w:left="284"/>
    </w:pPr>
    <w:rPr>
      <w:rFonts w:ascii="Times New Roman" w:hAnsi="Times New Roman"/>
    </w:rPr>
  </w:style>
  <w:style w:type="paragraph" w:styleId="TOC1">
    <w:name w:val="toc 1"/>
    <w:basedOn w:val="TOCBase"/>
    <w:next w:val="Normal"/>
    <w:rsid w:val="00AB3F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B3F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3FC6"/>
    <w:rPr>
      <w:rFonts w:ascii="Times New Roman" w:eastAsia="Times New Roman" w:hAnsi="Times New Roman" w:cs="Times New Roman"/>
      <w:sz w:val="16"/>
      <w:lang w:eastAsia="en-US"/>
    </w:rPr>
  </w:style>
  <w:style w:type="paragraph" w:styleId="Title">
    <w:name w:val="Title"/>
    <w:basedOn w:val="HeadingBase"/>
    <w:link w:val="TitleChar"/>
    <w:qFormat/>
    <w:rsid w:val="00AB3FC6"/>
    <w:pPr>
      <w:spacing w:before="5040"/>
      <w:jc w:val="center"/>
    </w:pPr>
    <w:rPr>
      <w:sz w:val="48"/>
      <w:szCs w:val="72"/>
      <w:lang w:val="en-US"/>
    </w:rPr>
  </w:style>
  <w:style w:type="character" w:customStyle="1" w:styleId="TitleChar">
    <w:name w:val="Title Char"/>
    <w:basedOn w:val="DefaultParagraphFont"/>
    <w:link w:val="Title"/>
    <w:rsid w:val="00AB3F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3FC6"/>
    <w:pPr>
      <w:tabs>
        <w:tab w:val="left" w:pos="3600"/>
        <w:tab w:val="left" w:pos="3958"/>
      </w:tabs>
    </w:pPr>
  </w:style>
  <w:style w:type="paragraph" w:styleId="List">
    <w:name w:val="List"/>
    <w:basedOn w:val="BodyText"/>
    <w:next w:val="BodyText"/>
    <w:rsid w:val="00AB3FC6"/>
    <w:pPr>
      <w:tabs>
        <w:tab w:val="left" w:pos="340"/>
      </w:tabs>
      <w:spacing w:before="60" w:after="60"/>
      <w:ind w:left="340" w:hanging="340"/>
    </w:pPr>
  </w:style>
  <w:style w:type="paragraph" w:customStyle="1" w:styleId="Note">
    <w:name w:val="Note"/>
    <w:basedOn w:val="BodyText"/>
    <w:rsid w:val="00AB3F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3FC6"/>
    <w:pPr>
      <w:framePr w:wrap="auto" w:hAnchor="text" w:y="6049"/>
    </w:pPr>
    <w:rPr>
      <w:color w:val="000000"/>
      <w:sz w:val="40"/>
    </w:rPr>
  </w:style>
  <w:style w:type="paragraph" w:customStyle="1" w:styleId="TOCTitle">
    <w:name w:val="TOCTitle"/>
    <w:basedOn w:val="Heading1"/>
    <w:rsid w:val="00AB3FC6"/>
    <w:pPr>
      <w:spacing w:after="240"/>
      <w:jc w:val="center"/>
      <w:outlineLvl w:val="9"/>
    </w:pPr>
    <w:rPr>
      <w:caps/>
    </w:rPr>
  </w:style>
  <w:style w:type="paragraph" w:customStyle="1" w:styleId="Version">
    <w:name w:val="Version"/>
    <w:rsid w:val="00AB3FC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B3FC6"/>
    <w:pPr>
      <w:numPr>
        <w:numId w:val="13"/>
      </w:numPr>
      <w:tabs>
        <w:tab w:val="clear" w:pos="680"/>
      </w:tabs>
    </w:pPr>
  </w:style>
  <w:style w:type="paragraph" w:styleId="Index1">
    <w:name w:val="index 1"/>
    <w:basedOn w:val="Normal"/>
    <w:next w:val="Normal"/>
    <w:semiHidden/>
    <w:rsid w:val="00AB3FC6"/>
    <w:pPr>
      <w:keepNext w:val="0"/>
      <w:tabs>
        <w:tab w:val="right" w:pos="4176"/>
      </w:tabs>
      <w:ind w:left="198" w:hanging="198"/>
    </w:pPr>
    <w:rPr>
      <w:rFonts w:ascii="Garamond" w:hAnsi="Garamond"/>
    </w:rPr>
  </w:style>
  <w:style w:type="paragraph" w:styleId="IndexHeading">
    <w:name w:val="index heading"/>
    <w:basedOn w:val="Normal"/>
    <w:next w:val="Index1"/>
    <w:semiHidden/>
    <w:rsid w:val="00AB3FC6"/>
    <w:pPr>
      <w:spacing w:before="120" w:after="120"/>
    </w:pPr>
    <w:rPr>
      <w:rFonts w:ascii="Arial" w:hAnsi="Arial"/>
      <w:b/>
      <w:color w:val="918585"/>
      <w:sz w:val="24"/>
    </w:rPr>
  </w:style>
  <w:style w:type="paragraph" w:styleId="Header">
    <w:name w:val="header"/>
    <w:basedOn w:val="Normal"/>
    <w:link w:val="HeaderChar"/>
    <w:rsid w:val="00AB3F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3FC6"/>
    <w:rPr>
      <w:rFonts w:ascii="Times New Roman" w:eastAsia="Times New Roman" w:hAnsi="Times New Roman" w:cs="Times New Roman"/>
      <w:sz w:val="16"/>
      <w:szCs w:val="20"/>
      <w:lang w:val="en-GB" w:eastAsia="en-US"/>
    </w:rPr>
  </w:style>
  <w:style w:type="paragraph" w:customStyle="1" w:styleId="Chapter">
    <w:name w:val="Chapter"/>
    <w:basedOn w:val="Normal"/>
    <w:rsid w:val="00AB3FC6"/>
    <w:pPr>
      <w:spacing w:before="240"/>
    </w:pPr>
    <w:rPr>
      <w:rFonts w:ascii="Times New Roman" w:hAnsi="Times New Roman"/>
      <w:smallCaps/>
      <w:spacing w:val="80"/>
      <w:sz w:val="28"/>
    </w:rPr>
  </w:style>
  <w:style w:type="paragraph" w:customStyle="1" w:styleId="InChapter">
    <w:name w:val="InChapter"/>
    <w:basedOn w:val="Heading3"/>
    <w:rsid w:val="00AB3FC6"/>
    <w:pPr>
      <w:spacing w:after="240"/>
      <w:outlineLvl w:val="9"/>
    </w:pPr>
    <w:rPr>
      <w:noProof/>
    </w:rPr>
  </w:style>
  <w:style w:type="paragraph" w:styleId="Index2">
    <w:name w:val="index 2"/>
    <w:basedOn w:val="Normal"/>
    <w:next w:val="Normal"/>
    <w:semiHidden/>
    <w:rsid w:val="00AB3FC6"/>
    <w:pPr>
      <w:tabs>
        <w:tab w:val="right" w:pos="4176"/>
      </w:tabs>
      <w:ind w:left="568" w:hanging="284"/>
    </w:pPr>
    <w:rPr>
      <w:rFonts w:ascii="Garamond" w:hAnsi="Garamond"/>
    </w:rPr>
  </w:style>
  <w:style w:type="paragraph" w:customStyle="1" w:styleId="Byline">
    <w:name w:val="Byline"/>
    <w:rsid w:val="00AB3F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3FC6"/>
    <w:pPr>
      <w:tabs>
        <w:tab w:val="clear" w:pos="3600"/>
        <w:tab w:val="clear" w:pos="3958"/>
      </w:tabs>
      <w:jc w:val="right"/>
    </w:pPr>
  </w:style>
  <w:style w:type="character" w:styleId="Emphasis">
    <w:name w:val="Emphasis"/>
    <w:basedOn w:val="DefaultParagraphFont"/>
    <w:qFormat/>
    <w:rsid w:val="00AB3FC6"/>
    <w:rPr>
      <w:i/>
    </w:rPr>
  </w:style>
  <w:style w:type="paragraph" w:styleId="Caption">
    <w:name w:val="caption"/>
    <w:basedOn w:val="BodyText"/>
    <w:next w:val="Normal"/>
    <w:qFormat/>
    <w:rsid w:val="00AB3FC6"/>
    <w:pPr>
      <w:framePr w:w="2268" w:hSpace="181" w:vSpace="181" w:wrap="around" w:vAnchor="text" w:hAnchor="page" w:x="1135" w:y="285" w:anchorLock="1"/>
    </w:pPr>
    <w:rPr>
      <w:i/>
    </w:rPr>
  </w:style>
  <w:style w:type="paragraph" w:customStyle="1" w:styleId="MiniTOCTitle">
    <w:name w:val="MiniTOCTitle"/>
    <w:basedOn w:val="Heading4"/>
    <w:rsid w:val="00AB3FC6"/>
    <w:pPr>
      <w:spacing w:before="240"/>
      <w:outlineLvl w:val="9"/>
    </w:pPr>
    <w:rPr>
      <w:noProof/>
      <w:sz w:val="24"/>
    </w:rPr>
  </w:style>
  <w:style w:type="paragraph" w:customStyle="1" w:styleId="MiniTOCItem">
    <w:name w:val="MiniTOCItem"/>
    <w:basedOn w:val="ListBullet"/>
    <w:rsid w:val="00AB3FC6"/>
    <w:pPr>
      <w:numPr>
        <w:numId w:val="0"/>
      </w:numPr>
      <w:tabs>
        <w:tab w:val="right" w:leader="dot" w:pos="6521"/>
      </w:tabs>
      <w:spacing w:before="0" w:after="0"/>
    </w:pPr>
  </w:style>
  <w:style w:type="paragraph" w:customStyle="1" w:styleId="TOFTitle">
    <w:name w:val="TOFTitle"/>
    <w:basedOn w:val="TOCTitle"/>
    <w:rsid w:val="00AB3FC6"/>
  </w:style>
  <w:style w:type="paragraph" w:styleId="TableofFigures">
    <w:name w:val="table of figures"/>
    <w:basedOn w:val="Normal"/>
    <w:next w:val="Normal"/>
    <w:semiHidden/>
    <w:rsid w:val="00AB3FC6"/>
    <w:pPr>
      <w:tabs>
        <w:tab w:val="right" w:leader="dot" w:pos="9072"/>
      </w:tabs>
      <w:ind w:left="970" w:hanging="403"/>
    </w:pPr>
    <w:rPr>
      <w:rFonts w:ascii="Times New Roman" w:hAnsi="Times New Roman"/>
      <w:b/>
    </w:rPr>
  </w:style>
  <w:style w:type="paragraph" w:styleId="ListNumber">
    <w:name w:val="List Number"/>
    <w:basedOn w:val="List"/>
    <w:rsid w:val="00AB3FC6"/>
    <w:pPr>
      <w:numPr>
        <w:numId w:val="10"/>
      </w:numPr>
    </w:pPr>
  </w:style>
  <w:style w:type="character" w:customStyle="1" w:styleId="WingdingSymbols">
    <w:name w:val="Wingding Symbols"/>
    <w:rsid w:val="00AB3FC6"/>
    <w:rPr>
      <w:rFonts w:ascii="Wingdings" w:hAnsi="Wingdings"/>
    </w:rPr>
  </w:style>
  <w:style w:type="paragraph" w:customStyle="1" w:styleId="TableHeading">
    <w:name w:val="Table Heading"/>
    <w:basedOn w:val="HeadingBase"/>
    <w:rsid w:val="00AB3FC6"/>
    <w:pPr>
      <w:keepLines/>
      <w:pBdr>
        <w:bottom w:val="single" w:sz="6" w:space="1" w:color="918585"/>
      </w:pBdr>
      <w:spacing w:before="240"/>
    </w:pPr>
  </w:style>
  <w:style w:type="character" w:customStyle="1" w:styleId="HotSpot">
    <w:name w:val="HotSpot"/>
    <w:rsid w:val="00AB3FC6"/>
    <w:rPr>
      <w:color w:val="0033CC"/>
      <w:u w:val="none"/>
    </w:rPr>
  </w:style>
  <w:style w:type="paragraph" w:customStyle="1" w:styleId="BodyTextRight">
    <w:name w:val="Body Text Right"/>
    <w:basedOn w:val="BodyText"/>
    <w:rsid w:val="00AB3FC6"/>
    <w:pPr>
      <w:spacing w:before="0" w:after="0"/>
      <w:jc w:val="right"/>
    </w:pPr>
  </w:style>
  <w:style w:type="paragraph" w:styleId="Index3">
    <w:name w:val="index 3"/>
    <w:basedOn w:val="ListNumber2"/>
    <w:next w:val="Normal"/>
    <w:semiHidden/>
    <w:rsid w:val="00AB3FC6"/>
    <w:pPr>
      <w:numPr>
        <w:numId w:val="0"/>
      </w:numPr>
      <w:tabs>
        <w:tab w:val="right" w:leader="dot" w:pos="4176"/>
      </w:tabs>
    </w:pPr>
  </w:style>
  <w:style w:type="paragraph" w:styleId="ListNumber2">
    <w:name w:val="List Number 2"/>
    <w:basedOn w:val="List2"/>
    <w:rsid w:val="00AB3FC6"/>
    <w:pPr>
      <w:numPr>
        <w:numId w:val="9"/>
      </w:numPr>
      <w:tabs>
        <w:tab w:val="clear" w:pos="1060"/>
      </w:tabs>
    </w:pPr>
  </w:style>
  <w:style w:type="paragraph" w:customStyle="1" w:styleId="MarginNote">
    <w:name w:val="Margin Note"/>
    <w:basedOn w:val="BodyText"/>
    <w:rsid w:val="00AB3F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3F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3F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3FC6"/>
    <w:rPr>
      <w:sz w:val="32"/>
    </w:rPr>
  </w:style>
  <w:style w:type="paragraph" w:customStyle="1" w:styleId="HeadingProcedure">
    <w:name w:val="Heading Procedure"/>
    <w:basedOn w:val="HeadingBase"/>
    <w:next w:val="Normal"/>
    <w:rsid w:val="00AB3FC6"/>
    <w:pPr>
      <w:tabs>
        <w:tab w:val="left" w:pos="0"/>
      </w:tabs>
      <w:spacing w:before="120" w:after="60"/>
    </w:pPr>
    <w:rPr>
      <w:i/>
      <w:color w:val="918585"/>
      <w:sz w:val="22"/>
    </w:rPr>
  </w:style>
  <w:style w:type="paragraph" w:customStyle="1" w:styleId="TableBodyText">
    <w:name w:val="Table Body Text"/>
    <w:basedOn w:val="BodyText"/>
    <w:rsid w:val="00AB3FC6"/>
    <w:pPr>
      <w:spacing w:before="60" w:after="60"/>
    </w:pPr>
  </w:style>
  <w:style w:type="paragraph" w:styleId="ListContinue">
    <w:name w:val="List Continue"/>
    <w:basedOn w:val="List"/>
    <w:rsid w:val="00AB3FC6"/>
    <w:pPr>
      <w:ind w:firstLine="0"/>
    </w:pPr>
  </w:style>
  <w:style w:type="paragraph" w:customStyle="1" w:styleId="ListNote">
    <w:name w:val="List Note"/>
    <w:basedOn w:val="List"/>
    <w:rsid w:val="00AB3FC6"/>
    <w:pPr>
      <w:pBdr>
        <w:top w:val="single" w:sz="6" w:space="2" w:color="918585"/>
        <w:bottom w:val="single" w:sz="6" w:space="2" w:color="918585"/>
      </w:pBdr>
      <w:tabs>
        <w:tab w:val="left" w:pos="1021"/>
      </w:tabs>
      <w:ind w:firstLine="0"/>
    </w:pPr>
  </w:style>
  <w:style w:type="paragraph" w:customStyle="1" w:styleId="Warning">
    <w:name w:val="Warning"/>
    <w:basedOn w:val="BodyText"/>
    <w:rsid w:val="00AB3FC6"/>
    <w:pPr>
      <w:shd w:val="clear" w:color="auto" w:fill="D9D9D9"/>
      <w:tabs>
        <w:tab w:val="left" w:pos="992"/>
      </w:tabs>
      <w:ind w:left="119" w:right="119"/>
    </w:pPr>
    <w:rPr>
      <w:sz w:val="20"/>
    </w:rPr>
  </w:style>
  <w:style w:type="paragraph" w:customStyle="1" w:styleId="MarginIcons">
    <w:name w:val="Margin Icons"/>
    <w:basedOn w:val="BodyText"/>
    <w:rsid w:val="00AB3F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3FC6"/>
    <w:rPr>
      <w:rFonts w:ascii="Courier New" w:hAnsi="Courier New"/>
    </w:rPr>
  </w:style>
  <w:style w:type="paragraph" w:customStyle="1" w:styleId="NoteBullet">
    <w:name w:val="Note Bullet"/>
    <w:basedOn w:val="Note"/>
    <w:rsid w:val="00AB3FC6"/>
    <w:pPr>
      <w:tabs>
        <w:tab w:val="clear" w:pos="680"/>
      </w:tabs>
      <w:spacing w:before="60" w:after="60"/>
    </w:pPr>
  </w:style>
  <w:style w:type="paragraph" w:customStyle="1" w:styleId="SubHeading2">
    <w:name w:val="SubHeading2"/>
    <w:basedOn w:val="HeadingBase"/>
    <w:rsid w:val="00AB3FC6"/>
    <w:pPr>
      <w:spacing w:before="240" w:after="60"/>
    </w:pPr>
    <w:rPr>
      <w:sz w:val="20"/>
    </w:rPr>
  </w:style>
  <w:style w:type="paragraph" w:customStyle="1" w:styleId="SubHeading1">
    <w:name w:val="SubHeading1"/>
    <w:basedOn w:val="HeadingBase"/>
    <w:rsid w:val="00AB3FC6"/>
    <w:pPr>
      <w:spacing w:before="240" w:after="60"/>
    </w:pPr>
    <w:rPr>
      <w:color w:val="918585"/>
      <w:sz w:val="22"/>
    </w:rPr>
  </w:style>
  <w:style w:type="paragraph" w:customStyle="1" w:styleId="SideHeading">
    <w:name w:val="Side Heading"/>
    <w:basedOn w:val="HeadingBase"/>
    <w:rsid w:val="00AB3F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3FC6"/>
    <w:pPr>
      <w:tabs>
        <w:tab w:val="num" w:pos="360"/>
      </w:tabs>
    </w:pPr>
  </w:style>
  <w:style w:type="paragraph" w:styleId="PlainText">
    <w:name w:val="Plain Text"/>
    <w:basedOn w:val="Normal"/>
    <w:link w:val="PlainTextChar"/>
    <w:rsid w:val="00AB3FC6"/>
    <w:rPr>
      <w:sz w:val="20"/>
    </w:rPr>
  </w:style>
  <w:style w:type="character" w:customStyle="1" w:styleId="PlainTextChar">
    <w:name w:val="Plain Text Char"/>
    <w:basedOn w:val="DefaultParagraphFont"/>
    <w:link w:val="PlainText"/>
    <w:rsid w:val="00AB3FC6"/>
    <w:rPr>
      <w:rFonts w:ascii="Courier New" w:eastAsia="Times New Roman" w:hAnsi="Courier New" w:cs="Times New Roman"/>
      <w:sz w:val="20"/>
      <w:szCs w:val="20"/>
      <w:lang w:eastAsia="en-US"/>
    </w:rPr>
  </w:style>
  <w:style w:type="character" w:customStyle="1" w:styleId="MenuOption">
    <w:name w:val="Menu Option"/>
    <w:basedOn w:val="DefaultParagraphFont"/>
    <w:rsid w:val="00AB3FC6"/>
    <w:rPr>
      <w:b/>
      <w:smallCaps/>
    </w:rPr>
  </w:style>
  <w:style w:type="paragraph" w:customStyle="1" w:styleId="TableListNumber">
    <w:name w:val="Table List Number"/>
    <w:basedOn w:val="ListNumber"/>
    <w:rsid w:val="00AB3FC6"/>
    <w:pPr>
      <w:numPr>
        <w:numId w:val="0"/>
      </w:numPr>
    </w:pPr>
  </w:style>
  <w:style w:type="paragraph" w:styleId="TOC4">
    <w:name w:val="toc 4"/>
    <w:basedOn w:val="TOCBase"/>
    <w:next w:val="Normal"/>
    <w:semiHidden/>
    <w:rsid w:val="00AB3FC6"/>
    <w:pPr>
      <w:tabs>
        <w:tab w:val="right" w:leader="dot" w:pos="9071"/>
      </w:tabs>
      <w:ind w:left="1701"/>
    </w:pPr>
  </w:style>
  <w:style w:type="paragraph" w:customStyle="1" w:styleId="ListAlpha">
    <w:name w:val="List Alpha"/>
    <w:basedOn w:val="List"/>
    <w:rsid w:val="00AB3FC6"/>
    <w:pPr>
      <w:numPr>
        <w:numId w:val="8"/>
      </w:numPr>
    </w:pPr>
  </w:style>
  <w:style w:type="paragraph" w:customStyle="1" w:styleId="ListAlpha2">
    <w:name w:val="List Alpha 2"/>
    <w:basedOn w:val="List2"/>
    <w:rsid w:val="00AB3FC6"/>
    <w:pPr>
      <w:numPr>
        <w:numId w:val="7"/>
      </w:numPr>
    </w:pPr>
  </w:style>
  <w:style w:type="paragraph" w:styleId="List2">
    <w:name w:val="List 2"/>
    <w:basedOn w:val="BodyText"/>
    <w:rsid w:val="00AB3FC6"/>
    <w:pPr>
      <w:tabs>
        <w:tab w:val="left" w:pos="680"/>
      </w:tabs>
      <w:spacing w:before="60" w:after="60"/>
      <w:ind w:left="680" w:hanging="340"/>
    </w:pPr>
  </w:style>
  <w:style w:type="paragraph" w:styleId="List3">
    <w:name w:val="List 3"/>
    <w:basedOn w:val="BodyText"/>
    <w:rsid w:val="00AB3FC6"/>
    <w:pPr>
      <w:tabs>
        <w:tab w:val="left" w:pos="1021"/>
      </w:tabs>
      <w:spacing w:before="60" w:after="60"/>
      <w:ind w:left="1020" w:hanging="340"/>
    </w:pPr>
  </w:style>
  <w:style w:type="paragraph" w:styleId="List4">
    <w:name w:val="List 4"/>
    <w:basedOn w:val="BodyText"/>
    <w:rsid w:val="00AB3FC6"/>
    <w:pPr>
      <w:tabs>
        <w:tab w:val="left" w:pos="1361"/>
      </w:tabs>
      <w:spacing w:before="60" w:after="60"/>
      <w:ind w:left="1361" w:hanging="340"/>
    </w:pPr>
  </w:style>
  <w:style w:type="paragraph" w:styleId="List5">
    <w:name w:val="List 5"/>
    <w:basedOn w:val="BodyText"/>
    <w:rsid w:val="00AB3FC6"/>
    <w:pPr>
      <w:tabs>
        <w:tab w:val="left" w:pos="1701"/>
      </w:tabs>
      <w:spacing w:before="60" w:after="60"/>
      <w:ind w:left="1701" w:hanging="340"/>
    </w:pPr>
  </w:style>
  <w:style w:type="paragraph" w:styleId="ListBullet3">
    <w:name w:val="List Bullet 3"/>
    <w:basedOn w:val="List3"/>
    <w:rsid w:val="00AB3FC6"/>
    <w:pPr>
      <w:numPr>
        <w:numId w:val="14"/>
      </w:numPr>
      <w:tabs>
        <w:tab w:val="clear" w:pos="1021"/>
      </w:tabs>
      <w:ind w:left="1037" w:hanging="357"/>
    </w:pPr>
  </w:style>
  <w:style w:type="paragraph" w:styleId="ListBullet4">
    <w:name w:val="List Bullet 4"/>
    <w:basedOn w:val="List4"/>
    <w:rsid w:val="00AB3FC6"/>
    <w:pPr>
      <w:numPr>
        <w:numId w:val="2"/>
      </w:numPr>
    </w:pPr>
  </w:style>
  <w:style w:type="paragraph" w:styleId="ListBullet5">
    <w:name w:val="List Bullet 5"/>
    <w:basedOn w:val="List5"/>
    <w:rsid w:val="00AB3FC6"/>
    <w:pPr>
      <w:numPr>
        <w:numId w:val="3"/>
      </w:numPr>
    </w:pPr>
  </w:style>
  <w:style w:type="paragraph" w:styleId="ListContinue2">
    <w:name w:val="List Continue 2"/>
    <w:basedOn w:val="List2"/>
    <w:rsid w:val="00AB3FC6"/>
    <w:pPr>
      <w:ind w:firstLine="0"/>
    </w:pPr>
  </w:style>
  <w:style w:type="paragraph" w:styleId="ListContinue3">
    <w:name w:val="List Continue 3"/>
    <w:basedOn w:val="List3"/>
    <w:rsid w:val="00AB3FC6"/>
    <w:pPr>
      <w:ind w:left="1021" w:firstLine="0"/>
    </w:pPr>
  </w:style>
  <w:style w:type="paragraph" w:styleId="ListContinue4">
    <w:name w:val="List Continue 4"/>
    <w:basedOn w:val="List4"/>
    <w:rsid w:val="00AB3FC6"/>
    <w:pPr>
      <w:ind w:firstLine="0"/>
    </w:pPr>
  </w:style>
  <w:style w:type="paragraph" w:styleId="ListContinue5">
    <w:name w:val="List Continue 5"/>
    <w:basedOn w:val="List5"/>
    <w:rsid w:val="00AB3FC6"/>
    <w:pPr>
      <w:ind w:firstLine="0"/>
    </w:pPr>
  </w:style>
  <w:style w:type="paragraph" w:styleId="ListNumber3">
    <w:name w:val="List Number 3"/>
    <w:basedOn w:val="List3"/>
    <w:rsid w:val="00AB3FC6"/>
    <w:pPr>
      <w:numPr>
        <w:numId w:val="4"/>
      </w:numPr>
    </w:pPr>
  </w:style>
  <w:style w:type="paragraph" w:styleId="ListNumber4">
    <w:name w:val="List Number 4"/>
    <w:basedOn w:val="List4"/>
    <w:rsid w:val="00AB3FC6"/>
    <w:pPr>
      <w:numPr>
        <w:numId w:val="5"/>
      </w:numPr>
    </w:pPr>
  </w:style>
  <w:style w:type="paragraph" w:styleId="ListNumber5">
    <w:name w:val="List Number 5"/>
    <w:basedOn w:val="List5"/>
    <w:rsid w:val="00AB3FC6"/>
    <w:pPr>
      <w:numPr>
        <w:numId w:val="6"/>
      </w:numPr>
    </w:pPr>
  </w:style>
  <w:style w:type="paragraph" w:styleId="BlockText">
    <w:name w:val="Block Text"/>
    <w:basedOn w:val="Normal"/>
    <w:rsid w:val="00AB3FC6"/>
    <w:pPr>
      <w:spacing w:after="120"/>
      <w:ind w:left="1440" w:right="1440"/>
    </w:pPr>
  </w:style>
  <w:style w:type="character" w:customStyle="1" w:styleId="Subscript">
    <w:name w:val="Subscript"/>
    <w:basedOn w:val="DefaultParagraphFont"/>
    <w:rsid w:val="00AB3FC6"/>
    <w:rPr>
      <w:sz w:val="16"/>
      <w:vertAlign w:val="subscript"/>
    </w:rPr>
  </w:style>
  <w:style w:type="character" w:customStyle="1" w:styleId="Superscript">
    <w:name w:val="Superscript"/>
    <w:basedOn w:val="DefaultParagraphFont"/>
    <w:rsid w:val="00AB3FC6"/>
    <w:rPr>
      <w:sz w:val="16"/>
      <w:vertAlign w:val="superscript"/>
    </w:rPr>
  </w:style>
  <w:style w:type="character" w:customStyle="1" w:styleId="Symbols">
    <w:name w:val="Symbols"/>
    <w:basedOn w:val="DefaultParagraphFont"/>
    <w:rsid w:val="00AB3FC6"/>
    <w:rPr>
      <w:rFonts w:ascii="Symbol" w:hAnsi="Symbol"/>
    </w:rPr>
  </w:style>
  <w:style w:type="character" w:customStyle="1" w:styleId="MenuOptions">
    <w:name w:val="Menu Options"/>
    <w:basedOn w:val="DefaultParagraphFont"/>
    <w:rsid w:val="00AB3FC6"/>
    <w:rPr>
      <w:rFonts w:ascii="Arial Narrow" w:hAnsi="Arial Narrow"/>
      <w:smallCaps/>
    </w:rPr>
  </w:style>
  <w:style w:type="character" w:customStyle="1" w:styleId="Buttons">
    <w:name w:val="Buttons"/>
    <w:basedOn w:val="DefaultParagraphFont"/>
    <w:rsid w:val="00AB3FC6"/>
    <w:rPr>
      <w:b/>
    </w:rPr>
  </w:style>
  <w:style w:type="character" w:customStyle="1" w:styleId="Underlined">
    <w:name w:val="Underlined"/>
    <w:basedOn w:val="DefaultParagraphFont"/>
    <w:rsid w:val="00AB3FC6"/>
    <w:rPr>
      <w:u w:val="single"/>
    </w:rPr>
  </w:style>
  <w:style w:type="paragraph" w:customStyle="1" w:styleId="TableBodyTextRight">
    <w:name w:val="Table Body Text Right"/>
    <w:basedOn w:val="TableBodyText"/>
    <w:rsid w:val="00AB3FC6"/>
    <w:pPr>
      <w:widowControl w:val="0"/>
      <w:autoSpaceDE w:val="0"/>
      <w:autoSpaceDN w:val="0"/>
      <w:adjustRightInd w:val="0"/>
      <w:jc w:val="right"/>
    </w:pPr>
    <w:rPr>
      <w:rFonts w:cs="Arial"/>
      <w:szCs w:val="18"/>
    </w:rPr>
  </w:style>
  <w:style w:type="paragraph" w:customStyle="1" w:styleId="CopyrightText">
    <w:name w:val="Copyright Text"/>
    <w:basedOn w:val="BodyText"/>
    <w:rsid w:val="00AB3FC6"/>
    <w:rPr>
      <w:sz w:val="18"/>
    </w:rPr>
  </w:style>
  <w:style w:type="paragraph" w:customStyle="1" w:styleId="BodySmallRight">
    <w:name w:val="Body Small Right"/>
    <w:basedOn w:val="BodyTextRight"/>
    <w:rsid w:val="00AB3FC6"/>
    <w:rPr>
      <w:sz w:val="18"/>
      <w:szCs w:val="18"/>
    </w:rPr>
  </w:style>
  <w:style w:type="paragraph" w:customStyle="1" w:styleId="MarginEdition">
    <w:name w:val="Margin Edition"/>
    <w:basedOn w:val="MarginNote"/>
    <w:rsid w:val="00AB3FC6"/>
    <w:pPr>
      <w:spacing w:before="0" w:after="0"/>
    </w:pPr>
    <w:rPr>
      <w:rFonts w:ascii="Times New Roman" w:hAnsi="Times New Roman"/>
      <w:color w:val="999999"/>
    </w:rPr>
  </w:style>
  <w:style w:type="paragraph" w:customStyle="1" w:styleId="Spacer">
    <w:name w:val="Spacer"/>
    <w:basedOn w:val="Normal"/>
    <w:rsid w:val="00AB3FC6"/>
    <w:rPr>
      <w:sz w:val="2"/>
      <w:szCs w:val="2"/>
    </w:rPr>
  </w:style>
  <w:style w:type="character" w:customStyle="1" w:styleId="Small">
    <w:name w:val="Small"/>
    <w:basedOn w:val="DefaultParagraphFont"/>
    <w:rsid w:val="00AB3FC6"/>
    <w:rPr>
      <w:sz w:val="16"/>
    </w:rPr>
  </w:style>
  <w:style w:type="paragraph" w:customStyle="1" w:styleId="WideTable">
    <w:name w:val="Wide Table"/>
    <w:basedOn w:val="Normal"/>
    <w:rsid w:val="00AB3FC6"/>
    <w:pPr>
      <w:ind w:left="-1418"/>
    </w:pPr>
    <w:rPr>
      <w:sz w:val="2"/>
      <w:szCs w:val="2"/>
    </w:rPr>
  </w:style>
  <w:style w:type="character" w:styleId="PageNumber">
    <w:name w:val="page number"/>
    <w:basedOn w:val="DefaultParagraphFont"/>
    <w:rsid w:val="00AB3FC6"/>
  </w:style>
  <w:style w:type="paragraph" w:styleId="Quote">
    <w:name w:val="Quote"/>
    <w:basedOn w:val="Heading1"/>
    <w:link w:val="QuoteChar"/>
    <w:qFormat/>
    <w:rsid w:val="00AB3FC6"/>
    <w:rPr>
      <w:b w:val="0"/>
      <w:sz w:val="72"/>
      <w:szCs w:val="72"/>
      <w:lang w:val="en-NZ"/>
    </w:rPr>
  </w:style>
  <w:style w:type="character" w:customStyle="1" w:styleId="QuoteChar">
    <w:name w:val="Quote Char"/>
    <w:basedOn w:val="DefaultParagraphFont"/>
    <w:link w:val="Quote"/>
    <w:rsid w:val="00AB3F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3FC6"/>
    <w:pPr>
      <w:pageBreakBefore/>
    </w:pPr>
  </w:style>
  <w:style w:type="paragraph" w:customStyle="1" w:styleId="Border">
    <w:name w:val="Border"/>
    <w:basedOn w:val="Normal"/>
    <w:qFormat/>
    <w:rsid w:val="00AB3F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3FC6"/>
    <w:rPr>
      <w:b/>
      <w:bCs/>
      <w:i/>
      <w:iCs/>
      <w:color w:val="auto"/>
    </w:rPr>
  </w:style>
  <w:style w:type="paragraph" w:styleId="IntenseQuote">
    <w:name w:val="Intense Quote"/>
    <w:basedOn w:val="Normal"/>
    <w:next w:val="Normal"/>
    <w:link w:val="IntenseQuoteChar"/>
    <w:uiPriority w:val="30"/>
    <w:qFormat/>
    <w:rsid w:val="00AB3F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3F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3FC6"/>
    <w:rPr>
      <w:smallCaps/>
      <w:color w:val="auto"/>
      <w:u w:val="single"/>
    </w:rPr>
  </w:style>
  <w:style w:type="character" w:styleId="IntenseReference">
    <w:name w:val="Intense Reference"/>
    <w:basedOn w:val="DefaultParagraphFont"/>
    <w:uiPriority w:val="32"/>
    <w:qFormat/>
    <w:rsid w:val="00AB3FC6"/>
    <w:rPr>
      <w:b/>
      <w:bCs/>
      <w:smallCaps/>
      <w:color w:val="auto"/>
      <w:spacing w:val="5"/>
      <w:u w:val="single"/>
    </w:rPr>
  </w:style>
  <w:style w:type="paragraph" w:customStyle="1" w:styleId="2ColumnHeading">
    <w:name w:val="2Column Heading"/>
    <w:basedOn w:val="BodyText"/>
    <w:qFormat/>
    <w:rsid w:val="00AB3FC6"/>
    <w:pPr>
      <w:spacing w:after="60"/>
      <w:ind w:left="-2268"/>
    </w:pPr>
    <w:rPr>
      <w:b/>
    </w:rPr>
  </w:style>
  <w:style w:type="paragraph" w:customStyle="1" w:styleId="Heading1TOC">
    <w:name w:val="Heading1 TOC"/>
    <w:basedOn w:val="Normal"/>
    <w:qFormat/>
    <w:rsid w:val="00AB3FC6"/>
    <w:pPr>
      <w:spacing w:before="240" w:after="120"/>
    </w:pPr>
    <w:rPr>
      <w:rFonts w:ascii="Times New Roman" w:hAnsi="Times New Roman"/>
      <w:b/>
      <w:sz w:val="32"/>
    </w:rPr>
  </w:style>
  <w:style w:type="paragraph" w:customStyle="1" w:styleId="Heading2TOC">
    <w:name w:val="Heading2 TOC"/>
    <w:basedOn w:val="Normal"/>
    <w:qFormat/>
    <w:rsid w:val="00AB3FC6"/>
    <w:pPr>
      <w:spacing w:before="240" w:after="60"/>
    </w:pPr>
    <w:rPr>
      <w:rFonts w:ascii="Times New Roman" w:hAnsi="Times New Roman"/>
      <w:b/>
      <w:sz w:val="28"/>
    </w:rPr>
  </w:style>
  <w:style w:type="character" w:customStyle="1" w:styleId="Underline">
    <w:name w:val="Underline"/>
    <w:basedOn w:val="DefaultParagraphFont"/>
    <w:qFormat/>
    <w:rsid w:val="00AB3FC6"/>
    <w:rPr>
      <w:u w:val="single"/>
    </w:rPr>
  </w:style>
  <w:style w:type="character" w:customStyle="1" w:styleId="BoldandItalics">
    <w:name w:val="Bold and Italics"/>
    <w:qFormat/>
    <w:rsid w:val="00AB3FC6"/>
    <w:rPr>
      <w:b/>
      <w:i/>
      <w:u w:val="none"/>
    </w:rPr>
  </w:style>
  <w:style w:type="paragraph" w:styleId="BalloonText">
    <w:name w:val="Balloon Text"/>
    <w:basedOn w:val="Normal"/>
    <w:link w:val="BalloonTextChar"/>
    <w:rsid w:val="00AB3FC6"/>
    <w:rPr>
      <w:rFonts w:ascii="Tahoma" w:hAnsi="Tahoma" w:cs="Tahoma"/>
      <w:sz w:val="16"/>
      <w:szCs w:val="16"/>
    </w:rPr>
  </w:style>
  <w:style w:type="character" w:customStyle="1" w:styleId="BalloonTextChar">
    <w:name w:val="Balloon Text Char"/>
    <w:basedOn w:val="DefaultParagraphFont"/>
    <w:link w:val="BalloonText"/>
    <w:rsid w:val="00AB3F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3FC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B3F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3FC6"/>
    <w:rPr>
      <w:b/>
      <w:color w:val="660033"/>
      <w:spacing w:val="0"/>
    </w:rPr>
  </w:style>
  <w:style w:type="paragraph" w:customStyle="1" w:styleId="Nameditemlist">
    <w:name w:val="Named item list"/>
    <w:basedOn w:val="BodyText"/>
    <w:qFormat/>
    <w:rsid w:val="00AB3FC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823</Words>
  <Characters>5323</Characters>
  <Application>Microsoft Office Word</Application>
  <DocSecurity>0</DocSecurity>
  <Lines>224</Lines>
  <Paragraphs>122</Paragraphs>
  <ScaleCrop>false</ScaleCrop>
  <Company>Author-it Software Corporation Ltd.</Company>
  <LinksUpToDate>false</LinksUpToDate>
  <CharactersWithSpaces>6068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TLIX5055A Apply anti-dumping and countervailing measures</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2013-12-24T08:54:01Z</dcterms:created>
  <dcterms:modified xsi:type="dcterms:W3CDTF">2013-12-23T05:20:00Z</dcterms:modified>
</cp:coreProperties>
</file>