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3012" w:rsidP="00AC3012">
      <w:pPr>
        <w:pStyle w:val="Title"/>
      </w:pPr>
      <w:r>
        <w:fldChar w:fldCharType="begin"/>
      </w:r>
      <w:r>
        <w:instrText xml:space="preserve"> TITLE   \* MERGEFORMAT </w:instrText>
      </w:r>
      <w:r>
        <w:fldChar w:fldCharType="separate"/>
      </w:r>
      <w:r>
        <w:t>TLIX5053A Determine tariff classification for complex goods</w:t>
      </w:r>
      <w:r>
        <w:fldChar w:fldCharType="end"/>
      </w:r>
    </w:p>
    <w:p w:rsidR="00AC3012" w:rsidP="00AC3012">
      <w:pPr>
        <w:pStyle w:val="Version"/>
        <w:sectPr w:rsidSect="000157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577F" w:rsidP="0001577F">
      <w:pPr>
        <w:pStyle w:val="SuperHeading"/>
      </w:pPr>
      <w:r w:rsidRPr="0001577F">
        <w:t>TLIX5053A Determine tariff classification for complex goods</w:t>
      </w:r>
    </w:p>
    <w:p w:rsidR="00000000" w:rsidRPr="0001577F" w:rsidP="0001577F">
      <w:pPr>
        <w:pStyle w:val="Heading1"/>
      </w:pPr>
      <w:bookmarkStart w:id="1" w:name="O_628243"/>
      <w:bookmarkEnd w:id="1"/>
      <w:r w:rsidRPr="0001577F">
        <w:t>Modification History</w:t>
      </w:r>
    </w:p>
    <w:p w:rsidR="00000000" w:rsidRPr="0001577F" w:rsidP="0001577F">
      <w:pPr>
        <w:pStyle w:val="BodyText"/>
      </w:pPr>
      <w:r w:rsidRPr="0001577F">
        <w:t>Release 1. This is the first release of this unit.</w:t>
      </w:r>
    </w:p>
    <w:p w:rsidR="00000000" w:rsidRPr="0001577F" w:rsidP="0001577F">
      <w:pPr>
        <w:pStyle w:val="AllowPageBreak"/>
      </w:pPr>
    </w:p>
    <w:p w:rsidR="00000000" w:rsidRPr="0001577F" w:rsidP="0001577F">
      <w:pPr>
        <w:pStyle w:val="Heading1"/>
      </w:pPr>
      <w:bookmarkStart w:id="2" w:name="O_628244"/>
      <w:bookmarkEnd w:id="2"/>
      <w:r w:rsidRPr="0001577F">
        <w:t>Unit Descriptor</w:t>
      </w:r>
    </w:p>
    <w:p w:rsidR="00000000" w:rsidRPr="0001577F" w:rsidP="0001577F">
      <w:pPr>
        <w:pStyle w:val="BodyText"/>
      </w:pPr>
      <w:r w:rsidRPr="0001577F">
        <w:t>This unit involves the skills and knowledge required to classify complex goods for import and export of goods in accordance with the Cu</w:t>
      </w:r>
      <w:r w:rsidRPr="0001577F">
        <w:t>stoms Act 1901, related legislation and workplace requirements.</w:t>
      </w:r>
    </w:p>
    <w:p w:rsidR="00000000" w:rsidRPr="0001577F" w:rsidP="0001577F">
      <w:pPr>
        <w:pStyle w:val="BodyText"/>
      </w:pPr>
    </w:p>
    <w:p w:rsidR="00000000" w:rsidRPr="0001577F" w:rsidP="0001577F">
      <w:pPr>
        <w:pStyle w:val="BodyText"/>
      </w:pPr>
      <w:r w:rsidRPr="0001577F">
        <w:t>Licensing, legislative, regulatory or certification requirements are applicable to this unit.</w:t>
      </w:r>
    </w:p>
    <w:p w:rsidR="00000000" w:rsidRPr="0001577F" w:rsidP="0001577F">
      <w:pPr>
        <w:pStyle w:val="AllowPageBreak"/>
      </w:pPr>
    </w:p>
    <w:p w:rsidR="00000000" w:rsidRPr="0001577F" w:rsidP="0001577F">
      <w:pPr>
        <w:pStyle w:val="Heading1"/>
      </w:pPr>
      <w:bookmarkStart w:id="3" w:name="O_628245"/>
      <w:bookmarkEnd w:id="3"/>
      <w:r w:rsidRPr="0001577F">
        <w:t>Application of the Unit</w:t>
      </w:r>
    </w:p>
    <w:p w:rsidR="00000000" w:rsidRPr="0001577F" w:rsidP="0001577F">
      <w:pPr>
        <w:pStyle w:val="BodyText"/>
      </w:pPr>
      <w:r w:rsidRPr="0001577F">
        <w:t>This unit applies to individuals working as a Customs Br</w:t>
      </w:r>
      <w:r w:rsidRPr="0001577F">
        <w:t>oker. Work must be carried in compliance with relevant Customs Tariff Act 1995, related legislation and workplace requirements concerning customs classification functions.</w:t>
      </w:r>
    </w:p>
    <w:p w:rsidR="00000000" w:rsidRPr="0001577F" w:rsidP="0001577F">
      <w:pPr>
        <w:pStyle w:val="BodyText"/>
      </w:pPr>
    </w:p>
    <w:p w:rsidR="00000000" w:rsidRPr="0001577F" w:rsidP="0001577F">
      <w:pPr>
        <w:pStyle w:val="BodyText"/>
      </w:pPr>
      <w:r w:rsidRPr="0001577F">
        <w:t>Work is undertaken in a range of environments including small to large worksites in</w:t>
      </w:r>
      <w:r w:rsidRPr="0001577F">
        <w:t xml:space="preserve"> the custom broking and international freight forwarding industries</w:t>
      </w:r>
    </w:p>
    <w:p w:rsidR="00000000" w:rsidRPr="0001577F" w:rsidP="0001577F">
      <w:pPr>
        <w:pStyle w:val="AllowPageBreak"/>
      </w:pPr>
    </w:p>
    <w:p w:rsidR="00000000" w:rsidRPr="0001577F" w:rsidP="0001577F">
      <w:pPr>
        <w:pStyle w:val="Heading1"/>
      </w:pPr>
      <w:bookmarkStart w:id="4" w:name="O_628246"/>
      <w:bookmarkEnd w:id="4"/>
      <w:r w:rsidRPr="0001577F">
        <w:t>Licensing/Regulatory Information</w:t>
      </w:r>
    </w:p>
    <w:p w:rsidR="00000000" w:rsidRPr="0001577F" w:rsidP="0001577F">
      <w:pPr>
        <w:pStyle w:val="BodyText"/>
      </w:pPr>
      <w:r w:rsidRPr="0001577F">
        <w:t>Refer to Unit Descriptor.</w:t>
      </w:r>
    </w:p>
    <w:p w:rsidR="00000000" w:rsidRPr="0001577F" w:rsidP="0001577F">
      <w:pPr>
        <w:pStyle w:val="AllowPageBreak"/>
      </w:pPr>
    </w:p>
    <w:p w:rsidR="00000000" w:rsidRPr="0001577F" w:rsidP="0001577F">
      <w:pPr>
        <w:pStyle w:val="Heading1"/>
      </w:pPr>
      <w:bookmarkStart w:id="5" w:name="O_628247"/>
      <w:bookmarkEnd w:id="5"/>
      <w:r w:rsidRPr="0001577F">
        <w:t>Pre-Requisites</w:t>
      </w:r>
    </w:p>
    <w:p w:rsidR="00000000" w:rsidRPr="0001577F" w:rsidP="0001577F">
      <w:pPr>
        <w:pStyle w:val="BodyText"/>
      </w:pPr>
      <w:r w:rsidRPr="0001577F">
        <w:t>Nil</w:t>
      </w:r>
    </w:p>
    <w:p w:rsidR="00000000" w:rsidRPr="0001577F" w:rsidP="0001577F">
      <w:pPr>
        <w:pStyle w:val="AllowPageBreak"/>
      </w:pPr>
    </w:p>
    <w:p w:rsidR="00000000" w:rsidRPr="0001577F" w:rsidP="0001577F">
      <w:pPr>
        <w:pStyle w:val="Heading1"/>
      </w:pPr>
      <w:bookmarkStart w:id="6" w:name="O_628248"/>
      <w:bookmarkEnd w:id="6"/>
      <w:r w:rsidRPr="0001577F">
        <w:t>Employability Skills Information</w:t>
      </w:r>
    </w:p>
    <w:p w:rsidR="00000000" w:rsidRPr="0001577F" w:rsidP="0001577F">
      <w:pPr>
        <w:pStyle w:val="BodyText"/>
      </w:pPr>
      <w:r w:rsidRPr="0001577F">
        <w:t>This unit contains employa</w:t>
      </w:r>
      <w:r w:rsidRPr="0001577F">
        <w:t>bility skills.</w:t>
      </w:r>
    </w:p>
    <w:p w:rsidR="00000000" w:rsidRPr="0001577F" w:rsidP="0001577F">
      <w:pPr>
        <w:pStyle w:val="AllowPageBreak"/>
      </w:pPr>
    </w:p>
    <w:p w:rsidR="00000000" w:rsidRPr="0001577F" w:rsidP="0001577F">
      <w:pPr>
        <w:pStyle w:val="Heading1"/>
      </w:pPr>
      <w:bookmarkStart w:id="7" w:name="O_628249"/>
      <w:bookmarkEnd w:id="7"/>
      <w:r w:rsidRPr="0001577F">
        <w:t>Elements and Performance Criteria Pre-Content</w:t>
      </w:r>
    </w:p>
    <w:tbl>
      <w:tblPr>
        <w:tblW w:w="9640" w:type="dxa"/>
        <w:tblLayout w:type="fixed"/>
        <w:tblCellMar>
          <w:left w:w="62" w:type="dxa"/>
          <w:right w:w="62" w:type="dxa"/>
        </w:tblCellMar>
        <w:tblLook w:val="0000"/>
      </w:tblPr>
      <w:tblGrid>
        <w:gridCol w:w="2776"/>
        <w:gridCol w:w="6864"/>
      </w:tblGrid>
      <w:tr w:rsidTr="00AC3012">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01577F">
            <w:pPr>
              <w:pStyle w:val="BodyText"/>
              <w:rPr>
                <w:lang w:val="en-NZ"/>
              </w:rPr>
            </w:pPr>
            <w:r w:rsidRPr="0001577F">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01577F" w:rsidP="0001577F">
            <w:pPr>
              <w:pStyle w:val="BodyText"/>
            </w:pPr>
            <w:r w:rsidRPr="0001577F">
              <w:t>Performance criteria describe the required performance needed to demonstrate achievement of the element. Assessm</w:t>
            </w:r>
            <w:r w:rsidRPr="0001577F">
              <w:t>ent of performance is to be consistent with the evidence guide.</w:t>
            </w:r>
          </w:p>
        </w:tc>
      </w:tr>
    </w:tbl>
    <w:p w:rsidR="00000000" w:rsidRPr="0001577F" w:rsidP="0001577F">
      <w:pPr>
        <w:pStyle w:val="BodyText"/>
      </w:pPr>
    </w:p>
    <w:p w:rsidR="00000000" w:rsidRPr="0001577F" w:rsidP="0001577F">
      <w:pPr>
        <w:pStyle w:val="AllowPageBreak"/>
      </w:pPr>
    </w:p>
    <w:p w:rsidR="00000000" w:rsidRPr="0001577F" w:rsidP="0001577F">
      <w:pPr>
        <w:pStyle w:val="Heading1"/>
      </w:pPr>
      <w:bookmarkStart w:id="8" w:name="O_628250"/>
      <w:bookmarkEnd w:id="8"/>
      <w:r w:rsidRPr="0001577F">
        <w:t>Elements and Performance Criteria</w:t>
      </w:r>
    </w:p>
    <w:tbl>
      <w:tblPr>
        <w:tblW w:w="0" w:type="auto"/>
        <w:tblCellMar>
          <w:left w:w="62" w:type="dxa"/>
          <w:right w:w="62" w:type="dxa"/>
        </w:tblCellMar>
        <w:tblLook w:val="0000"/>
      </w:tblPr>
      <w:tblGrid>
        <w:gridCol w:w="344"/>
        <w:gridCol w:w="1748"/>
        <w:gridCol w:w="557"/>
        <w:gridCol w:w="6547"/>
      </w:tblGrid>
      <w:tr w:rsidTr="00AC3012">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1577F" w:rsidP="0001577F">
            <w:pPr>
              <w:pStyle w:val="BodyText"/>
            </w:pPr>
            <w:r w:rsidRPr="0001577F">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01577F">
            <w:pPr>
              <w:pStyle w:val="BodyText"/>
              <w:rPr>
                <w:lang w:val="en-NZ"/>
              </w:rPr>
            </w:pPr>
            <w:r w:rsidRPr="0001577F">
              <w:rPr>
                <w:rStyle w:val="SpecialBold"/>
              </w:rPr>
              <w:t>Apply identification principles to goods</w:t>
            </w:r>
          </w:p>
        </w:tc>
        <w:tc>
          <w:tcPr>
            <w:tcW w:w="0" w:type="auto"/>
            <w:tcBorders>
              <w:top w:val="nil"/>
              <w:left w:val="nil"/>
              <w:bottom w:val="nil"/>
              <w:right w:val="nil"/>
            </w:tcBorders>
            <w:tcMar>
              <w:top w:w="0" w:type="dxa"/>
              <w:left w:w="62" w:type="dxa"/>
              <w:bottom w:w="0" w:type="dxa"/>
              <w:right w:w="62" w:type="dxa"/>
            </w:tcMar>
          </w:tcPr>
          <w:p w:rsidR="00000000" w:rsidP="0001577F">
            <w:pPr>
              <w:pStyle w:val="BodyText"/>
              <w:rPr>
                <w:lang w:val="en-NZ"/>
              </w:rPr>
            </w:pPr>
            <w:r w:rsidRPr="0001577F">
              <w:t>1.1</w:t>
            </w:r>
          </w:p>
        </w:tc>
        <w:tc>
          <w:tcPr>
            <w:tcW w:w="0" w:type="auto"/>
            <w:tcBorders>
              <w:top w:val="nil"/>
              <w:left w:val="nil"/>
              <w:bottom w:val="nil"/>
              <w:right w:val="nil"/>
            </w:tcBorders>
            <w:tcMar>
              <w:top w:w="0" w:type="dxa"/>
              <w:left w:w="62" w:type="dxa"/>
              <w:bottom w:w="0" w:type="dxa"/>
              <w:right w:w="62" w:type="dxa"/>
            </w:tcMar>
          </w:tcPr>
          <w:p w:rsidR="00000000" w:rsidP="0001577F">
            <w:pPr>
              <w:pStyle w:val="BodyText"/>
              <w:rPr>
                <w:lang w:val="en-NZ"/>
              </w:rPr>
            </w:pPr>
            <w:r w:rsidRPr="0001577F">
              <w:t>Product research is undertaken</w:t>
            </w:r>
          </w:p>
        </w:tc>
      </w:tr>
      <w:tr w:rsidTr="00AC301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1577F">
            <w:pPr>
              <w:pStyle w:val="BodyText"/>
              <w:rPr>
                <w:lang w:val="en-NZ"/>
              </w:rPr>
            </w:pPr>
            <w:r w:rsidRPr="0001577F">
              <w:t>1.2</w:t>
            </w:r>
          </w:p>
        </w:tc>
        <w:tc>
          <w:tcPr>
            <w:tcW w:w="0" w:type="auto"/>
            <w:tcBorders>
              <w:top w:val="nil"/>
              <w:left w:val="nil"/>
              <w:bottom w:val="nil"/>
              <w:right w:val="nil"/>
            </w:tcBorders>
            <w:tcMar>
              <w:top w:w="0" w:type="dxa"/>
              <w:left w:w="62" w:type="dxa"/>
              <w:bottom w:w="0" w:type="dxa"/>
              <w:right w:w="62" w:type="dxa"/>
            </w:tcMar>
          </w:tcPr>
          <w:p w:rsidR="00000000" w:rsidP="0001577F">
            <w:pPr>
              <w:pStyle w:val="BodyText"/>
              <w:rPr>
                <w:lang w:val="en-NZ"/>
              </w:rPr>
            </w:pPr>
            <w:r w:rsidRPr="0001577F">
              <w:t>Research resources to classify goods are accessed</w:t>
            </w:r>
          </w:p>
        </w:tc>
      </w:tr>
      <w:tr w:rsidTr="00AC301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1577F">
            <w:pPr>
              <w:pStyle w:val="BodyText"/>
              <w:rPr>
                <w:lang w:val="en-NZ"/>
              </w:rPr>
            </w:pPr>
            <w:r w:rsidRPr="0001577F">
              <w:t>1.3</w:t>
            </w:r>
          </w:p>
        </w:tc>
        <w:tc>
          <w:tcPr>
            <w:tcW w:w="0" w:type="auto"/>
            <w:tcBorders>
              <w:top w:val="nil"/>
              <w:left w:val="nil"/>
              <w:bottom w:val="nil"/>
              <w:right w:val="nil"/>
            </w:tcBorders>
            <w:tcMar>
              <w:top w:w="0" w:type="dxa"/>
              <w:left w:w="62" w:type="dxa"/>
              <w:bottom w:w="0" w:type="dxa"/>
              <w:right w:w="62" w:type="dxa"/>
            </w:tcMar>
          </w:tcPr>
          <w:p w:rsidR="00000000" w:rsidP="0001577F">
            <w:pPr>
              <w:pStyle w:val="BodyText"/>
              <w:rPr>
                <w:lang w:val="en-NZ"/>
              </w:rPr>
            </w:pPr>
            <w:r w:rsidRPr="0001577F">
              <w:t>Objective and analytical classification principles are applied</w:t>
            </w:r>
          </w:p>
        </w:tc>
      </w:tr>
      <w:tr w:rsidTr="00AC301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1577F">
            <w:pPr>
              <w:pStyle w:val="BodyText"/>
              <w:rPr>
                <w:lang w:val="en-NZ"/>
              </w:rPr>
            </w:pPr>
            <w:r w:rsidRPr="0001577F">
              <w:t>1.4</w:t>
            </w:r>
          </w:p>
        </w:tc>
        <w:tc>
          <w:tcPr>
            <w:tcW w:w="0" w:type="auto"/>
            <w:tcBorders>
              <w:top w:val="nil"/>
              <w:left w:val="nil"/>
              <w:bottom w:val="nil"/>
              <w:right w:val="nil"/>
            </w:tcBorders>
            <w:tcMar>
              <w:top w:w="0" w:type="dxa"/>
              <w:left w:w="62" w:type="dxa"/>
              <w:bottom w:w="0" w:type="dxa"/>
              <w:right w:w="62" w:type="dxa"/>
            </w:tcMar>
          </w:tcPr>
          <w:p w:rsidR="00000000" w:rsidP="0001577F">
            <w:pPr>
              <w:pStyle w:val="BodyText"/>
              <w:rPr>
                <w:lang w:val="en-NZ"/>
              </w:rPr>
            </w:pPr>
            <w:r w:rsidRPr="0001577F">
              <w:t>Administrative Appeals Tribunal (AAT) decisions and court cases are considered</w:t>
            </w:r>
          </w:p>
        </w:tc>
      </w:tr>
      <w:tr w:rsidTr="00AC301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1577F">
            <w:pPr>
              <w:pStyle w:val="BodyText"/>
              <w:rPr>
                <w:lang w:val="en-NZ"/>
              </w:rPr>
            </w:pPr>
            <w:r w:rsidRPr="0001577F">
              <w:t>1.5</w:t>
            </w:r>
          </w:p>
        </w:tc>
        <w:tc>
          <w:tcPr>
            <w:tcW w:w="0" w:type="auto"/>
            <w:tcBorders>
              <w:top w:val="nil"/>
              <w:left w:val="nil"/>
              <w:bottom w:val="nil"/>
              <w:right w:val="nil"/>
            </w:tcBorders>
            <w:tcMar>
              <w:top w:w="0" w:type="dxa"/>
              <w:left w:w="62" w:type="dxa"/>
              <w:bottom w:w="0" w:type="dxa"/>
              <w:right w:w="62" w:type="dxa"/>
            </w:tcMar>
          </w:tcPr>
          <w:p w:rsidR="00000000" w:rsidP="0001577F">
            <w:pPr>
              <w:pStyle w:val="BodyText"/>
              <w:rPr>
                <w:lang w:val="en-NZ"/>
              </w:rPr>
            </w:pPr>
            <w:r w:rsidRPr="0001577F">
              <w:t>Precedents are considered</w:t>
            </w:r>
          </w:p>
        </w:tc>
      </w:tr>
      <w:tr w:rsidTr="00AC301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1577F">
            <w:pPr>
              <w:pStyle w:val="BodyText"/>
              <w:rPr>
                <w:lang w:val="en-NZ"/>
              </w:rPr>
            </w:pPr>
            <w:r w:rsidRPr="0001577F">
              <w:t>1.6</w:t>
            </w:r>
          </w:p>
        </w:tc>
        <w:tc>
          <w:tcPr>
            <w:tcW w:w="0" w:type="auto"/>
            <w:tcBorders>
              <w:top w:val="nil"/>
              <w:left w:val="nil"/>
              <w:bottom w:val="nil"/>
              <w:right w:val="nil"/>
            </w:tcBorders>
            <w:tcMar>
              <w:top w:w="0" w:type="dxa"/>
              <w:left w:w="62" w:type="dxa"/>
              <w:bottom w:w="0" w:type="dxa"/>
              <w:right w:w="62" w:type="dxa"/>
            </w:tcMar>
          </w:tcPr>
          <w:p w:rsidR="00000000" w:rsidP="0001577F">
            <w:pPr>
              <w:pStyle w:val="BodyText"/>
              <w:rPr>
                <w:lang w:val="en-NZ"/>
              </w:rPr>
            </w:pPr>
            <w:r w:rsidRPr="0001577F">
              <w:t>Validation of identification is sought as required</w:t>
            </w:r>
          </w:p>
        </w:tc>
      </w:tr>
      <w:tr w:rsidTr="00AC3012">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1577F" w:rsidP="0001577F">
            <w:pPr>
              <w:pStyle w:val="BodyText"/>
            </w:pPr>
            <w:r w:rsidRPr="0001577F">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01577F">
            <w:pPr>
              <w:pStyle w:val="BodyText"/>
              <w:rPr>
                <w:lang w:val="en-NZ"/>
              </w:rPr>
            </w:pPr>
            <w:r w:rsidRPr="0001577F">
              <w:rPr>
                <w:rStyle w:val="SpecialBold"/>
              </w:rPr>
              <w:t>Interpret and apply interpretative rules to goods</w:t>
            </w:r>
          </w:p>
        </w:tc>
        <w:tc>
          <w:tcPr>
            <w:tcW w:w="0" w:type="auto"/>
            <w:tcBorders>
              <w:top w:val="nil"/>
              <w:left w:val="nil"/>
              <w:bottom w:val="nil"/>
              <w:right w:val="nil"/>
            </w:tcBorders>
            <w:tcMar>
              <w:top w:w="0" w:type="dxa"/>
              <w:left w:w="62" w:type="dxa"/>
              <w:bottom w:w="0" w:type="dxa"/>
              <w:right w:w="62" w:type="dxa"/>
            </w:tcMar>
          </w:tcPr>
          <w:p w:rsidR="00000000" w:rsidP="0001577F">
            <w:pPr>
              <w:pStyle w:val="BodyText"/>
              <w:rPr>
                <w:lang w:val="en-NZ"/>
              </w:rPr>
            </w:pPr>
            <w:r w:rsidRPr="0001577F">
              <w:t>2.1</w:t>
            </w:r>
          </w:p>
        </w:tc>
        <w:tc>
          <w:tcPr>
            <w:tcW w:w="0" w:type="auto"/>
            <w:tcBorders>
              <w:top w:val="nil"/>
              <w:left w:val="nil"/>
              <w:bottom w:val="nil"/>
              <w:right w:val="nil"/>
            </w:tcBorders>
            <w:tcMar>
              <w:top w:w="0" w:type="dxa"/>
              <w:left w:w="62" w:type="dxa"/>
              <w:bottom w:w="0" w:type="dxa"/>
              <w:right w:w="62" w:type="dxa"/>
            </w:tcMar>
          </w:tcPr>
          <w:p w:rsidR="00000000" w:rsidP="0001577F">
            <w:pPr>
              <w:pStyle w:val="BodyText"/>
              <w:rPr>
                <w:lang w:val="en-NZ"/>
              </w:rPr>
            </w:pPr>
            <w:r w:rsidRPr="0001577F">
              <w:t>Appropriate interpretative rules are identified and accessed when classifying goods</w:t>
            </w:r>
          </w:p>
        </w:tc>
      </w:tr>
      <w:tr w:rsidTr="00AC301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1577F">
            <w:pPr>
              <w:pStyle w:val="BodyText"/>
              <w:rPr>
                <w:lang w:val="en-NZ"/>
              </w:rPr>
            </w:pPr>
            <w:r w:rsidRPr="0001577F">
              <w:t>2.2</w:t>
            </w:r>
          </w:p>
        </w:tc>
        <w:tc>
          <w:tcPr>
            <w:tcW w:w="0" w:type="auto"/>
            <w:tcBorders>
              <w:top w:val="nil"/>
              <w:left w:val="nil"/>
              <w:bottom w:val="nil"/>
              <w:right w:val="nil"/>
            </w:tcBorders>
            <w:tcMar>
              <w:top w:w="0" w:type="dxa"/>
              <w:left w:w="62" w:type="dxa"/>
              <w:bottom w:w="0" w:type="dxa"/>
              <w:right w:w="62" w:type="dxa"/>
            </w:tcMar>
          </w:tcPr>
          <w:p w:rsidR="00000000" w:rsidP="0001577F">
            <w:pPr>
              <w:pStyle w:val="BodyText"/>
              <w:rPr>
                <w:lang w:val="en-NZ"/>
              </w:rPr>
            </w:pPr>
            <w:r w:rsidRPr="0001577F">
              <w:t>Interpretive rules are applied to justify tariff classification of goods</w:t>
            </w:r>
          </w:p>
        </w:tc>
      </w:tr>
      <w:tr w:rsidTr="00AC3012">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1577F" w:rsidP="0001577F">
            <w:pPr>
              <w:pStyle w:val="BodyText"/>
            </w:pPr>
            <w:r w:rsidRPr="0001577F">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01577F">
            <w:pPr>
              <w:pStyle w:val="BodyText"/>
              <w:rPr>
                <w:lang w:val="en-NZ"/>
              </w:rPr>
            </w:pPr>
            <w:r w:rsidRPr="0001577F">
              <w:rPr>
                <w:rStyle w:val="SpecialBold"/>
              </w:rPr>
              <w:t>Interpret and apply section and cha</w:t>
            </w:r>
            <w:r w:rsidRPr="0001577F">
              <w:rPr>
                <w:rStyle w:val="SpecialBold"/>
              </w:rPr>
              <w:t xml:space="preserve">pter notes to goods </w:t>
            </w:r>
          </w:p>
        </w:tc>
        <w:tc>
          <w:tcPr>
            <w:tcW w:w="0" w:type="auto"/>
            <w:tcBorders>
              <w:top w:val="nil"/>
              <w:left w:val="nil"/>
              <w:bottom w:val="nil"/>
              <w:right w:val="nil"/>
            </w:tcBorders>
            <w:tcMar>
              <w:top w:w="0" w:type="dxa"/>
              <w:left w:w="62" w:type="dxa"/>
              <w:bottom w:w="0" w:type="dxa"/>
              <w:right w:w="62" w:type="dxa"/>
            </w:tcMar>
          </w:tcPr>
          <w:p w:rsidR="00000000" w:rsidP="0001577F">
            <w:pPr>
              <w:pStyle w:val="BodyText"/>
              <w:rPr>
                <w:lang w:val="en-NZ"/>
              </w:rPr>
            </w:pPr>
            <w:r w:rsidRPr="0001577F">
              <w:t>3.1</w:t>
            </w:r>
          </w:p>
        </w:tc>
        <w:tc>
          <w:tcPr>
            <w:tcW w:w="0" w:type="auto"/>
            <w:tcBorders>
              <w:top w:val="nil"/>
              <w:left w:val="nil"/>
              <w:bottom w:val="nil"/>
              <w:right w:val="nil"/>
            </w:tcBorders>
            <w:tcMar>
              <w:top w:w="0" w:type="dxa"/>
              <w:left w:w="62" w:type="dxa"/>
              <w:bottom w:w="0" w:type="dxa"/>
              <w:right w:w="62" w:type="dxa"/>
            </w:tcMar>
          </w:tcPr>
          <w:p w:rsidR="00000000" w:rsidP="0001577F">
            <w:pPr>
              <w:pStyle w:val="BodyText"/>
              <w:rPr>
                <w:lang w:val="en-NZ"/>
              </w:rPr>
            </w:pPr>
            <w:r w:rsidRPr="0001577F">
              <w:t>Tariff classification is considered in relation to legal notes</w:t>
            </w:r>
          </w:p>
        </w:tc>
      </w:tr>
      <w:tr w:rsidTr="00AC301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1577F">
            <w:pPr>
              <w:pStyle w:val="BodyText"/>
              <w:rPr>
                <w:lang w:val="en-NZ"/>
              </w:rPr>
            </w:pPr>
            <w:r w:rsidRPr="0001577F">
              <w:t>3.2</w:t>
            </w:r>
          </w:p>
        </w:tc>
        <w:tc>
          <w:tcPr>
            <w:tcW w:w="0" w:type="auto"/>
            <w:tcBorders>
              <w:top w:val="nil"/>
              <w:left w:val="nil"/>
              <w:bottom w:val="nil"/>
              <w:right w:val="nil"/>
            </w:tcBorders>
            <w:tcMar>
              <w:top w:w="0" w:type="dxa"/>
              <w:left w:w="62" w:type="dxa"/>
              <w:bottom w:w="0" w:type="dxa"/>
              <w:right w:w="62" w:type="dxa"/>
            </w:tcMar>
          </w:tcPr>
          <w:p w:rsidR="00000000" w:rsidP="0001577F">
            <w:pPr>
              <w:pStyle w:val="BodyText"/>
              <w:rPr>
                <w:lang w:val="en-NZ"/>
              </w:rPr>
            </w:pPr>
            <w:r w:rsidRPr="0001577F">
              <w:t>Rejection of alternate headings is justified by reference to section and chapter notes</w:t>
            </w:r>
          </w:p>
        </w:tc>
      </w:tr>
      <w:tr w:rsidTr="00AC3012">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1577F" w:rsidP="0001577F">
            <w:pPr>
              <w:pStyle w:val="BodyText"/>
            </w:pPr>
            <w:r w:rsidRPr="0001577F">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01577F">
            <w:pPr>
              <w:pStyle w:val="BodyText"/>
              <w:rPr>
                <w:lang w:val="en-NZ"/>
              </w:rPr>
            </w:pPr>
            <w:r w:rsidRPr="0001577F">
              <w:rPr>
                <w:rStyle w:val="SpecialBold"/>
              </w:rPr>
              <w:t>Select tariff headings</w:t>
            </w:r>
          </w:p>
        </w:tc>
        <w:tc>
          <w:tcPr>
            <w:tcW w:w="0" w:type="auto"/>
            <w:tcBorders>
              <w:top w:val="nil"/>
              <w:left w:val="nil"/>
              <w:bottom w:val="nil"/>
              <w:right w:val="nil"/>
            </w:tcBorders>
            <w:tcMar>
              <w:top w:w="0" w:type="dxa"/>
              <w:left w:w="62" w:type="dxa"/>
              <w:bottom w:w="0" w:type="dxa"/>
              <w:right w:w="62" w:type="dxa"/>
            </w:tcMar>
          </w:tcPr>
          <w:p w:rsidR="00000000" w:rsidP="0001577F">
            <w:pPr>
              <w:pStyle w:val="BodyText"/>
              <w:rPr>
                <w:lang w:val="en-NZ"/>
              </w:rPr>
            </w:pPr>
            <w:r w:rsidRPr="0001577F">
              <w:t>4.1</w:t>
            </w:r>
          </w:p>
        </w:tc>
        <w:tc>
          <w:tcPr>
            <w:tcW w:w="0" w:type="auto"/>
            <w:tcBorders>
              <w:top w:val="nil"/>
              <w:left w:val="nil"/>
              <w:bottom w:val="nil"/>
              <w:right w:val="nil"/>
            </w:tcBorders>
            <w:tcMar>
              <w:top w:w="0" w:type="dxa"/>
              <w:left w:w="62" w:type="dxa"/>
              <w:bottom w:w="0" w:type="dxa"/>
              <w:right w:w="62" w:type="dxa"/>
            </w:tcMar>
          </w:tcPr>
          <w:p w:rsidR="00000000" w:rsidP="0001577F">
            <w:pPr>
              <w:pStyle w:val="BodyText"/>
              <w:rPr>
                <w:lang w:val="en-NZ"/>
              </w:rPr>
            </w:pPr>
            <w:r w:rsidRPr="0001577F">
              <w:t>Terms in context of particular tariff headings and words are applied</w:t>
            </w:r>
          </w:p>
        </w:tc>
      </w:tr>
      <w:tr w:rsidTr="00AC301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1577F">
            <w:pPr>
              <w:pStyle w:val="BodyText"/>
              <w:rPr>
                <w:lang w:val="en-NZ"/>
              </w:rPr>
            </w:pPr>
            <w:r w:rsidRPr="0001577F">
              <w:t>4.2</w:t>
            </w:r>
          </w:p>
        </w:tc>
        <w:tc>
          <w:tcPr>
            <w:tcW w:w="0" w:type="auto"/>
            <w:tcBorders>
              <w:top w:val="nil"/>
              <w:left w:val="nil"/>
              <w:bottom w:val="nil"/>
              <w:right w:val="nil"/>
            </w:tcBorders>
            <w:tcMar>
              <w:top w:w="0" w:type="dxa"/>
              <w:left w:w="62" w:type="dxa"/>
              <w:bottom w:w="0" w:type="dxa"/>
              <w:right w:w="62" w:type="dxa"/>
            </w:tcMar>
          </w:tcPr>
          <w:p w:rsidR="00000000" w:rsidP="0001577F">
            <w:pPr>
              <w:pStyle w:val="BodyText"/>
              <w:rPr>
                <w:lang w:val="en-NZ"/>
              </w:rPr>
            </w:pPr>
            <w:r w:rsidRPr="0001577F">
              <w:t>References to aid interpretation of tariff are used as required</w:t>
            </w:r>
          </w:p>
        </w:tc>
      </w:tr>
      <w:tr w:rsidTr="00AC301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1577F">
            <w:pPr>
              <w:pStyle w:val="BodyText"/>
              <w:rPr>
                <w:lang w:val="en-NZ"/>
              </w:rPr>
            </w:pPr>
            <w:r w:rsidRPr="0001577F">
              <w:t>4.3</w:t>
            </w:r>
          </w:p>
        </w:tc>
        <w:tc>
          <w:tcPr>
            <w:tcW w:w="0" w:type="auto"/>
            <w:tcBorders>
              <w:top w:val="nil"/>
              <w:left w:val="nil"/>
              <w:bottom w:val="nil"/>
              <w:right w:val="nil"/>
            </w:tcBorders>
            <w:tcMar>
              <w:top w:w="0" w:type="dxa"/>
              <w:left w:w="62" w:type="dxa"/>
              <w:bottom w:w="0" w:type="dxa"/>
              <w:right w:w="62" w:type="dxa"/>
            </w:tcMar>
          </w:tcPr>
          <w:p w:rsidR="00000000" w:rsidP="0001577F">
            <w:pPr>
              <w:pStyle w:val="BodyText"/>
              <w:rPr>
                <w:lang w:val="en-NZ"/>
              </w:rPr>
            </w:pPr>
            <w:r w:rsidRPr="0001577F">
              <w:t>Alternate headings are considered as appropriate</w:t>
            </w:r>
          </w:p>
        </w:tc>
      </w:tr>
      <w:tr w:rsidTr="00AC3012">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1577F" w:rsidP="0001577F">
            <w:pPr>
              <w:pStyle w:val="BodyText"/>
            </w:pPr>
            <w:r w:rsidRPr="0001577F">
              <w:rPr>
                <w:rStyle w:val="SpecialBold"/>
              </w:rPr>
              <w:t>5</w:t>
            </w:r>
          </w:p>
        </w:tc>
        <w:tc>
          <w:tcPr>
            <w:tcW w:w="0" w:type="auto"/>
            <w:vMerge w:val="restart"/>
            <w:tcBorders>
              <w:top w:val="nil"/>
              <w:left w:val="nil"/>
              <w:bottom w:val="nil"/>
              <w:right w:val="nil"/>
            </w:tcBorders>
            <w:tcMar>
              <w:top w:w="0" w:type="dxa"/>
              <w:left w:w="62" w:type="dxa"/>
              <w:bottom w:w="0" w:type="dxa"/>
              <w:right w:w="62" w:type="dxa"/>
            </w:tcMar>
          </w:tcPr>
          <w:p w:rsidR="00000000" w:rsidP="0001577F">
            <w:pPr>
              <w:pStyle w:val="BodyText"/>
              <w:rPr>
                <w:lang w:val="en-NZ"/>
              </w:rPr>
            </w:pPr>
            <w:r w:rsidRPr="0001577F">
              <w:rPr>
                <w:rStyle w:val="SpecialBold"/>
              </w:rPr>
              <w:t xml:space="preserve">Select tariff sub-headings </w:t>
            </w:r>
          </w:p>
        </w:tc>
        <w:tc>
          <w:tcPr>
            <w:tcW w:w="0" w:type="auto"/>
            <w:tcBorders>
              <w:top w:val="nil"/>
              <w:left w:val="nil"/>
              <w:bottom w:val="nil"/>
              <w:right w:val="nil"/>
            </w:tcBorders>
            <w:tcMar>
              <w:top w:w="0" w:type="dxa"/>
              <w:left w:w="62" w:type="dxa"/>
              <w:bottom w:w="0" w:type="dxa"/>
              <w:right w:w="62" w:type="dxa"/>
            </w:tcMar>
          </w:tcPr>
          <w:p w:rsidR="00000000" w:rsidP="0001577F">
            <w:pPr>
              <w:pStyle w:val="BodyText"/>
              <w:rPr>
                <w:lang w:val="en-NZ"/>
              </w:rPr>
            </w:pPr>
            <w:r w:rsidRPr="0001577F">
              <w:t>5.1</w:t>
            </w:r>
          </w:p>
        </w:tc>
        <w:tc>
          <w:tcPr>
            <w:tcW w:w="0" w:type="auto"/>
            <w:tcBorders>
              <w:top w:val="nil"/>
              <w:left w:val="nil"/>
              <w:bottom w:val="nil"/>
              <w:right w:val="nil"/>
            </w:tcBorders>
            <w:tcMar>
              <w:top w:w="0" w:type="dxa"/>
              <w:left w:w="62" w:type="dxa"/>
              <w:bottom w:w="0" w:type="dxa"/>
              <w:right w:w="62" w:type="dxa"/>
            </w:tcMar>
          </w:tcPr>
          <w:p w:rsidR="00000000" w:rsidP="0001577F">
            <w:pPr>
              <w:pStyle w:val="BodyText"/>
              <w:rPr>
                <w:lang w:val="en-NZ"/>
              </w:rPr>
            </w:pPr>
            <w:r w:rsidRPr="0001577F">
              <w:t>AAT decisions, court cases and other precedents on tariff classification are interpreted and used to inform selection</w:t>
            </w:r>
          </w:p>
        </w:tc>
      </w:tr>
      <w:tr w:rsidTr="00AC301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1577F">
            <w:pPr>
              <w:pStyle w:val="BodyText"/>
              <w:rPr>
                <w:lang w:val="en-NZ"/>
              </w:rPr>
            </w:pPr>
            <w:r w:rsidRPr="0001577F">
              <w:t>5.2</w:t>
            </w:r>
          </w:p>
        </w:tc>
        <w:tc>
          <w:tcPr>
            <w:tcW w:w="0" w:type="auto"/>
            <w:tcBorders>
              <w:top w:val="nil"/>
              <w:left w:val="nil"/>
              <w:bottom w:val="nil"/>
              <w:right w:val="nil"/>
            </w:tcBorders>
            <w:tcMar>
              <w:top w:w="0" w:type="dxa"/>
              <w:left w:w="62" w:type="dxa"/>
              <w:bottom w:w="0" w:type="dxa"/>
              <w:right w:w="62" w:type="dxa"/>
            </w:tcMar>
          </w:tcPr>
          <w:p w:rsidR="00000000" w:rsidP="0001577F">
            <w:pPr>
              <w:pStyle w:val="BodyText"/>
              <w:rPr>
                <w:lang w:val="en-NZ"/>
              </w:rPr>
            </w:pPr>
            <w:r w:rsidRPr="0001577F">
              <w:t>Sub-heading notes are reviewed in hierarchical order</w:t>
            </w:r>
          </w:p>
        </w:tc>
      </w:tr>
      <w:tr w:rsidTr="00AC301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1577F">
            <w:pPr>
              <w:pStyle w:val="BodyText"/>
              <w:rPr>
                <w:lang w:val="en-NZ"/>
              </w:rPr>
            </w:pPr>
            <w:r w:rsidRPr="0001577F">
              <w:t>5.3</w:t>
            </w:r>
          </w:p>
        </w:tc>
        <w:tc>
          <w:tcPr>
            <w:tcW w:w="0" w:type="auto"/>
            <w:tcBorders>
              <w:top w:val="nil"/>
              <w:left w:val="nil"/>
              <w:bottom w:val="nil"/>
              <w:right w:val="nil"/>
            </w:tcBorders>
            <w:tcMar>
              <w:top w:w="0" w:type="dxa"/>
              <w:left w:w="62" w:type="dxa"/>
              <w:bottom w:w="0" w:type="dxa"/>
              <w:right w:w="62" w:type="dxa"/>
            </w:tcMar>
          </w:tcPr>
          <w:p w:rsidR="00000000" w:rsidP="0001577F">
            <w:pPr>
              <w:pStyle w:val="BodyText"/>
              <w:rPr>
                <w:lang w:val="en-NZ"/>
              </w:rPr>
            </w:pPr>
            <w:r w:rsidRPr="0001577F">
              <w:t>Dash system is applied to classification</w:t>
            </w:r>
          </w:p>
        </w:tc>
      </w:tr>
      <w:tr w:rsidTr="00AC301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1577F">
            <w:pPr>
              <w:pStyle w:val="BodyText"/>
              <w:rPr>
                <w:lang w:val="en-NZ"/>
              </w:rPr>
            </w:pPr>
            <w:r w:rsidRPr="0001577F">
              <w:t>5.4</w:t>
            </w:r>
          </w:p>
        </w:tc>
        <w:tc>
          <w:tcPr>
            <w:tcW w:w="0" w:type="auto"/>
            <w:tcBorders>
              <w:top w:val="nil"/>
              <w:left w:val="nil"/>
              <w:bottom w:val="nil"/>
              <w:right w:val="nil"/>
            </w:tcBorders>
            <w:tcMar>
              <w:top w:w="0" w:type="dxa"/>
              <w:left w:w="62" w:type="dxa"/>
              <w:bottom w:w="0" w:type="dxa"/>
              <w:right w:w="62" w:type="dxa"/>
            </w:tcMar>
          </w:tcPr>
          <w:p w:rsidR="00000000" w:rsidP="0001577F">
            <w:pPr>
              <w:pStyle w:val="BodyText"/>
              <w:rPr>
                <w:lang w:val="en-NZ"/>
              </w:rPr>
            </w:pPr>
            <w:r w:rsidRPr="0001577F">
              <w:t>Relevant precedents are applied when classifying goods</w:t>
            </w:r>
          </w:p>
        </w:tc>
      </w:tr>
      <w:tr w:rsidTr="00AC3012">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1577F" w:rsidP="0001577F">
            <w:pPr>
              <w:pStyle w:val="BodyText"/>
            </w:pPr>
            <w:r w:rsidRPr="0001577F">
              <w:rPr>
                <w:rStyle w:val="SpecialBold"/>
              </w:rPr>
              <w:t>6</w:t>
            </w:r>
          </w:p>
        </w:tc>
        <w:tc>
          <w:tcPr>
            <w:tcW w:w="0" w:type="auto"/>
            <w:vMerge w:val="restart"/>
            <w:tcBorders>
              <w:top w:val="nil"/>
              <w:left w:val="nil"/>
              <w:bottom w:val="nil"/>
              <w:right w:val="nil"/>
            </w:tcBorders>
            <w:tcMar>
              <w:top w:w="0" w:type="dxa"/>
              <w:left w:w="62" w:type="dxa"/>
              <w:bottom w:w="0" w:type="dxa"/>
              <w:right w:w="62" w:type="dxa"/>
            </w:tcMar>
          </w:tcPr>
          <w:p w:rsidR="00000000" w:rsidP="0001577F">
            <w:pPr>
              <w:pStyle w:val="BodyText"/>
              <w:rPr>
                <w:lang w:val="en-NZ"/>
              </w:rPr>
            </w:pPr>
            <w:r w:rsidRPr="0001577F">
              <w:rPr>
                <w:rStyle w:val="SpecialBold"/>
              </w:rPr>
              <w:t xml:space="preserve">Complete post classification requirements </w:t>
            </w:r>
          </w:p>
        </w:tc>
        <w:tc>
          <w:tcPr>
            <w:tcW w:w="0" w:type="auto"/>
            <w:tcBorders>
              <w:top w:val="nil"/>
              <w:left w:val="nil"/>
              <w:bottom w:val="nil"/>
              <w:right w:val="nil"/>
            </w:tcBorders>
            <w:tcMar>
              <w:top w:w="0" w:type="dxa"/>
              <w:left w:w="62" w:type="dxa"/>
              <w:bottom w:w="0" w:type="dxa"/>
              <w:right w:w="62" w:type="dxa"/>
            </w:tcMar>
          </w:tcPr>
          <w:p w:rsidR="00000000" w:rsidP="0001577F">
            <w:pPr>
              <w:pStyle w:val="BodyText"/>
              <w:rPr>
                <w:lang w:val="en-NZ"/>
              </w:rPr>
            </w:pPr>
            <w:r w:rsidRPr="0001577F">
              <w:t>6.1</w:t>
            </w:r>
          </w:p>
        </w:tc>
        <w:tc>
          <w:tcPr>
            <w:tcW w:w="0" w:type="auto"/>
            <w:tcBorders>
              <w:top w:val="nil"/>
              <w:left w:val="nil"/>
              <w:bottom w:val="nil"/>
              <w:right w:val="nil"/>
            </w:tcBorders>
            <w:tcMar>
              <w:top w:w="0" w:type="dxa"/>
              <w:left w:w="62" w:type="dxa"/>
              <w:bottom w:w="0" w:type="dxa"/>
              <w:right w:w="62" w:type="dxa"/>
            </w:tcMar>
          </w:tcPr>
          <w:p w:rsidR="00000000" w:rsidP="0001577F">
            <w:pPr>
              <w:pStyle w:val="BodyText"/>
              <w:rPr>
                <w:lang w:val="en-NZ"/>
              </w:rPr>
            </w:pPr>
            <w:r w:rsidRPr="0001577F">
              <w:t>Requirements for tariff classification advice are identified</w:t>
            </w:r>
          </w:p>
        </w:tc>
      </w:tr>
      <w:tr w:rsidTr="00AC301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1577F">
            <w:pPr>
              <w:pStyle w:val="BodyText"/>
              <w:rPr>
                <w:lang w:val="en-NZ"/>
              </w:rPr>
            </w:pPr>
            <w:r w:rsidRPr="0001577F">
              <w:t>6.2</w:t>
            </w:r>
          </w:p>
        </w:tc>
        <w:tc>
          <w:tcPr>
            <w:tcW w:w="0" w:type="auto"/>
            <w:tcBorders>
              <w:top w:val="nil"/>
              <w:left w:val="nil"/>
              <w:bottom w:val="nil"/>
              <w:right w:val="nil"/>
            </w:tcBorders>
            <w:tcMar>
              <w:top w:w="0" w:type="dxa"/>
              <w:left w:w="62" w:type="dxa"/>
              <w:bottom w:w="0" w:type="dxa"/>
              <w:right w:w="62" w:type="dxa"/>
            </w:tcMar>
          </w:tcPr>
          <w:p w:rsidR="00000000" w:rsidP="0001577F">
            <w:pPr>
              <w:pStyle w:val="BodyText"/>
              <w:rPr>
                <w:lang w:val="en-NZ"/>
              </w:rPr>
            </w:pPr>
            <w:r w:rsidRPr="0001577F">
              <w:t>Tariff Classification Advice Request is prepared in response to identified problems</w:t>
            </w:r>
          </w:p>
        </w:tc>
      </w:tr>
      <w:tr w:rsidTr="00AC301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1577F">
            <w:pPr>
              <w:pStyle w:val="BodyText"/>
              <w:rPr>
                <w:lang w:val="en-NZ"/>
              </w:rPr>
            </w:pPr>
            <w:r w:rsidRPr="0001577F">
              <w:t>6.3</w:t>
            </w:r>
          </w:p>
        </w:tc>
        <w:tc>
          <w:tcPr>
            <w:tcW w:w="0" w:type="auto"/>
            <w:tcBorders>
              <w:top w:val="nil"/>
              <w:left w:val="nil"/>
              <w:bottom w:val="nil"/>
              <w:right w:val="nil"/>
            </w:tcBorders>
            <w:tcMar>
              <w:top w:w="0" w:type="dxa"/>
              <w:left w:w="62" w:type="dxa"/>
              <w:bottom w:w="0" w:type="dxa"/>
              <w:right w:w="62" w:type="dxa"/>
            </w:tcMar>
          </w:tcPr>
          <w:p w:rsidR="00000000" w:rsidP="0001577F">
            <w:pPr>
              <w:pStyle w:val="BodyText"/>
              <w:rPr>
                <w:lang w:val="en-NZ"/>
              </w:rPr>
            </w:pPr>
            <w:r w:rsidRPr="0001577F">
              <w:t>Applications for Tariff Concession Order are made in response to client instructions</w:t>
            </w:r>
          </w:p>
        </w:tc>
      </w:tr>
      <w:tr w:rsidTr="00AC301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1577F">
            <w:pPr>
              <w:pStyle w:val="BodyText"/>
              <w:rPr>
                <w:lang w:val="en-NZ"/>
              </w:rPr>
            </w:pPr>
            <w:r w:rsidRPr="0001577F">
              <w:t>6.4</w:t>
            </w:r>
          </w:p>
        </w:tc>
        <w:tc>
          <w:tcPr>
            <w:tcW w:w="0" w:type="auto"/>
            <w:tcBorders>
              <w:top w:val="nil"/>
              <w:left w:val="nil"/>
              <w:bottom w:val="nil"/>
              <w:right w:val="nil"/>
            </w:tcBorders>
            <w:tcMar>
              <w:top w:w="0" w:type="dxa"/>
              <w:left w:w="62" w:type="dxa"/>
              <w:bottom w:w="0" w:type="dxa"/>
              <w:right w:w="62" w:type="dxa"/>
            </w:tcMar>
          </w:tcPr>
          <w:p w:rsidR="00000000" w:rsidP="0001577F">
            <w:pPr>
              <w:pStyle w:val="BodyText"/>
              <w:rPr>
                <w:lang w:val="en-NZ"/>
              </w:rPr>
            </w:pPr>
            <w:r w:rsidRPr="0001577F">
              <w:t xml:space="preserve">Relevant documentation and other sources of information such as that sourced from the internet or from industry experts, is retained in </w:t>
            </w:r>
            <w:r w:rsidRPr="0001577F">
              <w:t>accordance with legi</w:t>
            </w:r>
            <w:r w:rsidRPr="0001577F">
              <w:t xml:space="preserve">slative requirements and workplace procedures </w:t>
            </w:r>
          </w:p>
        </w:tc>
      </w:tr>
      <w:tr w:rsidTr="00AC301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1577F">
            <w:pPr>
              <w:pStyle w:val="BodyText"/>
              <w:rPr>
                <w:lang w:val="en-NZ"/>
              </w:rPr>
            </w:pPr>
            <w:r w:rsidRPr="0001577F">
              <w:t>6.5</w:t>
            </w:r>
          </w:p>
        </w:tc>
        <w:tc>
          <w:tcPr>
            <w:tcW w:w="0" w:type="auto"/>
            <w:tcBorders>
              <w:top w:val="nil"/>
              <w:left w:val="nil"/>
              <w:bottom w:val="nil"/>
              <w:right w:val="nil"/>
            </w:tcBorders>
            <w:tcMar>
              <w:top w:w="0" w:type="dxa"/>
              <w:left w:w="62" w:type="dxa"/>
              <w:bottom w:w="0" w:type="dxa"/>
              <w:right w:w="62" w:type="dxa"/>
            </w:tcMar>
          </w:tcPr>
          <w:p w:rsidR="00000000" w:rsidP="0001577F">
            <w:pPr>
              <w:pStyle w:val="BodyText"/>
              <w:rPr>
                <w:lang w:val="en-NZ"/>
              </w:rPr>
            </w:pPr>
            <w:r w:rsidRPr="0001577F">
              <w:t>Completed documentation is stored in accordance with Australian Customs and Border Protection and related legislative requirements, and workplace procedures</w:t>
            </w:r>
          </w:p>
        </w:tc>
      </w:tr>
      <w:tr w:rsidTr="00AC301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1577F">
            <w:pPr>
              <w:pStyle w:val="BodyText"/>
              <w:rPr>
                <w:lang w:val="en-NZ"/>
              </w:rPr>
            </w:pPr>
            <w:r w:rsidRPr="0001577F">
              <w:t>6.6</w:t>
            </w:r>
          </w:p>
        </w:tc>
        <w:tc>
          <w:tcPr>
            <w:tcW w:w="0" w:type="auto"/>
            <w:tcBorders>
              <w:top w:val="nil"/>
              <w:left w:val="nil"/>
              <w:bottom w:val="nil"/>
              <w:right w:val="nil"/>
            </w:tcBorders>
            <w:tcMar>
              <w:top w:w="0" w:type="dxa"/>
              <w:left w:w="62" w:type="dxa"/>
              <w:bottom w:w="0" w:type="dxa"/>
              <w:right w:w="62" w:type="dxa"/>
            </w:tcMar>
          </w:tcPr>
          <w:p w:rsidR="00000000" w:rsidP="0001577F">
            <w:pPr>
              <w:pStyle w:val="BodyText"/>
              <w:rPr>
                <w:lang w:val="en-NZ"/>
              </w:rPr>
            </w:pPr>
            <w:r w:rsidRPr="0001577F">
              <w:t>Tariff classification advice is provided to client in accordance with workplace procedures</w:t>
            </w:r>
          </w:p>
        </w:tc>
      </w:tr>
      <w:tr w:rsidTr="00AC301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1577F">
            <w:pPr>
              <w:pStyle w:val="BodyText"/>
              <w:rPr>
                <w:lang w:val="en-NZ"/>
              </w:rPr>
            </w:pPr>
            <w:r w:rsidRPr="0001577F">
              <w:t>6.7</w:t>
            </w:r>
          </w:p>
        </w:tc>
        <w:tc>
          <w:tcPr>
            <w:tcW w:w="0" w:type="auto"/>
            <w:tcBorders>
              <w:top w:val="nil"/>
              <w:left w:val="nil"/>
              <w:bottom w:val="nil"/>
              <w:right w:val="nil"/>
            </w:tcBorders>
            <w:tcMar>
              <w:top w:w="0" w:type="dxa"/>
              <w:left w:w="62" w:type="dxa"/>
              <w:bottom w:w="0" w:type="dxa"/>
              <w:right w:w="62" w:type="dxa"/>
            </w:tcMar>
          </w:tcPr>
          <w:p w:rsidR="00000000" w:rsidRPr="0001577F" w:rsidP="0001577F">
            <w:pPr>
              <w:pStyle w:val="BodyText"/>
            </w:pPr>
            <w:r w:rsidRPr="0001577F">
              <w:t>Pre-or post classification areas of dispute are identified and dispute resolution procedures are initiated as appropriate</w:t>
            </w:r>
          </w:p>
        </w:tc>
      </w:tr>
    </w:tbl>
    <w:p w:rsidR="00000000" w:rsidRPr="0001577F" w:rsidP="0001577F">
      <w:pPr>
        <w:pStyle w:val="BodyText"/>
      </w:pPr>
    </w:p>
    <w:p w:rsidR="00000000" w:rsidRPr="0001577F" w:rsidP="0001577F">
      <w:pPr>
        <w:pStyle w:val="AllowPageBreak"/>
      </w:pPr>
    </w:p>
    <w:p w:rsidR="00000000" w:rsidRPr="0001577F" w:rsidP="0001577F">
      <w:pPr>
        <w:pStyle w:val="Heading1"/>
      </w:pPr>
      <w:bookmarkStart w:id="9" w:name="O_628251"/>
      <w:bookmarkEnd w:id="9"/>
      <w:r w:rsidRPr="0001577F">
        <w:t>Required Skills a</w:t>
      </w:r>
      <w:r w:rsidRPr="0001577F">
        <w:t>nd Knowledge</w:t>
      </w:r>
    </w:p>
    <w:tbl>
      <w:tblPr>
        <w:tblW w:w="9640" w:type="dxa"/>
        <w:tblLayout w:type="fixed"/>
        <w:tblCellMar>
          <w:left w:w="62" w:type="dxa"/>
          <w:right w:w="62" w:type="dxa"/>
        </w:tblCellMar>
        <w:tblLook w:val="0000"/>
      </w:tblPr>
      <w:tblGrid>
        <w:gridCol w:w="9640"/>
      </w:tblGrid>
      <w:tr w:rsidTr="000157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577F">
            <w:pPr>
              <w:pStyle w:val="BodyText"/>
              <w:rPr>
                <w:lang w:val="en-NZ"/>
              </w:rPr>
            </w:pPr>
            <w:r w:rsidRPr="0001577F">
              <w:t>This section describes the knowledge and skills required for this unit.</w:t>
            </w:r>
          </w:p>
        </w:tc>
      </w:tr>
      <w:tr w:rsidTr="000157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577F">
            <w:pPr>
              <w:pStyle w:val="BodyText"/>
              <w:rPr>
                <w:lang w:val="en-NZ"/>
              </w:rPr>
            </w:pPr>
            <w:r w:rsidRPr="0001577F">
              <w:rPr>
                <w:rStyle w:val="SpecialBold"/>
              </w:rPr>
              <w:t>Required knowledge:</w:t>
            </w:r>
          </w:p>
        </w:tc>
      </w:tr>
      <w:tr w:rsidTr="000157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577F">
            <w:pPr>
              <w:pStyle w:val="ListBullet"/>
              <w:rPr>
                <w:lang w:val="en-NZ"/>
              </w:rPr>
            </w:pPr>
            <w:r w:rsidRPr="0001577F">
              <w:t>Customs Act 1901 and related legislation relevant to the complex classification of goods</w:t>
            </w:r>
          </w:p>
        </w:tc>
      </w:tr>
      <w:tr w:rsidTr="000157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577F">
            <w:pPr>
              <w:pStyle w:val="ListBullet"/>
              <w:rPr>
                <w:lang w:val="en-NZ"/>
              </w:rPr>
            </w:pPr>
            <w:r w:rsidRPr="0001577F">
              <w:t>Dash system</w:t>
            </w:r>
          </w:p>
        </w:tc>
      </w:tr>
      <w:tr w:rsidTr="000157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577F">
            <w:pPr>
              <w:pStyle w:val="ListBullet"/>
              <w:rPr>
                <w:lang w:val="en-NZ"/>
              </w:rPr>
            </w:pPr>
            <w:r w:rsidRPr="0001577F">
              <w:t>Documentation and recording requirements to comply with customs requirements when classifying complex goods</w:t>
            </w:r>
          </w:p>
        </w:tc>
      </w:tr>
      <w:tr w:rsidTr="000157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577F">
            <w:pPr>
              <w:pStyle w:val="ListBullet"/>
              <w:rPr>
                <w:lang w:val="en-NZ"/>
              </w:rPr>
            </w:pPr>
            <w:r w:rsidRPr="0001577F">
              <w:t>Information on the process of classifying complex goods for import and export of goods through customs</w:t>
            </w:r>
          </w:p>
        </w:tc>
      </w:tr>
      <w:tr w:rsidTr="000157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577F">
            <w:pPr>
              <w:pStyle w:val="ListBullet"/>
              <w:rPr>
                <w:lang w:val="en-NZ"/>
              </w:rPr>
            </w:pPr>
            <w:r w:rsidRPr="0001577F">
              <w:t>Interpretative Rules</w:t>
            </w:r>
          </w:p>
        </w:tc>
      </w:tr>
      <w:tr w:rsidTr="000157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577F">
            <w:pPr>
              <w:pStyle w:val="ListBullet"/>
              <w:rPr>
                <w:lang w:val="en-NZ"/>
              </w:rPr>
            </w:pPr>
            <w:r w:rsidRPr="0001577F">
              <w:t xml:space="preserve">Options available </w:t>
            </w:r>
            <w:r w:rsidRPr="0001577F">
              <w:t>for resolving disputes</w:t>
            </w:r>
          </w:p>
        </w:tc>
      </w:tr>
      <w:tr w:rsidTr="000157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577F">
            <w:pPr>
              <w:pStyle w:val="ListBullet"/>
              <w:rPr>
                <w:lang w:val="en-NZ"/>
              </w:rPr>
            </w:pPr>
            <w:r w:rsidRPr="0001577F">
              <w:t>Procedural steps required to undertake work activities</w:t>
            </w:r>
          </w:p>
        </w:tc>
      </w:tr>
      <w:tr w:rsidTr="000157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577F">
            <w:pPr>
              <w:pStyle w:val="ListBullet"/>
              <w:rPr>
                <w:lang w:val="en-NZ"/>
              </w:rPr>
            </w:pPr>
            <w:r w:rsidRPr="0001577F">
              <w:t>Relevant information to provide to clients</w:t>
            </w:r>
          </w:p>
        </w:tc>
      </w:tr>
      <w:tr w:rsidTr="000157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577F">
            <w:pPr>
              <w:pStyle w:val="ListBullet"/>
              <w:rPr>
                <w:lang w:val="en-NZ"/>
              </w:rPr>
            </w:pPr>
            <w:r w:rsidRPr="0001577F">
              <w:t xml:space="preserve">Sources of information on current developments when classifying complex goods for </w:t>
            </w:r>
            <w:r w:rsidRPr="0001577F">
              <w:t>the import and export of goods through customs (AAT cases, court cases)</w:t>
            </w:r>
          </w:p>
        </w:tc>
      </w:tr>
      <w:tr w:rsidTr="000157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1577F" w:rsidP="0001577F">
            <w:pPr>
              <w:pStyle w:val="ListBullet"/>
            </w:pPr>
            <w:r w:rsidRPr="0001577F">
              <w:t>Strategies to classify:</w:t>
            </w:r>
          </w:p>
          <w:p w:rsidR="00000000" w:rsidRPr="0001577F" w:rsidP="0001577F">
            <w:pPr>
              <w:pStyle w:val="ListBullet2"/>
            </w:pPr>
            <w:r w:rsidRPr="0001577F">
              <w:t>functional units</w:t>
            </w:r>
          </w:p>
          <w:p w:rsidR="00000000" w:rsidRPr="0001577F" w:rsidP="0001577F">
            <w:pPr>
              <w:pStyle w:val="ListBullet2"/>
            </w:pPr>
            <w:r w:rsidRPr="0001577F">
              <w:t xml:space="preserve">multifunction machines </w:t>
            </w:r>
          </w:p>
          <w:p w:rsidR="00000000" w:rsidP="0001577F">
            <w:pPr>
              <w:pStyle w:val="ListBullet2"/>
              <w:rPr>
                <w:lang w:val="en-NZ"/>
              </w:rPr>
            </w:pPr>
            <w:r w:rsidRPr="0001577F">
              <w:t>parts and accessories</w:t>
            </w:r>
          </w:p>
        </w:tc>
      </w:tr>
      <w:tr w:rsidTr="000157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577F">
            <w:pPr>
              <w:pStyle w:val="ListBullet"/>
              <w:rPr>
                <w:lang w:val="en-NZ"/>
              </w:rPr>
            </w:pPr>
            <w:r w:rsidRPr="0001577F">
              <w:t>Strategies to implement new developments in the classification of complex goods</w:t>
            </w:r>
          </w:p>
        </w:tc>
      </w:tr>
      <w:tr w:rsidTr="000157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577F">
            <w:pPr>
              <w:pStyle w:val="ListBullet"/>
              <w:rPr>
                <w:lang w:val="en-NZ"/>
              </w:rPr>
            </w:pPr>
            <w:r w:rsidRPr="0001577F">
              <w:t>Tariff Advices</w:t>
            </w:r>
          </w:p>
        </w:tc>
      </w:tr>
      <w:tr w:rsidTr="000157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1577F" w:rsidP="0001577F">
            <w:pPr>
              <w:pStyle w:val="ListBullet"/>
            </w:pPr>
            <w:r w:rsidRPr="0001577F">
              <w:t>Types of goods considered complex, and related classification and documentation requirements</w:t>
            </w:r>
          </w:p>
        </w:tc>
      </w:tr>
    </w:tbl>
    <w:p w:rsidR="00000000" w:rsidRPr="0001577F" w:rsidP="0001577F">
      <w:pPr>
        <w:pStyle w:val="BodyText"/>
      </w:pPr>
    </w:p>
    <w:tbl>
      <w:tblPr>
        <w:tblW w:w="9640" w:type="dxa"/>
        <w:tblLayout w:type="fixed"/>
        <w:tblCellMar>
          <w:left w:w="62" w:type="dxa"/>
          <w:right w:w="62" w:type="dxa"/>
        </w:tblCellMar>
        <w:tblLook w:val="0000"/>
      </w:tblPr>
      <w:tblGrid>
        <w:gridCol w:w="9640"/>
      </w:tblGrid>
      <w:tr w:rsidTr="000157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577F">
            <w:pPr>
              <w:pStyle w:val="BodyText"/>
              <w:rPr>
                <w:lang w:val="en-NZ"/>
              </w:rPr>
            </w:pPr>
            <w:r w:rsidRPr="0001577F">
              <w:rPr>
                <w:rStyle w:val="SpecialBold"/>
              </w:rPr>
              <w:t>Required skills:</w:t>
            </w:r>
          </w:p>
        </w:tc>
      </w:tr>
      <w:tr w:rsidTr="000157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577F">
            <w:pPr>
              <w:pStyle w:val="ListBullet"/>
              <w:rPr>
                <w:lang w:val="en-NZ"/>
              </w:rPr>
            </w:pPr>
            <w:r w:rsidRPr="0001577F">
              <w:t>Carry out advanced calculations</w:t>
            </w:r>
          </w:p>
        </w:tc>
      </w:tr>
      <w:tr w:rsidTr="000157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577F">
            <w:pPr>
              <w:pStyle w:val="ListBullet"/>
              <w:rPr>
                <w:lang w:val="en-NZ"/>
              </w:rPr>
            </w:pPr>
            <w:r w:rsidRPr="0001577F">
              <w:t>Communicate effectively with clients</w:t>
            </w:r>
          </w:p>
        </w:tc>
      </w:tr>
      <w:tr w:rsidTr="000157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577F">
            <w:pPr>
              <w:pStyle w:val="ListBullet"/>
              <w:rPr>
                <w:lang w:val="en-NZ"/>
              </w:rPr>
            </w:pPr>
            <w:r w:rsidRPr="0001577F">
              <w:t>Follow designated process for classifying goods</w:t>
            </w:r>
          </w:p>
        </w:tc>
      </w:tr>
      <w:tr w:rsidTr="000157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577F">
            <w:pPr>
              <w:pStyle w:val="ListBullet"/>
              <w:rPr>
                <w:lang w:val="en-NZ"/>
              </w:rPr>
            </w:pPr>
            <w:r w:rsidRPr="0001577F">
              <w:t>Gather and analyse information</w:t>
            </w:r>
          </w:p>
        </w:tc>
      </w:tr>
      <w:tr w:rsidTr="000157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577F">
            <w:pPr>
              <w:pStyle w:val="ListBullet"/>
              <w:rPr>
                <w:lang w:val="en-NZ"/>
              </w:rPr>
            </w:pPr>
            <w:r w:rsidRPr="0001577F">
              <w:t>Identify, interpret and learn new skills and new knowledge to maintain currency when classifying complex goods</w:t>
            </w:r>
          </w:p>
        </w:tc>
      </w:tr>
      <w:tr w:rsidTr="000157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577F">
            <w:pPr>
              <w:pStyle w:val="ListBullet"/>
              <w:rPr>
                <w:lang w:val="en-NZ"/>
              </w:rPr>
            </w:pPr>
            <w:r w:rsidRPr="0001577F">
              <w:t>Locate, read and interpret instructions, procedures and other information relevant to classifying complex good</w:t>
            </w:r>
            <w:r w:rsidRPr="0001577F">
              <w:t>s</w:t>
            </w:r>
          </w:p>
        </w:tc>
      </w:tr>
      <w:tr w:rsidTr="000157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577F">
            <w:pPr>
              <w:pStyle w:val="ListBullet"/>
              <w:rPr>
                <w:lang w:val="en-NZ"/>
              </w:rPr>
            </w:pPr>
            <w:r w:rsidRPr="0001577F">
              <w:t>Maintain workplace documentation and records</w:t>
            </w:r>
          </w:p>
        </w:tc>
      </w:tr>
      <w:tr w:rsidTr="000157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577F">
            <w:pPr>
              <w:pStyle w:val="ListBullet"/>
              <w:rPr>
                <w:lang w:val="en-NZ"/>
              </w:rPr>
            </w:pPr>
            <w:r w:rsidRPr="0001577F">
              <w:t>Plan and organise work activities when classifying complex goods</w:t>
            </w:r>
          </w:p>
        </w:tc>
      </w:tr>
      <w:tr w:rsidTr="000157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577F">
            <w:pPr>
              <w:pStyle w:val="ListBullet"/>
              <w:rPr>
                <w:lang w:val="en-NZ"/>
              </w:rPr>
            </w:pPr>
            <w:r w:rsidRPr="0001577F">
              <w:t>Read and interpret the Customs Tariff Act 1995 and related legislation for classifying complex goods</w:t>
            </w:r>
          </w:p>
        </w:tc>
      </w:tr>
      <w:tr w:rsidTr="000157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577F">
            <w:pPr>
              <w:pStyle w:val="ListBullet"/>
              <w:rPr>
                <w:lang w:val="en-NZ"/>
              </w:rPr>
            </w:pPr>
            <w:r w:rsidRPr="0001577F">
              <w:t>Select and use appropriate technical terms</w:t>
            </w:r>
          </w:p>
        </w:tc>
      </w:tr>
      <w:tr w:rsidTr="000157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577F">
            <w:pPr>
              <w:pStyle w:val="ListBullet"/>
              <w:rPr>
                <w:lang w:val="en-NZ"/>
              </w:rPr>
            </w:pPr>
            <w:r w:rsidRPr="0001577F">
              <w:t>Select and use relevant communication methods and office equipment suitable for the task</w:t>
            </w:r>
          </w:p>
        </w:tc>
      </w:tr>
      <w:tr w:rsidTr="000157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577F">
            <w:pPr>
              <w:pStyle w:val="ListBullet"/>
              <w:rPr>
                <w:lang w:val="en-NZ"/>
              </w:rPr>
            </w:pPr>
            <w:r w:rsidRPr="0001577F">
              <w:t>Solve problems that may arise when classifying complex goods such as textiles and metals</w:t>
            </w:r>
          </w:p>
        </w:tc>
      </w:tr>
      <w:tr w:rsidTr="000157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1577F">
            <w:pPr>
              <w:pStyle w:val="ListBullet"/>
              <w:rPr>
                <w:lang w:val="en-NZ"/>
              </w:rPr>
            </w:pPr>
            <w:r w:rsidRPr="0001577F">
              <w:t>Use relevant software applica</w:t>
            </w:r>
            <w:r w:rsidRPr="0001577F">
              <w:t>tion systems when classifying complex goods</w:t>
            </w:r>
          </w:p>
        </w:tc>
      </w:tr>
      <w:tr w:rsidTr="0001577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1577F" w:rsidP="0001577F">
            <w:pPr>
              <w:pStyle w:val="ListBullet"/>
            </w:pPr>
            <w:r w:rsidRPr="0001577F">
              <w:t>Work systematically with required attention to detail</w:t>
            </w:r>
          </w:p>
        </w:tc>
      </w:tr>
    </w:tbl>
    <w:p w:rsidR="00000000" w:rsidRPr="0001577F" w:rsidP="0001577F">
      <w:pPr>
        <w:pStyle w:val="BodyText"/>
      </w:pPr>
    </w:p>
    <w:p w:rsidR="00000000" w:rsidRPr="0001577F" w:rsidP="0001577F">
      <w:pPr>
        <w:pStyle w:val="AllowPageBreak"/>
      </w:pPr>
    </w:p>
    <w:p w:rsidR="00000000" w:rsidRPr="0001577F" w:rsidP="0001577F">
      <w:pPr>
        <w:pStyle w:val="Heading1"/>
      </w:pPr>
      <w:bookmarkStart w:id="10" w:name="O_628252"/>
      <w:bookmarkEnd w:id="10"/>
      <w:r w:rsidRPr="0001577F">
        <w:t>Evidence Guide</w:t>
      </w:r>
    </w:p>
    <w:tbl>
      <w:tblPr>
        <w:tblW w:w="9640" w:type="dxa"/>
        <w:tblLayout w:type="fixed"/>
        <w:tblCellMar>
          <w:left w:w="62" w:type="dxa"/>
          <w:right w:w="62" w:type="dxa"/>
        </w:tblCellMar>
        <w:tblLook w:val="0000"/>
      </w:tblPr>
      <w:tblGrid>
        <w:gridCol w:w="3338"/>
        <w:gridCol w:w="6302"/>
      </w:tblGrid>
      <w:tr w:rsidTr="0001577F">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01577F">
            <w:pPr>
              <w:pStyle w:val="BodyText"/>
              <w:rPr>
                <w:lang w:val="en-NZ"/>
              </w:rPr>
            </w:pPr>
            <w:r w:rsidRPr="0001577F">
              <w:t>The evidence guide provides advice on assessment and must be read in conjunction with the performance criteria, required knowledge and skills, the range statement and the assessment guidelines for this Training Package.</w:t>
            </w:r>
          </w:p>
        </w:tc>
      </w:tr>
      <w:tr w:rsidTr="0001577F">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01577F">
            <w:pPr>
              <w:pStyle w:val="BodyText"/>
              <w:rPr>
                <w:lang w:val="en-NZ"/>
              </w:rPr>
            </w:pPr>
            <w:r w:rsidRPr="0001577F">
              <w:rPr>
                <w:rStyle w:val="SpecialBold"/>
              </w:rPr>
              <w:t>Critical aspects for assessment an</w:t>
            </w:r>
            <w:r w:rsidRPr="0001577F">
              <w:rPr>
                <w:rStyle w:val="SpecialBold"/>
              </w:rPr>
              <w:t>d evidence required to demonstrate competency in this unit</w:t>
            </w:r>
          </w:p>
        </w:tc>
        <w:tc>
          <w:tcPr>
            <w:tcW w:w="6302" w:type="dxa"/>
            <w:tcBorders>
              <w:top w:val="nil"/>
              <w:left w:val="nil"/>
              <w:bottom w:val="nil"/>
              <w:right w:val="nil"/>
            </w:tcBorders>
            <w:tcMar>
              <w:top w:w="0" w:type="dxa"/>
              <w:left w:w="62" w:type="dxa"/>
              <w:bottom w:w="0" w:type="dxa"/>
              <w:right w:w="62" w:type="dxa"/>
            </w:tcMar>
          </w:tcPr>
          <w:p w:rsidR="00000000" w:rsidRPr="0001577F" w:rsidP="0001577F">
            <w:pPr>
              <w:pStyle w:val="BodyText"/>
            </w:pPr>
            <w:r w:rsidRPr="0001577F">
              <w:t>The evidence required to demonstrate competence in this unit must be relevant to and satisfy all of the requirements of the Elements, Performance Criteria, Required Skills, Required Knowledge and i</w:t>
            </w:r>
            <w:r w:rsidRPr="0001577F">
              <w:t>nclude:</w:t>
            </w:r>
          </w:p>
          <w:p w:rsidR="00000000" w:rsidRPr="0001577F" w:rsidP="0001577F">
            <w:pPr>
              <w:pStyle w:val="ListBullet"/>
            </w:pPr>
            <w:r w:rsidRPr="0001577F">
              <w:t>identifying, interpreting and applying rules for interpretation of the tariff to goods</w:t>
            </w:r>
          </w:p>
          <w:p w:rsidR="00000000" w:rsidRPr="0001577F" w:rsidP="0001577F">
            <w:pPr>
              <w:pStyle w:val="ListBullet"/>
            </w:pPr>
            <w:r w:rsidRPr="0001577F">
              <w:t>sequencing activity in a way that facilitates the classification of complex goods</w:t>
            </w:r>
          </w:p>
          <w:p w:rsidR="00000000" w:rsidRPr="0001577F" w:rsidP="0001577F">
            <w:pPr>
              <w:pStyle w:val="ListBullet"/>
            </w:pPr>
            <w:r w:rsidRPr="0001577F">
              <w:t>selecting tariff headings to classify complex goods</w:t>
            </w:r>
          </w:p>
          <w:p w:rsidR="00000000" w:rsidRPr="0001577F" w:rsidP="0001577F">
            <w:pPr>
              <w:pStyle w:val="ListBullet"/>
            </w:pPr>
            <w:r w:rsidRPr="0001577F">
              <w:t>interpreting and applying section and chapter notes</w:t>
            </w:r>
          </w:p>
          <w:p w:rsidR="00000000" w:rsidRPr="0001577F" w:rsidP="0001577F">
            <w:pPr>
              <w:pStyle w:val="ListBullet"/>
            </w:pPr>
            <w:r w:rsidRPr="0001577F">
              <w:t>selecting and justifying heading (4 figure)</w:t>
            </w:r>
          </w:p>
          <w:p w:rsidR="00000000" w:rsidRPr="0001577F" w:rsidP="0001577F">
            <w:pPr>
              <w:pStyle w:val="ListBullet"/>
            </w:pPr>
            <w:r w:rsidRPr="0001577F">
              <w:t>locating and justifying a sub-heading (6 or 8 figure)</w:t>
            </w:r>
          </w:p>
          <w:p w:rsidR="00000000" w:rsidP="0001577F">
            <w:pPr>
              <w:pStyle w:val="ListBullet"/>
              <w:rPr>
                <w:lang w:val="en-NZ"/>
              </w:rPr>
            </w:pPr>
            <w:r w:rsidRPr="0001577F">
              <w:t>completing post classification requirements.</w:t>
            </w:r>
          </w:p>
        </w:tc>
      </w:tr>
      <w:tr w:rsidTr="0001577F">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01577F">
            <w:pPr>
              <w:pStyle w:val="BodyText"/>
              <w:rPr>
                <w:lang w:val="en-NZ"/>
              </w:rPr>
            </w:pPr>
            <w:r w:rsidRPr="0001577F">
              <w:rPr>
                <w:rStyle w:val="SpecialBold"/>
              </w:rPr>
              <w:t>Context of and specific resources for assessment</w:t>
            </w:r>
          </w:p>
        </w:tc>
        <w:tc>
          <w:tcPr>
            <w:tcW w:w="6302" w:type="dxa"/>
            <w:tcBorders>
              <w:top w:val="nil"/>
              <w:left w:val="nil"/>
              <w:bottom w:val="nil"/>
              <w:right w:val="nil"/>
            </w:tcBorders>
            <w:tcMar>
              <w:top w:w="0" w:type="dxa"/>
              <w:left w:w="62" w:type="dxa"/>
              <w:bottom w:w="0" w:type="dxa"/>
              <w:right w:w="62" w:type="dxa"/>
            </w:tcMar>
          </w:tcPr>
          <w:p w:rsidR="00000000" w:rsidRPr="0001577F" w:rsidP="0001577F">
            <w:pPr>
              <w:pStyle w:val="BodyText"/>
            </w:pPr>
            <w:r w:rsidRPr="0001577F">
              <w:t>Performance</w:t>
            </w:r>
            <w:r w:rsidRPr="0001577F">
              <w:t xml:space="preserve"> is demonstrated consistently over time and in a suitable range of contexts.</w:t>
            </w:r>
          </w:p>
          <w:p w:rsidR="00000000" w:rsidRPr="0001577F" w:rsidP="0001577F">
            <w:pPr>
              <w:pStyle w:val="BodyText"/>
            </w:pPr>
            <w:r w:rsidRPr="0001577F">
              <w:t>Resources for assessment include access to:</w:t>
            </w:r>
          </w:p>
          <w:p w:rsidR="00000000" w:rsidRPr="0001577F" w:rsidP="0001577F">
            <w:pPr>
              <w:pStyle w:val="ListBullet"/>
            </w:pPr>
            <w:r w:rsidRPr="0001577F">
              <w:t>a range of relevant exercises, case studies, scenarios or other simulated practical and knowledge assessments</w:t>
            </w:r>
          </w:p>
          <w:p w:rsidR="00000000" w:rsidRPr="0001577F" w:rsidP="0001577F">
            <w:pPr>
              <w:pStyle w:val="ListBullet"/>
            </w:pPr>
            <w:r w:rsidRPr="0001577F">
              <w:t>an appropriate rang of r</w:t>
            </w:r>
            <w:r w:rsidRPr="0001577F">
              <w:t>elevant operational situations in the workplace</w:t>
            </w:r>
          </w:p>
          <w:p w:rsidR="00000000" w:rsidRPr="0001577F" w:rsidP="0001577F">
            <w:pPr>
              <w:pStyle w:val="BodyText"/>
            </w:pPr>
            <w:r w:rsidRPr="0001577F">
              <w:t>In both real and simulated environments, access is required to:</w:t>
            </w:r>
          </w:p>
          <w:p w:rsidR="00000000" w:rsidRPr="0001577F" w:rsidP="0001577F">
            <w:pPr>
              <w:pStyle w:val="ListBullet"/>
            </w:pPr>
            <w:r w:rsidRPr="0001577F">
              <w:t>relevant and appropriate materials and equipment</w:t>
            </w:r>
          </w:p>
          <w:p w:rsidR="00000000" w:rsidP="0001577F">
            <w:pPr>
              <w:pStyle w:val="ListBullet"/>
              <w:rPr>
                <w:lang w:val="en-NZ"/>
              </w:rPr>
            </w:pPr>
            <w:r w:rsidRPr="0001577F">
              <w:t>applicable documentation including workplace procedures, regulations, operational procedures a</w:t>
            </w:r>
            <w:r w:rsidRPr="0001577F">
              <w:t>nd software application systems.</w:t>
            </w:r>
          </w:p>
        </w:tc>
      </w:tr>
      <w:tr w:rsidTr="0001577F">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01577F">
            <w:pPr>
              <w:pStyle w:val="BodyText"/>
              <w:rPr>
                <w:lang w:val="en-NZ"/>
              </w:rPr>
            </w:pPr>
            <w:r w:rsidRPr="0001577F">
              <w:rPr>
                <w:rStyle w:val="SpecialBold"/>
              </w:rPr>
              <w:t>Method of assessment</w:t>
            </w:r>
          </w:p>
        </w:tc>
        <w:tc>
          <w:tcPr>
            <w:tcW w:w="6302" w:type="dxa"/>
            <w:tcBorders>
              <w:top w:val="nil"/>
              <w:left w:val="nil"/>
              <w:bottom w:val="nil"/>
              <w:right w:val="nil"/>
            </w:tcBorders>
            <w:tcMar>
              <w:top w:w="0" w:type="dxa"/>
              <w:left w:w="62" w:type="dxa"/>
              <w:bottom w:w="0" w:type="dxa"/>
              <w:right w:w="62" w:type="dxa"/>
            </w:tcMar>
          </w:tcPr>
          <w:p w:rsidR="00000000" w:rsidRPr="0001577F" w:rsidP="0001577F">
            <w:pPr>
              <w:pStyle w:val="BodyText"/>
            </w:pPr>
            <w:r w:rsidRPr="0001577F">
              <w:t>Practical assessment must occur in an:</w:t>
            </w:r>
          </w:p>
          <w:p w:rsidR="00000000" w:rsidRPr="0001577F" w:rsidP="0001577F">
            <w:pPr>
              <w:pStyle w:val="ListBullet"/>
            </w:pPr>
            <w:r w:rsidRPr="0001577F">
              <w:t>appropriately simulated workplace environment and/or</w:t>
            </w:r>
          </w:p>
          <w:p w:rsidR="00000000" w:rsidRPr="0001577F" w:rsidP="0001577F">
            <w:pPr>
              <w:pStyle w:val="ListBullet"/>
            </w:pPr>
            <w:r w:rsidRPr="0001577F">
              <w:t>appropriate range of situations in the workplace</w:t>
            </w:r>
          </w:p>
          <w:p w:rsidR="00000000" w:rsidRPr="0001577F" w:rsidP="0001577F">
            <w:pPr>
              <w:pStyle w:val="BodyText"/>
            </w:pPr>
            <w:r w:rsidRPr="0001577F">
              <w:t>A range of asses</w:t>
            </w:r>
            <w:r w:rsidRPr="0001577F">
              <w:t>sment methods should be used to assess practical skills and knowledge. The following examples are appropriate to this unit:</w:t>
            </w:r>
          </w:p>
          <w:p w:rsidR="00000000" w:rsidRPr="0001577F" w:rsidP="0001577F">
            <w:pPr>
              <w:pStyle w:val="ListBullet"/>
            </w:pPr>
            <w:r w:rsidRPr="0001577F">
              <w:t>direct observation of the candidate undertaking the classification of complex goods</w:t>
            </w:r>
          </w:p>
          <w:p w:rsidR="00000000" w:rsidRPr="0001577F" w:rsidP="0001577F">
            <w:pPr>
              <w:pStyle w:val="ListBullet"/>
            </w:pPr>
            <w:r w:rsidRPr="0001577F">
              <w:t>appropriate knowledge assessments regarding the</w:t>
            </w:r>
            <w:r w:rsidRPr="0001577F">
              <w:t xml:space="preserve"> classification of complex goods.</w:t>
            </w:r>
          </w:p>
        </w:tc>
      </w:tr>
    </w:tbl>
    <w:p w:rsidR="00000000" w:rsidRPr="0001577F" w:rsidP="0001577F">
      <w:pPr>
        <w:pStyle w:val="BodyText"/>
      </w:pPr>
    </w:p>
    <w:p w:rsidR="00000000" w:rsidRPr="0001577F" w:rsidP="0001577F">
      <w:pPr>
        <w:pStyle w:val="AllowPageBreak"/>
      </w:pPr>
    </w:p>
    <w:p w:rsidR="00000000" w:rsidRPr="0001577F" w:rsidP="0001577F">
      <w:pPr>
        <w:pStyle w:val="Heading1"/>
      </w:pPr>
      <w:bookmarkStart w:id="11" w:name="O_628253"/>
      <w:bookmarkEnd w:id="11"/>
      <w:r w:rsidRPr="0001577F">
        <w:t>Range Statement</w:t>
      </w:r>
    </w:p>
    <w:tbl>
      <w:tblPr>
        <w:tblW w:w="0" w:type="auto"/>
        <w:tblCellMar>
          <w:left w:w="62" w:type="dxa"/>
          <w:right w:w="62" w:type="dxa"/>
        </w:tblCellMar>
        <w:tblLook w:val="0000"/>
      </w:tblPr>
      <w:tblGrid>
        <w:gridCol w:w="2586"/>
        <w:gridCol w:w="6610"/>
      </w:tblGrid>
      <w:tr w:rsidTr="00AC301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1577F">
            <w:pPr>
              <w:pStyle w:val="BodyText"/>
              <w:rPr>
                <w:lang w:val="en-NZ"/>
              </w:rPr>
            </w:pPr>
            <w:r w:rsidRPr="0001577F">
              <w:t>The range statement relates to the unit of competency as a whole. It allows for different work environments and situations that may affect performance.</w:t>
            </w:r>
          </w:p>
        </w:tc>
      </w:tr>
      <w:tr w:rsidTr="00AC30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1577F">
            <w:pPr>
              <w:pStyle w:val="BodyText"/>
              <w:rPr>
                <w:lang w:val="en-NZ"/>
              </w:rPr>
            </w:pPr>
            <w:r w:rsidRPr="0001577F">
              <w:t>Information on relevant aspects for classifying goods for import and export of goods may include:</w:t>
            </w:r>
          </w:p>
        </w:tc>
        <w:tc>
          <w:tcPr>
            <w:tcW w:w="0" w:type="auto"/>
            <w:tcBorders>
              <w:top w:val="nil"/>
              <w:left w:val="nil"/>
              <w:bottom w:val="nil"/>
              <w:right w:val="nil"/>
            </w:tcBorders>
            <w:tcMar>
              <w:top w:w="0" w:type="dxa"/>
              <w:left w:w="62" w:type="dxa"/>
              <w:bottom w:w="0" w:type="dxa"/>
              <w:right w:w="62" w:type="dxa"/>
            </w:tcMar>
          </w:tcPr>
          <w:p w:rsidR="00000000" w:rsidRPr="0001577F" w:rsidP="0001577F">
            <w:pPr>
              <w:pStyle w:val="ListBullet"/>
            </w:pPr>
            <w:r w:rsidRPr="0001577F">
              <w:t>Australian Harmonised Export Commodity Class (AHECC)</w:t>
            </w:r>
          </w:p>
          <w:p w:rsidR="00000000" w:rsidRPr="0001577F" w:rsidP="0001577F">
            <w:pPr>
              <w:pStyle w:val="ListBullet"/>
            </w:pPr>
            <w:r w:rsidRPr="0001577F">
              <w:t>Contents and purpose of Customs Tariff Act 1995, Schedule 1, 2, 3 and 4</w:t>
            </w:r>
          </w:p>
          <w:p w:rsidR="00000000" w:rsidP="0001577F">
            <w:pPr>
              <w:pStyle w:val="ListBullet"/>
              <w:rPr>
                <w:lang w:val="en-NZ"/>
              </w:rPr>
            </w:pPr>
            <w:r w:rsidRPr="0001577F">
              <w:t>procedures for classifying compl</w:t>
            </w:r>
            <w:r w:rsidRPr="0001577F">
              <w:t>ex goods</w:t>
            </w:r>
          </w:p>
        </w:tc>
      </w:tr>
      <w:tr w:rsidTr="00AC30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1577F" w:rsidP="0001577F">
            <w:pPr>
              <w:pStyle w:val="BodyText"/>
            </w:pPr>
            <w:r w:rsidRPr="0001577F">
              <w:t>Complex goods may include:</w:t>
            </w:r>
          </w:p>
          <w:p w:rsidR="00000000" w:rsidP="0001577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01577F" w:rsidP="0001577F">
            <w:pPr>
              <w:pStyle w:val="ListBullet"/>
            </w:pPr>
            <w:r w:rsidRPr="0001577F">
              <w:t>functional units</w:t>
            </w:r>
          </w:p>
          <w:p w:rsidR="00000000" w:rsidRPr="0001577F" w:rsidP="0001577F">
            <w:pPr>
              <w:pStyle w:val="ListBullet"/>
            </w:pPr>
            <w:r w:rsidRPr="0001577F">
              <w:t>incomplete or unassembled machines</w:t>
            </w:r>
          </w:p>
          <w:p w:rsidR="00000000" w:rsidRPr="0001577F" w:rsidP="0001577F">
            <w:pPr>
              <w:pStyle w:val="ListBullet"/>
            </w:pPr>
            <w:r w:rsidRPr="0001577F">
              <w:t>metals</w:t>
            </w:r>
          </w:p>
          <w:p w:rsidR="00000000" w:rsidRPr="0001577F" w:rsidP="0001577F">
            <w:pPr>
              <w:pStyle w:val="ListBullet"/>
            </w:pPr>
            <w:r w:rsidRPr="0001577F">
              <w:t>multi-function or composite machines</w:t>
            </w:r>
          </w:p>
          <w:p w:rsidR="00000000" w:rsidRPr="0001577F" w:rsidP="0001577F">
            <w:pPr>
              <w:pStyle w:val="ListBullet"/>
            </w:pPr>
            <w:r w:rsidRPr="0001577F">
              <w:t>parts and accessories</w:t>
            </w:r>
          </w:p>
          <w:p w:rsidR="00000000" w:rsidRPr="0001577F" w:rsidP="0001577F">
            <w:pPr>
              <w:pStyle w:val="ListBullet"/>
            </w:pPr>
            <w:r w:rsidRPr="0001577F">
              <w:t>sets</w:t>
            </w:r>
          </w:p>
          <w:p w:rsidR="00000000" w:rsidP="0001577F">
            <w:pPr>
              <w:pStyle w:val="ListBullet"/>
              <w:rPr>
                <w:lang w:val="en-NZ"/>
              </w:rPr>
            </w:pPr>
            <w:r w:rsidRPr="0001577F">
              <w:t>textiles</w:t>
            </w:r>
          </w:p>
        </w:tc>
      </w:tr>
      <w:tr w:rsidTr="00AC30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1577F">
            <w:pPr>
              <w:pStyle w:val="BodyText"/>
              <w:rPr>
                <w:lang w:val="en-NZ"/>
              </w:rPr>
            </w:pPr>
            <w:r w:rsidRPr="0001577F">
              <w:t>Objective classification may include:</w:t>
            </w:r>
          </w:p>
        </w:tc>
        <w:tc>
          <w:tcPr>
            <w:tcW w:w="0" w:type="auto"/>
            <w:tcBorders>
              <w:top w:val="nil"/>
              <w:left w:val="nil"/>
              <w:bottom w:val="nil"/>
              <w:right w:val="nil"/>
            </w:tcBorders>
            <w:tcMar>
              <w:top w:w="0" w:type="dxa"/>
              <w:left w:w="62" w:type="dxa"/>
              <w:bottom w:w="0" w:type="dxa"/>
              <w:right w:w="62" w:type="dxa"/>
            </w:tcMar>
          </w:tcPr>
          <w:p w:rsidR="00000000" w:rsidRPr="0001577F" w:rsidP="0001577F">
            <w:pPr>
              <w:pStyle w:val="ListBullet"/>
            </w:pPr>
            <w:r w:rsidRPr="0001577F">
              <w:t>collating as much information as possible about the goods and the condition they are in as imported</w:t>
            </w:r>
          </w:p>
          <w:p w:rsidR="00000000" w:rsidRPr="0001577F" w:rsidP="0001577F">
            <w:pPr>
              <w:pStyle w:val="ListBullet"/>
            </w:pPr>
            <w:r w:rsidRPr="0001577F">
              <w:t>importer advice and illustrative descriptive material (IDM)</w:t>
            </w:r>
          </w:p>
          <w:p w:rsidR="00000000" w:rsidP="0001577F">
            <w:pPr>
              <w:pStyle w:val="ListBullet"/>
              <w:rPr>
                <w:lang w:val="en-NZ"/>
              </w:rPr>
            </w:pPr>
            <w:r w:rsidRPr="0001577F">
              <w:t>managers/employers</w:t>
            </w:r>
          </w:p>
        </w:tc>
      </w:tr>
      <w:tr w:rsidTr="00AC30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1577F">
            <w:pPr>
              <w:pStyle w:val="BodyText"/>
              <w:rPr>
                <w:lang w:val="en-NZ"/>
              </w:rPr>
            </w:pPr>
            <w:r w:rsidRPr="0001577F">
              <w:t>Analytical classification may include:</w:t>
            </w:r>
          </w:p>
        </w:tc>
        <w:tc>
          <w:tcPr>
            <w:tcW w:w="0" w:type="auto"/>
            <w:tcBorders>
              <w:top w:val="nil"/>
              <w:left w:val="nil"/>
              <w:bottom w:val="nil"/>
              <w:right w:val="nil"/>
            </w:tcBorders>
            <w:tcMar>
              <w:top w:w="0" w:type="dxa"/>
              <w:left w:w="62" w:type="dxa"/>
              <w:bottom w:w="0" w:type="dxa"/>
              <w:right w:w="62" w:type="dxa"/>
            </w:tcMar>
          </w:tcPr>
          <w:p w:rsidR="00000000" w:rsidRPr="0001577F" w:rsidP="0001577F">
            <w:pPr>
              <w:pStyle w:val="ListBullet"/>
            </w:pPr>
            <w:r w:rsidRPr="0001577F">
              <w:t>tariff parlance</w:t>
            </w:r>
          </w:p>
          <w:p w:rsidR="00000000" w:rsidP="0001577F">
            <w:pPr>
              <w:pStyle w:val="ListBullet"/>
              <w:rPr>
                <w:lang w:val="en-NZ"/>
              </w:rPr>
            </w:pPr>
            <w:r w:rsidRPr="0001577F">
              <w:t>technical aspects of</w:t>
            </w:r>
            <w:r w:rsidRPr="0001577F">
              <w:t xml:space="preserve"> goods</w:t>
            </w:r>
          </w:p>
        </w:tc>
      </w:tr>
      <w:tr w:rsidTr="00AC30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1577F">
            <w:pPr>
              <w:pStyle w:val="BodyText"/>
              <w:rPr>
                <w:lang w:val="en-NZ"/>
              </w:rPr>
            </w:pPr>
            <w:r w:rsidRPr="0001577F">
              <w:t>Harmonised system terminology may include:</w:t>
            </w:r>
          </w:p>
        </w:tc>
        <w:tc>
          <w:tcPr>
            <w:tcW w:w="0" w:type="auto"/>
            <w:tcBorders>
              <w:top w:val="nil"/>
              <w:left w:val="nil"/>
              <w:bottom w:val="nil"/>
              <w:right w:val="nil"/>
            </w:tcBorders>
            <w:tcMar>
              <w:top w:w="0" w:type="dxa"/>
              <w:left w:w="62" w:type="dxa"/>
              <w:bottom w:w="0" w:type="dxa"/>
              <w:right w:w="62" w:type="dxa"/>
            </w:tcMar>
          </w:tcPr>
          <w:p w:rsidR="00000000" w:rsidP="0001577F">
            <w:pPr>
              <w:pStyle w:val="ListBullet"/>
              <w:rPr>
                <w:lang w:val="en-NZ"/>
              </w:rPr>
            </w:pPr>
            <w:r w:rsidRPr="0001577F">
              <w:t>sufficient identification terminology to be transferred into tariff terminology</w:t>
            </w:r>
          </w:p>
        </w:tc>
      </w:tr>
      <w:tr w:rsidTr="00AC30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1577F">
            <w:pPr>
              <w:pStyle w:val="BodyText"/>
              <w:rPr>
                <w:lang w:val="en-NZ"/>
              </w:rPr>
            </w:pPr>
            <w:r w:rsidRPr="0001577F">
              <w:t>Clarification and assistance may include:</w:t>
            </w:r>
          </w:p>
        </w:tc>
        <w:tc>
          <w:tcPr>
            <w:tcW w:w="0" w:type="auto"/>
            <w:tcBorders>
              <w:top w:val="nil"/>
              <w:left w:val="nil"/>
              <w:bottom w:val="nil"/>
              <w:right w:val="nil"/>
            </w:tcBorders>
            <w:tcMar>
              <w:top w:w="0" w:type="dxa"/>
              <w:left w:w="62" w:type="dxa"/>
              <w:bottom w:w="0" w:type="dxa"/>
              <w:right w:w="62" w:type="dxa"/>
            </w:tcMar>
          </w:tcPr>
          <w:p w:rsidR="00000000" w:rsidRPr="0001577F" w:rsidP="0001577F">
            <w:pPr>
              <w:pStyle w:val="ListBullet"/>
            </w:pPr>
            <w:r w:rsidRPr="0001577F">
              <w:t>advice from client, experienced colleagues, customs staff, industry specific technical experts</w:t>
            </w:r>
          </w:p>
          <w:p w:rsidR="00000000" w:rsidRPr="0001577F" w:rsidP="0001577F">
            <w:pPr>
              <w:pStyle w:val="ListBullet"/>
            </w:pPr>
            <w:r w:rsidRPr="0001577F">
              <w:t>classification software</w:t>
            </w:r>
          </w:p>
          <w:p w:rsidR="00000000" w:rsidP="0001577F">
            <w:pPr>
              <w:pStyle w:val="ListBullet"/>
              <w:rPr>
                <w:lang w:val="en-NZ"/>
              </w:rPr>
            </w:pPr>
            <w:r w:rsidRPr="0001577F">
              <w:t>commercially available additional resources</w:t>
            </w:r>
          </w:p>
        </w:tc>
      </w:tr>
      <w:tr w:rsidTr="00AC30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1577F">
            <w:pPr>
              <w:pStyle w:val="BodyText"/>
              <w:rPr>
                <w:lang w:val="en-NZ"/>
              </w:rPr>
            </w:pPr>
            <w:r w:rsidRPr="0001577F">
              <w:t>Tools may include:</w:t>
            </w:r>
          </w:p>
        </w:tc>
        <w:tc>
          <w:tcPr>
            <w:tcW w:w="0" w:type="auto"/>
            <w:tcBorders>
              <w:top w:val="nil"/>
              <w:left w:val="nil"/>
              <w:bottom w:val="nil"/>
              <w:right w:val="nil"/>
            </w:tcBorders>
            <w:tcMar>
              <w:top w:w="0" w:type="dxa"/>
              <w:left w:w="62" w:type="dxa"/>
              <w:bottom w:w="0" w:type="dxa"/>
              <w:right w:w="62" w:type="dxa"/>
            </w:tcMar>
          </w:tcPr>
          <w:p w:rsidR="00000000" w:rsidRPr="0001577F" w:rsidP="0001577F">
            <w:pPr>
              <w:pStyle w:val="ListBullet"/>
            </w:pPr>
            <w:r w:rsidRPr="0001577F">
              <w:t>Harmonised System Explanatory Notes</w:t>
            </w:r>
          </w:p>
          <w:p w:rsidR="00000000" w:rsidRPr="0001577F" w:rsidP="0001577F">
            <w:pPr>
              <w:pStyle w:val="ListBullet"/>
            </w:pPr>
            <w:r w:rsidRPr="0001577F">
              <w:t>technical dictionaries</w:t>
            </w:r>
          </w:p>
          <w:p w:rsidR="00000000" w:rsidP="0001577F">
            <w:pPr>
              <w:pStyle w:val="ListBullet"/>
              <w:rPr>
                <w:lang w:val="en-NZ"/>
              </w:rPr>
            </w:pPr>
            <w:r w:rsidRPr="0001577F">
              <w:t>trade journal</w:t>
            </w:r>
            <w:r w:rsidRPr="0001577F">
              <w:t>s</w:t>
            </w:r>
          </w:p>
        </w:tc>
      </w:tr>
      <w:tr w:rsidTr="00AC30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1577F">
            <w:pPr>
              <w:pStyle w:val="BodyText"/>
              <w:rPr>
                <w:lang w:val="en-NZ"/>
              </w:rPr>
            </w:pPr>
            <w:r w:rsidRPr="0001577F">
              <w:t>Summary/overview may include:</w:t>
            </w:r>
          </w:p>
        </w:tc>
        <w:tc>
          <w:tcPr>
            <w:tcW w:w="0" w:type="auto"/>
            <w:tcBorders>
              <w:top w:val="nil"/>
              <w:left w:val="nil"/>
              <w:bottom w:val="nil"/>
              <w:right w:val="nil"/>
            </w:tcBorders>
            <w:tcMar>
              <w:top w:w="0" w:type="dxa"/>
              <w:left w:w="62" w:type="dxa"/>
              <w:bottom w:w="0" w:type="dxa"/>
              <w:right w:w="62" w:type="dxa"/>
            </w:tcMar>
          </w:tcPr>
          <w:p w:rsidR="00000000" w:rsidRPr="0001577F" w:rsidP="0001577F">
            <w:pPr>
              <w:pStyle w:val="ListBullet"/>
            </w:pPr>
            <w:r w:rsidRPr="0001577F">
              <w:t xml:space="preserve">AHECC </w:t>
            </w:r>
          </w:p>
          <w:p w:rsidR="00000000" w:rsidP="0001577F">
            <w:pPr>
              <w:pStyle w:val="ListBullet"/>
              <w:rPr>
                <w:lang w:val="en-NZ"/>
              </w:rPr>
            </w:pPr>
            <w:r w:rsidRPr="0001577F">
              <w:t>Customs Tariff Act 1995</w:t>
            </w:r>
          </w:p>
        </w:tc>
      </w:tr>
      <w:tr w:rsidTr="00AC30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1577F">
            <w:pPr>
              <w:pStyle w:val="BodyText"/>
              <w:rPr>
                <w:lang w:val="en-NZ"/>
              </w:rPr>
            </w:pPr>
            <w:r w:rsidRPr="0001577F">
              <w:t>References may include:</w:t>
            </w:r>
          </w:p>
        </w:tc>
        <w:tc>
          <w:tcPr>
            <w:tcW w:w="0" w:type="auto"/>
            <w:tcBorders>
              <w:top w:val="nil"/>
              <w:left w:val="nil"/>
              <w:bottom w:val="nil"/>
              <w:right w:val="nil"/>
            </w:tcBorders>
            <w:tcMar>
              <w:top w:w="0" w:type="dxa"/>
              <w:left w:w="62" w:type="dxa"/>
              <w:bottom w:w="0" w:type="dxa"/>
              <w:right w:w="62" w:type="dxa"/>
            </w:tcMar>
          </w:tcPr>
          <w:p w:rsidR="00000000" w:rsidRPr="0001577F" w:rsidP="0001577F">
            <w:pPr>
              <w:pStyle w:val="ListBullet"/>
            </w:pPr>
            <w:r w:rsidRPr="0001577F">
              <w:t xml:space="preserve">Australian Harmonised Export Classification </w:t>
            </w:r>
          </w:p>
          <w:p w:rsidR="00000000" w:rsidRPr="0001577F" w:rsidP="0001577F">
            <w:pPr>
              <w:pStyle w:val="ListBullet"/>
            </w:pPr>
            <w:r w:rsidRPr="0001577F">
              <w:t>case law</w:t>
            </w:r>
          </w:p>
          <w:p w:rsidR="00000000" w:rsidRPr="0001577F" w:rsidP="0001577F">
            <w:pPr>
              <w:pStyle w:val="ListBullet"/>
            </w:pPr>
            <w:r w:rsidRPr="0001577F">
              <w:t>Customs and related legislation</w:t>
            </w:r>
          </w:p>
          <w:p w:rsidR="00000000" w:rsidRPr="0001577F" w:rsidP="0001577F">
            <w:pPr>
              <w:pStyle w:val="ListBullet"/>
            </w:pPr>
            <w:r w:rsidRPr="0001577F">
              <w:t>Customs Tariff Act 1995 and its Schedules</w:t>
            </w:r>
          </w:p>
          <w:p w:rsidR="00000000" w:rsidRPr="0001577F" w:rsidP="0001577F">
            <w:pPr>
              <w:pStyle w:val="ListBullet"/>
            </w:pPr>
            <w:r w:rsidRPr="0001577F">
              <w:t xml:space="preserve">dash system </w:t>
            </w:r>
          </w:p>
          <w:p w:rsidR="00000000" w:rsidRPr="0001577F" w:rsidP="0001577F">
            <w:pPr>
              <w:pStyle w:val="ListBullet"/>
            </w:pPr>
            <w:r w:rsidRPr="0001577F">
              <w:t>illustrative descriptive technical material (IDM) supplied by client or supplier</w:t>
            </w:r>
          </w:p>
          <w:p w:rsidR="00000000" w:rsidRPr="0001577F" w:rsidP="0001577F">
            <w:pPr>
              <w:pStyle w:val="ListBullet"/>
            </w:pPr>
            <w:r w:rsidRPr="0001577F">
              <w:t>interpretative rules</w:t>
            </w:r>
          </w:p>
          <w:p w:rsidR="00000000" w:rsidRPr="0001577F" w:rsidP="0001577F">
            <w:pPr>
              <w:pStyle w:val="ListBullet"/>
            </w:pPr>
            <w:r w:rsidRPr="0001577F">
              <w:t>legal notes</w:t>
            </w:r>
          </w:p>
          <w:p w:rsidR="00000000" w:rsidRPr="0001577F" w:rsidP="0001577F">
            <w:pPr>
              <w:pStyle w:val="ListBullet"/>
            </w:pPr>
            <w:r w:rsidRPr="0001577F">
              <w:t>material chapters</w:t>
            </w:r>
          </w:p>
          <w:p w:rsidR="00000000" w:rsidRPr="0001577F" w:rsidP="0001577F">
            <w:pPr>
              <w:pStyle w:val="ListBullet"/>
            </w:pPr>
            <w:r w:rsidRPr="0001577F">
              <w:t xml:space="preserve">precedents </w:t>
            </w:r>
          </w:p>
          <w:p w:rsidR="00000000" w:rsidRPr="0001577F" w:rsidP="0001577F">
            <w:pPr>
              <w:pStyle w:val="ListBullet"/>
            </w:pPr>
            <w:r w:rsidRPr="0001577F">
              <w:t>section and chapter notes</w:t>
            </w:r>
          </w:p>
          <w:p w:rsidR="00000000" w:rsidRPr="0001577F" w:rsidP="0001577F">
            <w:pPr>
              <w:pStyle w:val="ListBullet"/>
            </w:pPr>
            <w:r w:rsidRPr="0001577F">
              <w:t>tariff headings</w:t>
            </w:r>
          </w:p>
          <w:p w:rsidR="00000000" w:rsidRPr="0001577F" w:rsidP="0001577F">
            <w:pPr>
              <w:pStyle w:val="ListBullet"/>
            </w:pPr>
            <w:r w:rsidRPr="0001577F">
              <w:t>tariff sub-headings</w:t>
            </w:r>
          </w:p>
          <w:p w:rsidR="00000000" w:rsidP="0001577F">
            <w:pPr>
              <w:pStyle w:val="ListBullet"/>
              <w:rPr>
                <w:lang w:val="en-NZ"/>
              </w:rPr>
            </w:pPr>
            <w:r w:rsidRPr="0001577F">
              <w:t>type chapters</w:t>
            </w:r>
          </w:p>
        </w:tc>
      </w:tr>
      <w:tr w:rsidTr="00AC30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1577F">
            <w:pPr>
              <w:pStyle w:val="BodyText"/>
              <w:rPr>
                <w:lang w:val="en-NZ"/>
              </w:rPr>
            </w:pPr>
            <w:r w:rsidRPr="0001577F">
              <w:t>New developments in the classification of complex goods may relate to changes in:</w:t>
            </w:r>
          </w:p>
        </w:tc>
        <w:tc>
          <w:tcPr>
            <w:tcW w:w="0" w:type="auto"/>
            <w:tcBorders>
              <w:top w:val="nil"/>
              <w:left w:val="nil"/>
              <w:bottom w:val="nil"/>
              <w:right w:val="nil"/>
            </w:tcBorders>
            <w:tcMar>
              <w:top w:w="0" w:type="dxa"/>
              <w:left w:w="62" w:type="dxa"/>
              <w:bottom w:w="0" w:type="dxa"/>
              <w:right w:w="62" w:type="dxa"/>
            </w:tcMar>
          </w:tcPr>
          <w:p w:rsidR="00000000" w:rsidRPr="0001577F" w:rsidP="0001577F">
            <w:pPr>
              <w:pStyle w:val="ListBullet"/>
            </w:pPr>
            <w:r w:rsidRPr="0001577F">
              <w:t>Australian legislation</w:t>
            </w:r>
          </w:p>
          <w:p w:rsidR="00000000" w:rsidRPr="0001577F" w:rsidP="0001577F">
            <w:pPr>
              <w:pStyle w:val="ListBullet"/>
            </w:pPr>
            <w:r w:rsidRPr="0001577F">
              <w:t>case law</w:t>
            </w:r>
          </w:p>
          <w:p w:rsidR="00000000" w:rsidRPr="0001577F" w:rsidP="0001577F">
            <w:pPr>
              <w:pStyle w:val="ListBullet"/>
            </w:pPr>
            <w:r w:rsidRPr="0001577F">
              <w:t>classification processes</w:t>
            </w:r>
          </w:p>
          <w:p w:rsidR="00000000" w:rsidRPr="0001577F" w:rsidP="0001577F">
            <w:pPr>
              <w:pStyle w:val="ListBullet"/>
            </w:pPr>
            <w:r w:rsidRPr="0001577F">
              <w:t>regulations</w:t>
            </w:r>
          </w:p>
          <w:p w:rsidR="00000000" w:rsidRPr="0001577F" w:rsidP="0001577F">
            <w:pPr>
              <w:pStyle w:val="ListBullet"/>
            </w:pPr>
            <w:r w:rsidRPr="0001577F">
              <w:t>software system applications</w:t>
            </w:r>
          </w:p>
          <w:p w:rsidR="00000000" w:rsidRPr="0001577F" w:rsidP="0001577F">
            <w:pPr>
              <w:pStyle w:val="ListBullet"/>
            </w:pPr>
            <w:r w:rsidRPr="0001577F">
              <w:t>World Customs Organization (WCO) Classification</w:t>
            </w:r>
          </w:p>
        </w:tc>
      </w:tr>
    </w:tbl>
    <w:p w:rsidR="00000000" w:rsidRPr="0001577F" w:rsidP="0001577F">
      <w:pPr>
        <w:pStyle w:val="BodyText"/>
      </w:pPr>
    </w:p>
    <w:p w:rsidR="00000000" w:rsidRPr="0001577F" w:rsidP="0001577F">
      <w:pPr>
        <w:pStyle w:val="AllowPageBreak"/>
      </w:pPr>
    </w:p>
    <w:p w:rsidR="00000000" w:rsidRPr="0001577F" w:rsidP="0001577F">
      <w:pPr>
        <w:pStyle w:val="Heading1"/>
      </w:pPr>
      <w:bookmarkStart w:id="12" w:name="O_628254"/>
      <w:bookmarkEnd w:id="12"/>
      <w:r w:rsidRPr="0001577F">
        <w:t>Unit Sec</w:t>
      </w:r>
      <w:r w:rsidRPr="0001577F">
        <w:t>tor(s)</w:t>
      </w:r>
    </w:p>
    <w:p w:rsidR="00000000" w:rsidRPr="0001577F" w:rsidP="0001577F">
      <w:pPr>
        <w:pStyle w:val="BodyText"/>
      </w:pPr>
      <w:r w:rsidRPr="0001577F">
        <w:t>Not applicable.</w:t>
      </w:r>
    </w:p>
    <w:p w:rsidR="00000000" w:rsidRPr="0001577F" w:rsidP="0001577F">
      <w:pPr>
        <w:pStyle w:val="AllowPageBreak"/>
      </w:pPr>
    </w:p>
    <w:p w:rsidR="00000000" w:rsidRPr="0001577F" w:rsidP="0001577F">
      <w:pPr>
        <w:pStyle w:val="Heading1"/>
      </w:pPr>
      <w:bookmarkStart w:id="13" w:name="O_628255"/>
      <w:bookmarkEnd w:id="13"/>
      <w:r w:rsidRPr="0001577F">
        <w:t>Competency Field</w:t>
      </w:r>
    </w:p>
    <w:p w:rsidR="00000000" w:rsidRPr="0001577F" w:rsidP="0001577F">
      <w:pPr>
        <w:pStyle w:val="BodyText"/>
      </w:pPr>
      <w:r w:rsidRPr="0001577F">
        <w:t>X – Logistics</w:t>
      </w:r>
    </w:p>
    <w:p w:rsidR="00000000" w:rsidRPr="0001577F" w:rsidP="0001577F"/>
    <w:sectPr w:rsidSect="000157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7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77F" w:rsidRPr="00AC3012" w:rsidP="00AC30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7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012" w:rsidP="000157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C3012" w:rsidP="0001577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C3012" w:rsidP="000157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7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77F" w:rsidRPr="00AC3012" w:rsidP="00AC301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7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012" w:rsidRPr="002D2AF8" w:rsidP="0001577F">
    <w:pPr>
      <w:pStyle w:val="Header"/>
      <w:framePr w:wrap="around"/>
    </w:pPr>
    <w:r>
      <w:fldChar w:fldCharType="begin"/>
    </w:r>
    <w:r>
      <w:instrText xml:space="preserve"> TITLE   \* MERGEFORMAT </w:instrText>
    </w:r>
    <w:r>
      <w:fldChar w:fldCharType="separate"/>
    </w:r>
    <w:r>
      <w:t>TLIX5053A Determine tariff classification for complex goods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2013</w:t>
    </w:r>
    <w:r>
      <w:fldChar w:fldCharType="end"/>
    </w:r>
  </w:p>
  <w:p w:rsidR="00AC3012" w:rsidP="000157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D067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1AA6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C09B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57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577F"/>
    <w:pPr>
      <w:spacing w:before="360" w:after="60"/>
      <w:outlineLvl w:val="0"/>
    </w:pPr>
    <w:rPr>
      <w:sz w:val="32"/>
    </w:rPr>
  </w:style>
  <w:style w:type="paragraph" w:styleId="Heading2">
    <w:name w:val="heading 2"/>
    <w:basedOn w:val="HeadingBase"/>
    <w:next w:val="BodyText"/>
    <w:link w:val="Heading2Char"/>
    <w:qFormat/>
    <w:rsid w:val="0001577F"/>
    <w:pPr>
      <w:keepLines/>
      <w:spacing w:before="240" w:after="120"/>
      <w:outlineLvl w:val="1"/>
    </w:pPr>
    <w:rPr>
      <w:sz w:val="28"/>
      <w:szCs w:val="40"/>
    </w:rPr>
  </w:style>
  <w:style w:type="paragraph" w:styleId="Heading3">
    <w:name w:val="heading 3"/>
    <w:basedOn w:val="HeadingBase"/>
    <w:next w:val="BodyText"/>
    <w:link w:val="Heading3Char"/>
    <w:qFormat/>
    <w:rsid w:val="0001577F"/>
    <w:pPr>
      <w:spacing w:before="180" w:after="120"/>
      <w:outlineLvl w:val="2"/>
    </w:pPr>
    <w:rPr>
      <w:spacing w:val="-10"/>
      <w:kern w:val="32"/>
    </w:rPr>
  </w:style>
  <w:style w:type="paragraph" w:styleId="Heading4">
    <w:name w:val="heading 4"/>
    <w:basedOn w:val="HeadingBase"/>
    <w:next w:val="BodyText"/>
    <w:link w:val="Heading4Char"/>
    <w:qFormat/>
    <w:rsid w:val="0001577F"/>
    <w:pPr>
      <w:spacing w:before="160" w:after="120"/>
      <w:outlineLvl w:val="3"/>
    </w:pPr>
    <w:rPr>
      <w:sz w:val="22"/>
    </w:rPr>
  </w:style>
  <w:style w:type="paragraph" w:styleId="Heading5">
    <w:name w:val="heading 5"/>
    <w:basedOn w:val="HeadingBase"/>
    <w:next w:val="Normal"/>
    <w:link w:val="Heading5Char"/>
    <w:qFormat/>
    <w:rsid w:val="0001577F"/>
    <w:pPr>
      <w:spacing w:before="80"/>
      <w:outlineLvl w:val="4"/>
    </w:pPr>
    <w:rPr>
      <w:color w:val="918585"/>
      <w:sz w:val="20"/>
    </w:rPr>
  </w:style>
  <w:style w:type="paragraph" w:styleId="Heading6">
    <w:name w:val="heading 6"/>
    <w:basedOn w:val="HeadingBase"/>
    <w:next w:val="Normal"/>
    <w:link w:val="Heading6Char"/>
    <w:qFormat/>
    <w:rsid w:val="0001577F"/>
    <w:pPr>
      <w:spacing w:before="60"/>
      <w:outlineLvl w:val="5"/>
    </w:pPr>
    <w:rPr>
      <w:color w:val="918585"/>
      <w:sz w:val="20"/>
    </w:rPr>
  </w:style>
  <w:style w:type="paragraph" w:styleId="Heading7">
    <w:name w:val="heading 7"/>
    <w:basedOn w:val="Normal"/>
    <w:next w:val="Normal"/>
    <w:link w:val="Heading7Char"/>
    <w:qFormat/>
    <w:rsid w:val="0001577F"/>
    <w:pPr>
      <w:ind w:left="720"/>
      <w:outlineLvl w:val="6"/>
    </w:pPr>
    <w:rPr>
      <w:i/>
    </w:rPr>
  </w:style>
  <w:style w:type="paragraph" w:styleId="Heading8">
    <w:name w:val="heading 8"/>
    <w:basedOn w:val="Normal"/>
    <w:next w:val="Normal"/>
    <w:link w:val="Heading8Char"/>
    <w:qFormat/>
    <w:rsid w:val="0001577F"/>
    <w:pPr>
      <w:ind w:left="720"/>
      <w:outlineLvl w:val="7"/>
    </w:pPr>
    <w:rPr>
      <w:i/>
    </w:rPr>
  </w:style>
  <w:style w:type="paragraph" w:styleId="Heading9">
    <w:name w:val="heading 9"/>
    <w:basedOn w:val="Normal"/>
    <w:next w:val="Normal"/>
    <w:link w:val="Heading9Char"/>
    <w:qFormat/>
    <w:rsid w:val="0001577F"/>
    <w:pPr>
      <w:ind w:left="720"/>
      <w:outlineLvl w:val="8"/>
    </w:pPr>
    <w:rPr>
      <w:i/>
    </w:rPr>
  </w:style>
  <w:style w:type="character" w:default="1" w:styleId="DefaultParagraphFont">
    <w:name w:val="Default Paragraph Font"/>
    <w:uiPriority w:val="1"/>
    <w:unhideWhenUsed/>
    <w:rsid w:val="000157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577F"/>
  </w:style>
  <w:style w:type="character" w:customStyle="1" w:styleId="Heading1Char">
    <w:name w:val="Heading 1 Char"/>
    <w:basedOn w:val="DefaultParagraphFont"/>
    <w:link w:val="Heading1"/>
    <w:rsid w:val="0001577F"/>
    <w:rPr>
      <w:rFonts w:ascii="Times New Roman" w:eastAsia="Times New Roman" w:hAnsi="Times New Roman" w:cs="Times New Roman"/>
      <w:b/>
      <w:sz w:val="32"/>
      <w:szCs w:val="20"/>
      <w:lang w:eastAsia="en-US"/>
    </w:rPr>
  </w:style>
  <w:style w:type="paragraph" w:styleId="BodyText">
    <w:name w:val="Body Text"/>
    <w:basedOn w:val="Normal"/>
    <w:link w:val="BodyTextChar"/>
    <w:rsid w:val="000157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1577F"/>
    <w:rPr>
      <w:rFonts w:ascii="Times New Roman" w:eastAsia="Times New Roman" w:hAnsi="Times New Roman" w:cs="Times New Roman"/>
      <w:sz w:val="24"/>
      <w:lang w:eastAsia="en-US"/>
    </w:rPr>
  </w:style>
  <w:style w:type="paragraph" w:styleId="ListBullet">
    <w:name w:val="List Bullet"/>
    <w:basedOn w:val="List"/>
    <w:rsid w:val="0001577F"/>
    <w:pPr>
      <w:numPr>
        <w:numId w:val="13"/>
      </w:numPr>
      <w:tabs>
        <w:tab w:val="clear" w:pos="340"/>
      </w:tabs>
      <w:spacing w:before="40" w:after="40"/>
    </w:pPr>
  </w:style>
  <w:style w:type="character" w:customStyle="1" w:styleId="SpecialBold">
    <w:name w:val="Special Bold"/>
    <w:basedOn w:val="DefaultParagraphFont"/>
    <w:rsid w:val="0001577F"/>
    <w:rPr>
      <w:b/>
      <w:spacing w:val="0"/>
    </w:rPr>
  </w:style>
  <w:style w:type="paragraph" w:styleId="ListBullet2">
    <w:name w:val="List Bullet 2"/>
    <w:basedOn w:val="List2"/>
    <w:rsid w:val="0001577F"/>
    <w:pPr>
      <w:numPr>
        <w:numId w:val="14"/>
      </w:numPr>
      <w:tabs>
        <w:tab w:val="clear" w:pos="680"/>
      </w:tabs>
    </w:pPr>
  </w:style>
  <w:style w:type="paragraph" w:customStyle="1" w:styleId="SuperHeading">
    <w:name w:val="SuperHeading"/>
    <w:basedOn w:val="Normal"/>
    <w:rsid w:val="0001577F"/>
    <w:pPr>
      <w:spacing w:before="240" w:after="120"/>
      <w:outlineLvl w:val="0"/>
    </w:pPr>
    <w:rPr>
      <w:rFonts w:ascii="Times New Roman" w:hAnsi="Times New Roman"/>
      <w:b/>
      <w:sz w:val="32"/>
    </w:rPr>
  </w:style>
  <w:style w:type="paragraph" w:customStyle="1" w:styleId="AllowPageBreak">
    <w:name w:val="AllowPageBreak"/>
    <w:rsid w:val="000157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157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57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57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57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57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57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57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577F"/>
    <w:rPr>
      <w:rFonts w:ascii="Courier New" w:eastAsia="Times New Roman" w:hAnsi="Courier New" w:cs="Times New Roman"/>
      <w:i/>
      <w:szCs w:val="20"/>
      <w:lang w:eastAsia="en-US"/>
    </w:rPr>
  </w:style>
  <w:style w:type="paragraph" w:customStyle="1" w:styleId="HeadingBase">
    <w:name w:val="Heading Base"/>
    <w:rsid w:val="000157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577F"/>
    <w:pPr>
      <w:tabs>
        <w:tab w:val="right" w:leader="dot" w:pos="9072"/>
      </w:tabs>
      <w:ind w:left="567"/>
    </w:pPr>
    <w:rPr>
      <w:szCs w:val="22"/>
    </w:rPr>
  </w:style>
  <w:style w:type="paragraph" w:customStyle="1" w:styleId="TOCBase">
    <w:name w:val="TOC Base"/>
    <w:rsid w:val="000157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577F"/>
    <w:pPr>
      <w:tabs>
        <w:tab w:val="right" w:leader="dot" w:pos="9072"/>
      </w:tabs>
      <w:spacing w:before="40" w:after="40"/>
      <w:ind w:left="284"/>
    </w:pPr>
    <w:rPr>
      <w:rFonts w:ascii="Times New Roman" w:hAnsi="Times New Roman"/>
    </w:rPr>
  </w:style>
  <w:style w:type="paragraph" w:styleId="TOC1">
    <w:name w:val="toc 1"/>
    <w:basedOn w:val="TOCBase"/>
    <w:next w:val="Normal"/>
    <w:rsid w:val="000157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57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577F"/>
    <w:rPr>
      <w:rFonts w:ascii="Times New Roman" w:eastAsia="Times New Roman" w:hAnsi="Times New Roman" w:cs="Times New Roman"/>
      <w:sz w:val="16"/>
      <w:lang w:eastAsia="en-US"/>
    </w:rPr>
  </w:style>
  <w:style w:type="paragraph" w:styleId="Title">
    <w:name w:val="Title"/>
    <w:basedOn w:val="HeadingBase"/>
    <w:link w:val="TitleChar"/>
    <w:qFormat/>
    <w:rsid w:val="0001577F"/>
    <w:pPr>
      <w:spacing w:before="5040"/>
      <w:jc w:val="center"/>
    </w:pPr>
    <w:rPr>
      <w:sz w:val="48"/>
      <w:szCs w:val="72"/>
      <w:lang w:val="en-US"/>
    </w:rPr>
  </w:style>
  <w:style w:type="character" w:customStyle="1" w:styleId="TitleChar">
    <w:name w:val="Title Char"/>
    <w:basedOn w:val="DefaultParagraphFont"/>
    <w:link w:val="Title"/>
    <w:rsid w:val="000157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577F"/>
    <w:pPr>
      <w:tabs>
        <w:tab w:val="left" w:pos="3600"/>
        <w:tab w:val="left" w:pos="3958"/>
      </w:tabs>
    </w:pPr>
  </w:style>
  <w:style w:type="paragraph" w:styleId="List">
    <w:name w:val="List"/>
    <w:basedOn w:val="BodyText"/>
    <w:next w:val="BodyText"/>
    <w:rsid w:val="0001577F"/>
    <w:pPr>
      <w:tabs>
        <w:tab w:val="left" w:pos="340"/>
      </w:tabs>
      <w:spacing w:before="60" w:after="60"/>
      <w:ind w:left="340" w:hanging="340"/>
    </w:pPr>
  </w:style>
  <w:style w:type="paragraph" w:customStyle="1" w:styleId="Note">
    <w:name w:val="Note"/>
    <w:basedOn w:val="BodyText"/>
    <w:rsid w:val="000157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577F"/>
    <w:pPr>
      <w:framePr w:wrap="auto" w:hAnchor="text" w:y="6049"/>
    </w:pPr>
    <w:rPr>
      <w:color w:val="000000"/>
      <w:sz w:val="40"/>
    </w:rPr>
  </w:style>
  <w:style w:type="paragraph" w:customStyle="1" w:styleId="TOCTitle">
    <w:name w:val="TOCTitle"/>
    <w:basedOn w:val="Heading1"/>
    <w:rsid w:val="0001577F"/>
    <w:pPr>
      <w:spacing w:after="240"/>
      <w:jc w:val="center"/>
      <w:outlineLvl w:val="9"/>
    </w:pPr>
    <w:rPr>
      <w:caps/>
    </w:rPr>
  </w:style>
  <w:style w:type="paragraph" w:customStyle="1" w:styleId="Version">
    <w:name w:val="Version"/>
    <w:rsid w:val="000157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577F"/>
    <w:pPr>
      <w:keepNext w:val="0"/>
      <w:tabs>
        <w:tab w:val="right" w:pos="4176"/>
      </w:tabs>
      <w:ind w:left="198" w:hanging="198"/>
    </w:pPr>
    <w:rPr>
      <w:rFonts w:ascii="Garamond" w:hAnsi="Garamond"/>
    </w:rPr>
  </w:style>
  <w:style w:type="paragraph" w:styleId="IndexHeading">
    <w:name w:val="index heading"/>
    <w:basedOn w:val="Normal"/>
    <w:next w:val="Index1"/>
    <w:semiHidden/>
    <w:rsid w:val="0001577F"/>
    <w:pPr>
      <w:spacing w:before="120" w:after="120"/>
    </w:pPr>
    <w:rPr>
      <w:rFonts w:ascii="Arial" w:hAnsi="Arial"/>
      <w:b/>
      <w:color w:val="918585"/>
      <w:sz w:val="24"/>
    </w:rPr>
  </w:style>
  <w:style w:type="paragraph" w:styleId="Header">
    <w:name w:val="header"/>
    <w:basedOn w:val="Normal"/>
    <w:link w:val="HeaderChar"/>
    <w:rsid w:val="000157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577F"/>
    <w:rPr>
      <w:rFonts w:ascii="Times New Roman" w:eastAsia="Times New Roman" w:hAnsi="Times New Roman" w:cs="Times New Roman"/>
      <w:sz w:val="16"/>
      <w:szCs w:val="20"/>
      <w:lang w:val="en-GB" w:eastAsia="en-US"/>
    </w:rPr>
  </w:style>
  <w:style w:type="paragraph" w:customStyle="1" w:styleId="Chapter">
    <w:name w:val="Chapter"/>
    <w:basedOn w:val="Normal"/>
    <w:rsid w:val="0001577F"/>
    <w:pPr>
      <w:spacing w:before="240"/>
    </w:pPr>
    <w:rPr>
      <w:rFonts w:ascii="Times New Roman" w:hAnsi="Times New Roman"/>
      <w:smallCaps/>
      <w:spacing w:val="80"/>
      <w:sz w:val="28"/>
    </w:rPr>
  </w:style>
  <w:style w:type="paragraph" w:customStyle="1" w:styleId="InChapter">
    <w:name w:val="InChapter"/>
    <w:basedOn w:val="Heading3"/>
    <w:rsid w:val="0001577F"/>
    <w:pPr>
      <w:spacing w:after="240"/>
      <w:outlineLvl w:val="9"/>
    </w:pPr>
    <w:rPr>
      <w:noProof/>
    </w:rPr>
  </w:style>
  <w:style w:type="paragraph" w:styleId="Index2">
    <w:name w:val="index 2"/>
    <w:basedOn w:val="Normal"/>
    <w:next w:val="Normal"/>
    <w:semiHidden/>
    <w:rsid w:val="0001577F"/>
    <w:pPr>
      <w:tabs>
        <w:tab w:val="right" w:pos="4176"/>
      </w:tabs>
      <w:ind w:left="568" w:hanging="284"/>
    </w:pPr>
    <w:rPr>
      <w:rFonts w:ascii="Garamond" w:hAnsi="Garamond"/>
    </w:rPr>
  </w:style>
  <w:style w:type="paragraph" w:customStyle="1" w:styleId="Byline">
    <w:name w:val="Byline"/>
    <w:rsid w:val="000157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577F"/>
    <w:pPr>
      <w:tabs>
        <w:tab w:val="clear" w:pos="3600"/>
        <w:tab w:val="clear" w:pos="3958"/>
      </w:tabs>
      <w:jc w:val="right"/>
    </w:pPr>
  </w:style>
  <w:style w:type="character" w:styleId="Emphasis">
    <w:name w:val="Emphasis"/>
    <w:basedOn w:val="DefaultParagraphFont"/>
    <w:qFormat/>
    <w:rsid w:val="0001577F"/>
    <w:rPr>
      <w:i/>
    </w:rPr>
  </w:style>
  <w:style w:type="paragraph" w:styleId="Caption">
    <w:name w:val="caption"/>
    <w:basedOn w:val="BodyText"/>
    <w:next w:val="Normal"/>
    <w:qFormat/>
    <w:rsid w:val="0001577F"/>
    <w:pPr>
      <w:framePr w:w="2268" w:hSpace="181" w:vSpace="181" w:wrap="around" w:vAnchor="text" w:hAnchor="page" w:x="1135" w:y="285" w:anchorLock="1"/>
    </w:pPr>
    <w:rPr>
      <w:i/>
    </w:rPr>
  </w:style>
  <w:style w:type="paragraph" w:customStyle="1" w:styleId="MiniTOCTitle">
    <w:name w:val="MiniTOCTitle"/>
    <w:basedOn w:val="Heading4"/>
    <w:rsid w:val="0001577F"/>
    <w:pPr>
      <w:spacing w:before="240"/>
      <w:outlineLvl w:val="9"/>
    </w:pPr>
    <w:rPr>
      <w:noProof/>
      <w:sz w:val="24"/>
    </w:rPr>
  </w:style>
  <w:style w:type="paragraph" w:customStyle="1" w:styleId="MiniTOCItem">
    <w:name w:val="MiniTOCItem"/>
    <w:basedOn w:val="ListBullet"/>
    <w:rsid w:val="0001577F"/>
    <w:pPr>
      <w:numPr>
        <w:numId w:val="0"/>
      </w:numPr>
      <w:tabs>
        <w:tab w:val="right" w:leader="dot" w:pos="6521"/>
      </w:tabs>
      <w:spacing w:before="0" w:after="0"/>
    </w:pPr>
  </w:style>
  <w:style w:type="paragraph" w:customStyle="1" w:styleId="TOFTitle">
    <w:name w:val="TOFTitle"/>
    <w:basedOn w:val="TOCTitle"/>
    <w:rsid w:val="0001577F"/>
  </w:style>
  <w:style w:type="paragraph" w:styleId="TableofFigures">
    <w:name w:val="table of figures"/>
    <w:basedOn w:val="Normal"/>
    <w:next w:val="Normal"/>
    <w:semiHidden/>
    <w:rsid w:val="0001577F"/>
    <w:pPr>
      <w:tabs>
        <w:tab w:val="right" w:leader="dot" w:pos="9072"/>
      </w:tabs>
      <w:ind w:left="970" w:hanging="403"/>
    </w:pPr>
    <w:rPr>
      <w:rFonts w:ascii="Times New Roman" w:hAnsi="Times New Roman"/>
      <w:b/>
    </w:rPr>
  </w:style>
  <w:style w:type="paragraph" w:styleId="ListNumber">
    <w:name w:val="List Number"/>
    <w:basedOn w:val="List"/>
    <w:rsid w:val="0001577F"/>
    <w:pPr>
      <w:numPr>
        <w:numId w:val="11"/>
      </w:numPr>
    </w:pPr>
  </w:style>
  <w:style w:type="character" w:customStyle="1" w:styleId="WingdingSymbols">
    <w:name w:val="Wingding Symbols"/>
    <w:rsid w:val="0001577F"/>
    <w:rPr>
      <w:rFonts w:ascii="Wingdings" w:hAnsi="Wingdings"/>
    </w:rPr>
  </w:style>
  <w:style w:type="paragraph" w:customStyle="1" w:styleId="TableHeading">
    <w:name w:val="Table Heading"/>
    <w:basedOn w:val="HeadingBase"/>
    <w:rsid w:val="0001577F"/>
    <w:pPr>
      <w:keepLines/>
      <w:pBdr>
        <w:bottom w:val="single" w:sz="6" w:space="1" w:color="918585"/>
      </w:pBdr>
      <w:spacing w:before="240"/>
    </w:pPr>
  </w:style>
  <w:style w:type="character" w:customStyle="1" w:styleId="HotSpot">
    <w:name w:val="HotSpot"/>
    <w:rsid w:val="0001577F"/>
    <w:rPr>
      <w:color w:val="0033CC"/>
      <w:u w:val="none"/>
    </w:rPr>
  </w:style>
  <w:style w:type="paragraph" w:customStyle="1" w:styleId="BodyTextRight">
    <w:name w:val="Body Text Right"/>
    <w:basedOn w:val="BodyText"/>
    <w:rsid w:val="0001577F"/>
    <w:pPr>
      <w:spacing w:before="0" w:after="0"/>
      <w:jc w:val="right"/>
    </w:pPr>
  </w:style>
  <w:style w:type="paragraph" w:styleId="Index3">
    <w:name w:val="index 3"/>
    <w:basedOn w:val="ListNumber2"/>
    <w:next w:val="Normal"/>
    <w:semiHidden/>
    <w:rsid w:val="0001577F"/>
    <w:pPr>
      <w:numPr>
        <w:numId w:val="0"/>
      </w:numPr>
      <w:tabs>
        <w:tab w:val="right" w:leader="dot" w:pos="4176"/>
      </w:tabs>
    </w:pPr>
  </w:style>
  <w:style w:type="paragraph" w:styleId="ListNumber2">
    <w:name w:val="List Number 2"/>
    <w:basedOn w:val="List2"/>
    <w:rsid w:val="0001577F"/>
    <w:pPr>
      <w:numPr>
        <w:numId w:val="10"/>
      </w:numPr>
      <w:tabs>
        <w:tab w:val="clear" w:pos="1060"/>
      </w:tabs>
    </w:pPr>
  </w:style>
  <w:style w:type="paragraph" w:customStyle="1" w:styleId="MarginNote">
    <w:name w:val="Margin Note"/>
    <w:basedOn w:val="BodyText"/>
    <w:rsid w:val="000157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57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57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577F"/>
    <w:rPr>
      <w:sz w:val="32"/>
    </w:rPr>
  </w:style>
  <w:style w:type="paragraph" w:customStyle="1" w:styleId="HeadingProcedure">
    <w:name w:val="Heading Procedure"/>
    <w:basedOn w:val="HeadingBase"/>
    <w:next w:val="Normal"/>
    <w:rsid w:val="0001577F"/>
    <w:pPr>
      <w:tabs>
        <w:tab w:val="left" w:pos="0"/>
      </w:tabs>
      <w:spacing w:before="120" w:after="60"/>
    </w:pPr>
    <w:rPr>
      <w:i/>
      <w:color w:val="918585"/>
      <w:sz w:val="22"/>
    </w:rPr>
  </w:style>
  <w:style w:type="paragraph" w:customStyle="1" w:styleId="TableBodyText">
    <w:name w:val="Table Body Text"/>
    <w:basedOn w:val="BodyText"/>
    <w:rsid w:val="0001577F"/>
    <w:pPr>
      <w:spacing w:before="60" w:after="60"/>
    </w:pPr>
  </w:style>
  <w:style w:type="paragraph" w:styleId="ListContinue">
    <w:name w:val="List Continue"/>
    <w:basedOn w:val="List"/>
    <w:rsid w:val="0001577F"/>
    <w:pPr>
      <w:ind w:firstLine="0"/>
    </w:pPr>
  </w:style>
  <w:style w:type="paragraph" w:customStyle="1" w:styleId="ListNote">
    <w:name w:val="List Note"/>
    <w:basedOn w:val="List"/>
    <w:rsid w:val="0001577F"/>
    <w:pPr>
      <w:pBdr>
        <w:top w:val="single" w:sz="6" w:space="2" w:color="918585"/>
        <w:bottom w:val="single" w:sz="6" w:space="2" w:color="918585"/>
      </w:pBdr>
      <w:tabs>
        <w:tab w:val="left" w:pos="1021"/>
      </w:tabs>
      <w:ind w:firstLine="0"/>
    </w:pPr>
  </w:style>
  <w:style w:type="paragraph" w:customStyle="1" w:styleId="Warning">
    <w:name w:val="Warning"/>
    <w:basedOn w:val="BodyText"/>
    <w:rsid w:val="0001577F"/>
    <w:pPr>
      <w:shd w:val="clear" w:color="auto" w:fill="D9D9D9"/>
      <w:tabs>
        <w:tab w:val="left" w:pos="992"/>
      </w:tabs>
      <w:ind w:left="119" w:right="119"/>
    </w:pPr>
    <w:rPr>
      <w:sz w:val="20"/>
    </w:rPr>
  </w:style>
  <w:style w:type="paragraph" w:customStyle="1" w:styleId="MarginIcons">
    <w:name w:val="Margin Icons"/>
    <w:basedOn w:val="BodyText"/>
    <w:rsid w:val="000157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577F"/>
    <w:rPr>
      <w:rFonts w:ascii="Courier New" w:hAnsi="Courier New"/>
    </w:rPr>
  </w:style>
  <w:style w:type="paragraph" w:customStyle="1" w:styleId="NoteBullet">
    <w:name w:val="Note Bullet"/>
    <w:basedOn w:val="Note"/>
    <w:rsid w:val="0001577F"/>
    <w:pPr>
      <w:tabs>
        <w:tab w:val="clear" w:pos="680"/>
      </w:tabs>
      <w:spacing w:before="60" w:after="60"/>
    </w:pPr>
  </w:style>
  <w:style w:type="paragraph" w:customStyle="1" w:styleId="SubHeading2">
    <w:name w:val="SubHeading2"/>
    <w:basedOn w:val="HeadingBase"/>
    <w:rsid w:val="0001577F"/>
    <w:pPr>
      <w:spacing w:before="240" w:after="60"/>
    </w:pPr>
    <w:rPr>
      <w:sz w:val="20"/>
    </w:rPr>
  </w:style>
  <w:style w:type="paragraph" w:customStyle="1" w:styleId="SubHeading1">
    <w:name w:val="SubHeading1"/>
    <w:basedOn w:val="HeadingBase"/>
    <w:rsid w:val="0001577F"/>
    <w:pPr>
      <w:spacing w:before="240" w:after="60"/>
    </w:pPr>
    <w:rPr>
      <w:color w:val="918585"/>
      <w:sz w:val="22"/>
    </w:rPr>
  </w:style>
  <w:style w:type="paragraph" w:customStyle="1" w:styleId="SideHeading">
    <w:name w:val="Side Heading"/>
    <w:basedOn w:val="HeadingBase"/>
    <w:rsid w:val="000157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577F"/>
    <w:pPr>
      <w:numPr>
        <w:numId w:val="12"/>
      </w:numPr>
    </w:pPr>
  </w:style>
  <w:style w:type="paragraph" w:styleId="PlainText">
    <w:name w:val="Plain Text"/>
    <w:basedOn w:val="Normal"/>
    <w:link w:val="PlainTextChar"/>
    <w:rsid w:val="0001577F"/>
    <w:rPr>
      <w:sz w:val="20"/>
    </w:rPr>
  </w:style>
  <w:style w:type="character" w:customStyle="1" w:styleId="PlainTextChar">
    <w:name w:val="Plain Text Char"/>
    <w:basedOn w:val="DefaultParagraphFont"/>
    <w:link w:val="PlainText"/>
    <w:rsid w:val="0001577F"/>
    <w:rPr>
      <w:rFonts w:ascii="Courier New" w:eastAsia="Times New Roman" w:hAnsi="Courier New" w:cs="Times New Roman"/>
      <w:sz w:val="20"/>
      <w:szCs w:val="20"/>
      <w:lang w:eastAsia="en-US"/>
    </w:rPr>
  </w:style>
  <w:style w:type="character" w:customStyle="1" w:styleId="MenuOption">
    <w:name w:val="Menu Option"/>
    <w:basedOn w:val="DefaultParagraphFont"/>
    <w:rsid w:val="0001577F"/>
    <w:rPr>
      <w:b/>
      <w:smallCaps/>
    </w:rPr>
  </w:style>
  <w:style w:type="paragraph" w:customStyle="1" w:styleId="TableListNumber">
    <w:name w:val="Table List Number"/>
    <w:basedOn w:val="ListNumber"/>
    <w:rsid w:val="0001577F"/>
    <w:pPr>
      <w:numPr>
        <w:numId w:val="0"/>
      </w:numPr>
    </w:pPr>
  </w:style>
  <w:style w:type="paragraph" w:styleId="TOC4">
    <w:name w:val="toc 4"/>
    <w:basedOn w:val="TOCBase"/>
    <w:next w:val="Normal"/>
    <w:semiHidden/>
    <w:rsid w:val="0001577F"/>
    <w:pPr>
      <w:tabs>
        <w:tab w:val="right" w:leader="dot" w:pos="9071"/>
      </w:tabs>
      <w:ind w:left="1701"/>
    </w:pPr>
  </w:style>
  <w:style w:type="paragraph" w:customStyle="1" w:styleId="ListAlpha">
    <w:name w:val="List Alpha"/>
    <w:basedOn w:val="List"/>
    <w:rsid w:val="0001577F"/>
    <w:pPr>
      <w:numPr>
        <w:numId w:val="9"/>
      </w:numPr>
    </w:pPr>
  </w:style>
  <w:style w:type="paragraph" w:customStyle="1" w:styleId="ListAlpha2">
    <w:name w:val="List Alpha 2"/>
    <w:basedOn w:val="List2"/>
    <w:rsid w:val="0001577F"/>
    <w:pPr>
      <w:numPr>
        <w:numId w:val="8"/>
      </w:numPr>
    </w:pPr>
  </w:style>
  <w:style w:type="paragraph" w:styleId="List2">
    <w:name w:val="List 2"/>
    <w:basedOn w:val="BodyText"/>
    <w:rsid w:val="0001577F"/>
    <w:pPr>
      <w:tabs>
        <w:tab w:val="left" w:pos="680"/>
      </w:tabs>
      <w:spacing w:before="60" w:after="60"/>
      <w:ind w:left="680" w:hanging="340"/>
    </w:pPr>
  </w:style>
  <w:style w:type="paragraph" w:styleId="List3">
    <w:name w:val="List 3"/>
    <w:basedOn w:val="BodyText"/>
    <w:rsid w:val="0001577F"/>
    <w:pPr>
      <w:tabs>
        <w:tab w:val="left" w:pos="1021"/>
      </w:tabs>
      <w:spacing w:before="60" w:after="60"/>
      <w:ind w:left="1020" w:hanging="340"/>
    </w:pPr>
  </w:style>
  <w:style w:type="paragraph" w:styleId="List4">
    <w:name w:val="List 4"/>
    <w:basedOn w:val="BodyText"/>
    <w:rsid w:val="0001577F"/>
    <w:pPr>
      <w:tabs>
        <w:tab w:val="left" w:pos="1361"/>
      </w:tabs>
      <w:spacing w:before="60" w:after="60"/>
      <w:ind w:left="1361" w:hanging="340"/>
    </w:pPr>
  </w:style>
  <w:style w:type="paragraph" w:styleId="List5">
    <w:name w:val="List 5"/>
    <w:basedOn w:val="BodyText"/>
    <w:rsid w:val="0001577F"/>
    <w:pPr>
      <w:tabs>
        <w:tab w:val="left" w:pos="1701"/>
      </w:tabs>
      <w:spacing w:before="60" w:after="60"/>
      <w:ind w:left="1701" w:hanging="340"/>
    </w:pPr>
  </w:style>
  <w:style w:type="paragraph" w:styleId="ListBullet3">
    <w:name w:val="List Bullet 3"/>
    <w:basedOn w:val="List3"/>
    <w:rsid w:val="0001577F"/>
    <w:pPr>
      <w:numPr>
        <w:numId w:val="15"/>
      </w:numPr>
      <w:tabs>
        <w:tab w:val="clear" w:pos="1021"/>
      </w:tabs>
      <w:ind w:left="1037" w:hanging="357"/>
    </w:pPr>
  </w:style>
  <w:style w:type="paragraph" w:styleId="ListBullet4">
    <w:name w:val="List Bullet 4"/>
    <w:basedOn w:val="List4"/>
    <w:rsid w:val="0001577F"/>
    <w:pPr>
      <w:numPr>
        <w:numId w:val="3"/>
      </w:numPr>
    </w:pPr>
  </w:style>
  <w:style w:type="paragraph" w:styleId="ListBullet5">
    <w:name w:val="List Bullet 5"/>
    <w:basedOn w:val="List5"/>
    <w:rsid w:val="0001577F"/>
    <w:pPr>
      <w:numPr>
        <w:numId w:val="4"/>
      </w:numPr>
    </w:pPr>
  </w:style>
  <w:style w:type="paragraph" w:styleId="ListContinue2">
    <w:name w:val="List Continue 2"/>
    <w:basedOn w:val="List2"/>
    <w:rsid w:val="0001577F"/>
    <w:pPr>
      <w:ind w:firstLine="0"/>
    </w:pPr>
  </w:style>
  <w:style w:type="paragraph" w:styleId="ListContinue3">
    <w:name w:val="List Continue 3"/>
    <w:basedOn w:val="List3"/>
    <w:rsid w:val="0001577F"/>
    <w:pPr>
      <w:ind w:left="1021" w:firstLine="0"/>
    </w:pPr>
  </w:style>
  <w:style w:type="paragraph" w:styleId="ListContinue4">
    <w:name w:val="List Continue 4"/>
    <w:basedOn w:val="List4"/>
    <w:rsid w:val="0001577F"/>
    <w:pPr>
      <w:ind w:firstLine="0"/>
    </w:pPr>
  </w:style>
  <w:style w:type="paragraph" w:styleId="ListContinue5">
    <w:name w:val="List Continue 5"/>
    <w:basedOn w:val="List5"/>
    <w:rsid w:val="0001577F"/>
    <w:pPr>
      <w:ind w:firstLine="0"/>
    </w:pPr>
  </w:style>
  <w:style w:type="paragraph" w:styleId="ListNumber3">
    <w:name w:val="List Number 3"/>
    <w:basedOn w:val="List3"/>
    <w:rsid w:val="0001577F"/>
    <w:pPr>
      <w:numPr>
        <w:numId w:val="5"/>
      </w:numPr>
    </w:pPr>
  </w:style>
  <w:style w:type="paragraph" w:styleId="ListNumber4">
    <w:name w:val="List Number 4"/>
    <w:basedOn w:val="List4"/>
    <w:rsid w:val="0001577F"/>
    <w:pPr>
      <w:numPr>
        <w:numId w:val="6"/>
      </w:numPr>
    </w:pPr>
  </w:style>
  <w:style w:type="paragraph" w:styleId="ListNumber5">
    <w:name w:val="List Number 5"/>
    <w:basedOn w:val="List5"/>
    <w:rsid w:val="0001577F"/>
    <w:pPr>
      <w:numPr>
        <w:numId w:val="7"/>
      </w:numPr>
    </w:pPr>
  </w:style>
  <w:style w:type="paragraph" w:styleId="BlockText">
    <w:name w:val="Block Text"/>
    <w:basedOn w:val="Normal"/>
    <w:rsid w:val="0001577F"/>
    <w:pPr>
      <w:spacing w:after="120"/>
      <w:ind w:left="1440" w:right="1440"/>
    </w:pPr>
  </w:style>
  <w:style w:type="character" w:customStyle="1" w:styleId="Subscript">
    <w:name w:val="Subscript"/>
    <w:basedOn w:val="DefaultParagraphFont"/>
    <w:rsid w:val="0001577F"/>
    <w:rPr>
      <w:sz w:val="16"/>
      <w:vertAlign w:val="subscript"/>
    </w:rPr>
  </w:style>
  <w:style w:type="character" w:customStyle="1" w:styleId="Superscript">
    <w:name w:val="Superscript"/>
    <w:basedOn w:val="DefaultParagraphFont"/>
    <w:rsid w:val="0001577F"/>
    <w:rPr>
      <w:sz w:val="16"/>
      <w:vertAlign w:val="superscript"/>
    </w:rPr>
  </w:style>
  <w:style w:type="character" w:customStyle="1" w:styleId="Symbols">
    <w:name w:val="Symbols"/>
    <w:basedOn w:val="DefaultParagraphFont"/>
    <w:rsid w:val="0001577F"/>
    <w:rPr>
      <w:rFonts w:ascii="Symbol" w:hAnsi="Symbol"/>
    </w:rPr>
  </w:style>
  <w:style w:type="character" w:customStyle="1" w:styleId="MenuOptions">
    <w:name w:val="Menu Options"/>
    <w:basedOn w:val="DefaultParagraphFont"/>
    <w:rsid w:val="0001577F"/>
    <w:rPr>
      <w:rFonts w:ascii="Arial Narrow" w:hAnsi="Arial Narrow"/>
      <w:smallCaps/>
    </w:rPr>
  </w:style>
  <w:style w:type="character" w:customStyle="1" w:styleId="Buttons">
    <w:name w:val="Buttons"/>
    <w:basedOn w:val="DefaultParagraphFont"/>
    <w:rsid w:val="0001577F"/>
    <w:rPr>
      <w:b/>
    </w:rPr>
  </w:style>
  <w:style w:type="character" w:customStyle="1" w:styleId="Underlined">
    <w:name w:val="Underlined"/>
    <w:basedOn w:val="DefaultParagraphFont"/>
    <w:rsid w:val="0001577F"/>
    <w:rPr>
      <w:u w:val="single"/>
    </w:rPr>
  </w:style>
  <w:style w:type="paragraph" w:customStyle="1" w:styleId="TableBodyTextRight">
    <w:name w:val="Table Body Text Right"/>
    <w:basedOn w:val="TableBodyText"/>
    <w:rsid w:val="0001577F"/>
    <w:pPr>
      <w:widowControl w:val="0"/>
      <w:autoSpaceDE w:val="0"/>
      <w:autoSpaceDN w:val="0"/>
      <w:adjustRightInd w:val="0"/>
      <w:jc w:val="right"/>
    </w:pPr>
    <w:rPr>
      <w:rFonts w:cs="Arial"/>
      <w:szCs w:val="18"/>
    </w:rPr>
  </w:style>
  <w:style w:type="paragraph" w:customStyle="1" w:styleId="CopyrightText">
    <w:name w:val="Copyright Text"/>
    <w:basedOn w:val="BodyText"/>
    <w:rsid w:val="0001577F"/>
    <w:rPr>
      <w:sz w:val="18"/>
    </w:rPr>
  </w:style>
  <w:style w:type="paragraph" w:customStyle="1" w:styleId="BodySmallRight">
    <w:name w:val="Body Small Right"/>
    <w:basedOn w:val="BodyTextRight"/>
    <w:rsid w:val="0001577F"/>
    <w:rPr>
      <w:sz w:val="18"/>
      <w:szCs w:val="18"/>
    </w:rPr>
  </w:style>
  <w:style w:type="paragraph" w:customStyle="1" w:styleId="MarginEdition">
    <w:name w:val="Margin Edition"/>
    <w:basedOn w:val="MarginNote"/>
    <w:rsid w:val="0001577F"/>
    <w:pPr>
      <w:spacing w:before="0" w:after="0"/>
    </w:pPr>
    <w:rPr>
      <w:rFonts w:ascii="Times New Roman" w:hAnsi="Times New Roman"/>
      <w:color w:val="999999"/>
    </w:rPr>
  </w:style>
  <w:style w:type="paragraph" w:customStyle="1" w:styleId="Spacer">
    <w:name w:val="Spacer"/>
    <w:basedOn w:val="Normal"/>
    <w:rsid w:val="0001577F"/>
    <w:rPr>
      <w:sz w:val="2"/>
      <w:szCs w:val="2"/>
    </w:rPr>
  </w:style>
  <w:style w:type="character" w:customStyle="1" w:styleId="Small">
    <w:name w:val="Small"/>
    <w:basedOn w:val="DefaultParagraphFont"/>
    <w:rsid w:val="0001577F"/>
    <w:rPr>
      <w:sz w:val="16"/>
    </w:rPr>
  </w:style>
  <w:style w:type="paragraph" w:customStyle="1" w:styleId="WideTable">
    <w:name w:val="Wide Table"/>
    <w:basedOn w:val="Normal"/>
    <w:rsid w:val="0001577F"/>
    <w:pPr>
      <w:ind w:left="-1418"/>
    </w:pPr>
    <w:rPr>
      <w:sz w:val="2"/>
      <w:szCs w:val="2"/>
    </w:rPr>
  </w:style>
  <w:style w:type="character" w:styleId="PageNumber">
    <w:name w:val="page number"/>
    <w:basedOn w:val="DefaultParagraphFont"/>
    <w:rsid w:val="0001577F"/>
  </w:style>
  <w:style w:type="paragraph" w:styleId="Quote">
    <w:name w:val="Quote"/>
    <w:basedOn w:val="Heading1"/>
    <w:link w:val="QuoteChar"/>
    <w:qFormat/>
    <w:rsid w:val="0001577F"/>
    <w:rPr>
      <w:b w:val="0"/>
      <w:sz w:val="72"/>
      <w:szCs w:val="72"/>
      <w:lang w:val="en-NZ"/>
    </w:rPr>
  </w:style>
  <w:style w:type="character" w:customStyle="1" w:styleId="QuoteChar">
    <w:name w:val="Quote Char"/>
    <w:basedOn w:val="DefaultParagraphFont"/>
    <w:link w:val="Quote"/>
    <w:rsid w:val="000157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577F"/>
    <w:pPr>
      <w:pageBreakBefore/>
    </w:pPr>
  </w:style>
  <w:style w:type="paragraph" w:customStyle="1" w:styleId="Border">
    <w:name w:val="Border"/>
    <w:basedOn w:val="Normal"/>
    <w:qFormat/>
    <w:rsid w:val="000157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577F"/>
    <w:rPr>
      <w:b/>
      <w:bCs/>
      <w:i/>
      <w:iCs/>
      <w:color w:val="auto"/>
    </w:rPr>
  </w:style>
  <w:style w:type="paragraph" w:styleId="IntenseQuote">
    <w:name w:val="Intense Quote"/>
    <w:basedOn w:val="Normal"/>
    <w:next w:val="Normal"/>
    <w:link w:val="IntenseQuoteChar"/>
    <w:uiPriority w:val="30"/>
    <w:qFormat/>
    <w:rsid w:val="000157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57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577F"/>
    <w:rPr>
      <w:smallCaps/>
      <w:color w:val="auto"/>
      <w:u w:val="single"/>
    </w:rPr>
  </w:style>
  <w:style w:type="character" w:styleId="IntenseReference">
    <w:name w:val="Intense Reference"/>
    <w:basedOn w:val="DefaultParagraphFont"/>
    <w:uiPriority w:val="32"/>
    <w:qFormat/>
    <w:rsid w:val="0001577F"/>
    <w:rPr>
      <w:b/>
      <w:bCs/>
      <w:smallCaps/>
      <w:color w:val="auto"/>
      <w:spacing w:val="5"/>
      <w:u w:val="single"/>
    </w:rPr>
  </w:style>
  <w:style w:type="paragraph" w:customStyle="1" w:styleId="2ColumnHeading">
    <w:name w:val="2Column Heading"/>
    <w:basedOn w:val="BodyText"/>
    <w:qFormat/>
    <w:rsid w:val="0001577F"/>
    <w:pPr>
      <w:spacing w:after="60"/>
      <w:ind w:left="-2268"/>
    </w:pPr>
    <w:rPr>
      <w:b/>
    </w:rPr>
  </w:style>
  <w:style w:type="paragraph" w:customStyle="1" w:styleId="Heading1TOC">
    <w:name w:val="Heading1 TOC"/>
    <w:basedOn w:val="Normal"/>
    <w:qFormat/>
    <w:rsid w:val="0001577F"/>
    <w:pPr>
      <w:spacing w:before="240" w:after="120"/>
    </w:pPr>
    <w:rPr>
      <w:rFonts w:ascii="Times New Roman" w:hAnsi="Times New Roman"/>
      <w:b/>
      <w:sz w:val="32"/>
    </w:rPr>
  </w:style>
  <w:style w:type="paragraph" w:customStyle="1" w:styleId="Heading2TOC">
    <w:name w:val="Heading2 TOC"/>
    <w:basedOn w:val="Normal"/>
    <w:qFormat/>
    <w:rsid w:val="0001577F"/>
    <w:pPr>
      <w:spacing w:before="240" w:after="60"/>
    </w:pPr>
    <w:rPr>
      <w:rFonts w:ascii="Times New Roman" w:hAnsi="Times New Roman"/>
      <w:b/>
      <w:sz w:val="28"/>
    </w:rPr>
  </w:style>
  <w:style w:type="character" w:customStyle="1" w:styleId="Underline">
    <w:name w:val="Underline"/>
    <w:basedOn w:val="DefaultParagraphFont"/>
    <w:qFormat/>
    <w:rsid w:val="0001577F"/>
    <w:rPr>
      <w:u w:val="single"/>
    </w:rPr>
  </w:style>
  <w:style w:type="character" w:customStyle="1" w:styleId="BoldandItalics">
    <w:name w:val="Bold and Italics"/>
    <w:qFormat/>
    <w:rsid w:val="0001577F"/>
    <w:rPr>
      <w:b/>
      <w:i/>
      <w:u w:val="none"/>
    </w:rPr>
  </w:style>
  <w:style w:type="paragraph" w:styleId="BalloonText">
    <w:name w:val="Balloon Text"/>
    <w:basedOn w:val="Normal"/>
    <w:link w:val="BalloonTextChar"/>
    <w:rsid w:val="0001577F"/>
    <w:rPr>
      <w:rFonts w:ascii="Tahoma" w:hAnsi="Tahoma" w:cs="Tahoma"/>
      <w:sz w:val="16"/>
      <w:szCs w:val="16"/>
    </w:rPr>
  </w:style>
  <w:style w:type="character" w:customStyle="1" w:styleId="BalloonTextChar">
    <w:name w:val="Balloon Text Char"/>
    <w:basedOn w:val="DefaultParagraphFont"/>
    <w:link w:val="BalloonText"/>
    <w:rsid w:val="000157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57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157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577F"/>
    <w:rPr>
      <w:b/>
      <w:color w:val="660033"/>
      <w:spacing w:val="0"/>
    </w:rPr>
  </w:style>
  <w:style w:type="paragraph" w:customStyle="1" w:styleId="Nameditemlist">
    <w:name w:val="Named item list"/>
    <w:basedOn w:val="BodyText"/>
    <w:qFormat/>
    <w:rsid w:val="0001577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1303</Words>
  <Characters>8407</Characters>
  <Application>Microsoft Office Word</Application>
  <DocSecurity>0</DocSecurity>
  <Lines>340</Lines>
  <Paragraphs>201</Paragraphs>
  <ScaleCrop>false</ScaleCrop>
  <Company>Author-it Software Corporation Ltd.</Company>
  <LinksUpToDate>false</LinksUpToDate>
  <CharactersWithSpaces>9608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TLIX5053A Determine tariff classification for complex goods</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2013-12-24T08:53:51Z</dcterms:created>
  <dcterms:modified xsi:type="dcterms:W3CDTF">2013-12-23T05:23:00Z</dcterms:modified>
</cp:coreProperties>
</file>