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7792" w:rsidP="00A27792">
      <w:pPr>
        <w:pStyle w:val="Title"/>
      </w:pPr>
      <w:r>
        <w:fldChar w:fldCharType="begin"/>
      </w:r>
      <w:r>
        <w:instrText xml:space="preserve"> TITLE   \* MERGEFORMAT </w:instrText>
      </w:r>
      <w:r>
        <w:fldChar w:fldCharType="separate"/>
      </w:r>
      <w:r>
        <w:t>TLIX5044A Organise health support operations</w:t>
      </w:r>
      <w:r>
        <w:fldChar w:fldCharType="end"/>
      </w:r>
    </w:p>
    <w:p w:rsidR="00A27792" w:rsidP="00A27792">
      <w:pPr>
        <w:pStyle w:val="Version"/>
        <w:sectPr w:rsidSect="00A0523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5237" w:rsidP="00A05237">
      <w:pPr>
        <w:pStyle w:val="SuperHeading"/>
      </w:pPr>
      <w:r w:rsidRPr="00A05237">
        <w:t>TLIX5044A Organise health support operations</w:t>
      </w:r>
    </w:p>
    <w:p w:rsidR="00000000" w:rsidRPr="00A05237" w:rsidP="00A05237">
      <w:pPr>
        <w:pStyle w:val="Heading1"/>
      </w:pPr>
      <w:bookmarkStart w:id="1" w:name="O_274417"/>
      <w:bookmarkEnd w:id="1"/>
      <w:r w:rsidRPr="00A05237">
        <w:t>Modification History</w:t>
      </w:r>
    </w:p>
    <w:p w:rsidR="00000000" w:rsidRPr="00A05237" w:rsidP="00A05237">
      <w:pPr>
        <w:pStyle w:val="BodyText"/>
      </w:pPr>
      <w:r w:rsidRPr="00A05237">
        <w:t>Not Applicable</w:t>
      </w:r>
    </w:p>
    <w:p w:rsidR="00000000" w:rsidRPr="00A05237" w:rsidP="00A05237">
      <w:pPr>
        <w:pStyle w:val="AllowPageBreak"/>
      </w:pPr>
    </w:p>
    <w:p w:rsidR="00000000" w:rsidRPr="00A05237" w:rsidP="00A05237">
      <w:pPr>
        <w:pStyle w:val="Heading1"/>
      </w:pPr>
      <w:bookmarkStart w:id="2" w:name="O_224730"/>
      <w:bookmarkEnd w:id="2"/>
      <w:r w:rsidRPr="00A05237">
        <w:t>Unit Descriptor</w:t>
      </w:r>
    </w:p>
    <w:tbl>
      <w:tblPr>
        <w:tblW w:w="9640" w:type="dxa"/>
        <w:tblLayout w:type="fixed"/>
        <w:tblCellMar>
          <w:left w:w="62" w:type="dxa"/>
          <w:right w:w="62" w:type="dxa"/>
        </w:tblCellMar>
        <w:tblLook w:val="0000"/>
      </w:tblPr>
      <w:tblGrid>
        <w:gridCol w:w="2978"/>
        <w:gridCol w:w="6662"/>
      </w:tblGrid>
      <w:tr w:rsidTr="00A27792">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A05237">
            <w:pPr>
              <w:pStyle w:val="BodyText"/>
              <w:rPr>
                <w:lang w:val="en-NZ"/>
              </w:rPr>
            </w:pPr>
            <w:r w:rsidRPr="00A05237">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A05237" w:rsidP="00A05237">
            <w:pPr>
              <w:pStyle w:val="BodyText"/>
            </w:pPr>
            <w:r w:rsidRPr="00A05237">
              <w:t>This unit involves t</w:t>
            </w:r>
            <w:r w:rsidRPr="00A05237">
              <w:t>he skills and knowledge required to organise health support operations in a field deployment context in support of organisational operations. Licensing, legislative, regulatory or certification requirements are applicable to this unit.</w:t>
            </w:r>
          </w:p>
        </w:tc>
      </w:tr>
    </w:tbl>
    <w:p w:rsidR="00A27792" w:rsidP="00A05237">
      <w:pPr>
        <w:pStyle w:val="BodyText"/>
      </w:pPr>
    </w:p>
    <w:p w:rsidR="00A27792" w:rsidP="00A05237">
      <w:pPr>
        <w:pStyle w:val="BodyText"/>
      </w:pPr>
    </w:p>
    <w:p w:rsidR="00000000" w:rsidRPr="00A05237" w:rsidP="00A05237">
      <w:pPr>
        <w:pStyle w:val="Heading1"/>
      </w:pPr>
      <w:bookmarkStart w:id="3" w:name="O_224732"/>
      <w:bookmarkEnd w:id="3"/>
      <w:r w:rsidRPr="00A05237">
        <w:t>Application of the Unit</w:t>
      </w:r>
    </w:p>
    <w:tbl>
      <w:tblPr>
        <w:tblW w:w="9640" w:type="dxa"/>
        <w:tblLayout w:type="fixed"/>
        <w:tblCellMar>
          <w:left w:w="62" w:type="dxa"/>
          <w:right w:w="62" w:type="dxa"/>
        </w:tblCellMar>
        <w:tblLook w:val="0000"/>
      </w:tblPr>
      <w:tblGrid>
        <w:gridCol w:w="2978"/>
        <w:gridCol w:w="6662"/>
      </w:tblGrid>
      <w:tr w:rsidTr="00A2779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05237">
            <w:pPr>
              <w:pStyle w:val="BodyText"/>
              <w:rPr>
                <w:lang w:val="en-NZ"/>
              </w:rPr>
            </w:pPr>
            <w:r w:rsidRPr="00A05237">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A05237" w:rsidP="00A05237">
            <w:pPr>
              <w:pStyle w:val="BodyText"/>
            </w:pPr>
            <w:r w:rsidRPr="00A05237">
              <w:t>This unit of competency is applicable to logistic personnel who have a responsibility to organise and manage the delivery of health support in a field deployment context.</w:t>
            </w:r>
          </w:p>
          <w:p w:rsidR="00000000" w:rsidRPr="00A05237" w:rsidP="00A05237">
            <w:pPr>
              <w:pStyle w:val="BodyText"/>
            </w:pPr>
            <w:r w:rsidRPr="00A05237">
              <w:t>The candidate will usually be a clini</w:t>
            </w:r>
            <w:r w:rsidRPr="00A05237">
              <w:t xml:space="preserve">cian or a health care provider, and will bring management skills and leadership to perform the scope of this unit of competence. Health elements may be comprised of a range of health capability from different disciplines which when brought together form a </w:t>
            </w:r>
            <w:r w:rsidRPr="00A05237">
              <w:t>comprehensive health support organisation. The composition of the health support organisation will be guided by the type and scale of operation. All activities are carried out in accordance with relevant organisational policy and procedures.</w:t>
            </w:r>
          </w:p>
        </w:tc>
      </w:tr>
    </w:tbl>
    <w:p w:rsidR="00A27792" w:rsidP="00A05237">
      <w:pPr>
        <w:pStyle w:val="BodyText"/>
      </w:pPr>
    </w:p>
    <w:p w:rsidR="00A27792" w:rsidP="00A05237">
      <w:pPr>
        <w:pStyle w:val="BodyText"/>
      </w:pPr>
    </w:p>
    <w:p w:rsidR="00000000" w:rsidRPr="00A05237" w:rsidP="00A05237">
      <w:pPr>
        <w:pStyle w:val="Heading1"/>
      </w:pPr>
      <w:bookmarkStart w:id="4" w:name="O_282677"/>
      <w:bookmarkEnd w:id="4"/>
      <w:r w:rsidRPr="00A05237">
        <w:t>Licensing/Regulatory Information</w:t>
      </w:r>
    </w:p>
    <w:p w:rsidR="00000000" w:rsidRPr="00A05237" w:rsidP="00A05237">
      <w:pPr>
        <w:pStyle w:val="BodyText"/>
      </w:pPr>
      <w:r w:rsidRPr="00A05237">
        <w:t>Refer to Unit Descriptor</w:t>
      </w:r>
    </w:p>
    <w:p w:rsidR="00000000" w:rsidRPr="00A05237" w:rsidP="00A05237">
      <w:pPr>
        <w:pStyle w:val="AllowPageBreak"/>
      </w:pPr>
    </w:p>
    <w:p w:rsidR="00000000" w:rsidRPr="00A05237" w:rsidP="00A05237">
      <w:pPr>
        <w:pStyle w:val="Heading1"/>
      </w:pPr>
      <w:bookmarkStart w:id="5" w:name="O_285127"/>
      <w:bookmarkEnd w:id="5"/>
      <w:r w:rsidRPr="00A05237">
        <w:t>Pre-Requisites</w:t>
      </w:r>
    </w:p>
    <w:p w:rsidR="00000000" w:rsidRPr="00A05237" w:rsidP="00A05237">
      <w:pPr>
        <w:pStyle w:val="BodyText"/>
      </w:pPr>
      <w:r w:rsidRPr="00A05237">
        <w:t>Not Applicable</w:t>
      </w:r>
    </w:p>
    <w:p w:rsidR="00000000" w:rsidRPr="00A05237" w:rsidP="00A05237">
      <w:pPr>
        <w:pStyle w:val="AllowPageBreak"/>
      </w:pPr>
    </w:p>
    <w:p w:rsidR="00000000" w:rsidRPr="00A05237" w:rsidP="00A05237">
      <w:pPr>
        <w:pStyle w:val="Heading1"/>
      </w:pPr>
      <w:bookmarkStart w:id="6" w:name="O_224731"/>
      <w:bookmarkEnd w:id="6"/>
      <w:r w:rsidRPr="00A05237">
        <w:t>Employability Skills Information</w:t>
      </w:r>
    </w:p>
    <w:tbl>
      <w:tblPr>
        <w:tblW w:w="9640" w:type="dxa"/>
        <w:tblLayout w:type="fixed"/>
        <w:tblCellMar>
          <w:left w:w="62" w:type="dxa"/>
          <w:right w:w="62" w:type="dxa"/>
        </w:tblCellMar>
        <w:tblLook w:val="0000"/>
      </w:tblPr>
      <w:tblGrid>
        <w:gridCol w:w="2978"/>
        <w:gridCol w:w="6662"/>
      </w:tblGrid>
      <w:tr w:rsidTr="00A27792">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A05237">
            <w:pPr>
              <w:pStyle w:val="BodyText"/>
              <w:rPr>
                <w:lang w:val="en-NZ"/>
              </w:rPr>
            </w:pPr>
            <w:r w:rsidRPr="00A05237">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A05237" w:rsidP="00A05237">
            <w:pPr>
              <w:pStyle w:val="BodyText"/>
            </w:pPr>
            <w:r w:rsidRPr="00A05237">
              <w:t>This unit contains employability skills.</w:t>
            </w:r>
          </w:p>
        </w:tc>
      </w:tr>
    </w:tbl>
    <w:p w:rsidR="00A27792" w:rsidP="00A05237">
      <w:pPr>
        <w:pStyle w:val="BodyText"/>
      </w:pPr>
    </w:p>
    <w:p w:rsidR="00A27792" w:rsidP="00A05237">
      <w:pPr>
        <w:pStyle w:val="BodyText"/>
      </w:pPr>
    </w:p>
    <w:p w:rsidR="00000000" w:rsidRPr="00A05237" w:rsidP="00A05237">
      <w:pPr>
        <w:pStyle w:val="Heading1"/>
      </w:pPr>
      <w:bookmarkStart w:id="7" w:name="O_292463"/>
      <w:bookmarkEnd w:id="7"/>
      <w:r w:rsidRPr="00A05237">
        <w:t>Elements and Performance Criteria Pre-Content</w:t>
      </w:r>
    </w:p>
    <w:tbl>
      <w:tblPr>
        <w:tblW w:w="9640" w:type="dxa"/>
        <w:tblLayout w:type="fixed"/>
        <w:tblCellMar>
          <w:left w:w="62" w:type="dxa"/>
          <w:right w:w="62" w:type="dxa"/>
        </w:tblCellMar>
        <w:tblLook w:val="0000"/>
      </w:tblPr>
      <w:tblGrid>
        <w:gridCol w:w="2978"/>
        <w:gridCol w:w="6662"/>
      </w:tblGrid>
      <w:tr w:rsidTr="00A2779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05237">
            <w:pPr>
              <w:pStyle w:val="BodyText"/>
              <w:rPr>
                <w:lang w:val="en-NZ"/>
              </w:rPr>
            </w:pPr>
            <w:r w:rsidRPr="00A05237">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A05237" w:rsidP="00A05237">
            <w:pPr>
              <w:pStyle w:val="BodyText"/>
            </w:pPr>
            <w:r w:rsidRPr="00A05237">
              <w:t>Performance criteria describe the required performance needed to demonstrate achievement of the element. Assessment of performance is to be cons</w:t>
            </w:r>
            <w:r w:rsidRPr="00A05237">
              <w:t>istent with the evidence guide.</w:t>
            </w:r>
          </w:p>
        </w:tc>
      </w:tr>
    </w:tbl>
    <w:p w:rsidR="00000000" w:rsidRPr="00A05237" w:rsidP="00A05237">
      <w:pPr>
        <w:pStyle w:val="BodyText"/>
      </w:pPr>
    </w:p>
    <w:p w:rsidR="00000000" w:rsidRPr="00A05237" w:rsidP="00A05237">
      <w:pPr>
        <w:pStyle w:val="AllowPageBreak"/>
      </w:pPr>
    </w:p>
    <w:p w:rsidR="00000000" w:rsidRPr="00A05237" w:rsidP="00A05237">
      <w:pPr>
        <w:pStyle w:val="Heading1"/>
      </w:pPr>
      <w:bookmarkStart w:id="8" w:name="O_239131"/>
      <w:bookmarkEnd w:id="8"/>
      <w:r w:rsidRPr="00A05237">
        <w:t>Elements and Performance Criteria</w:t>
      </w:r>
    </w:p>
    <w:tbl>
      <w:tblPr>
        <w:tblW w:w="9640" w:type="dxa"/>
        <w:tblLayout w:type="fixed"/>
        <w:tblCellMar>
          <w:left w:w="62" w:type="dxa"/>
          <w:right w:w="62" w:type="dxa"/>
        </w:tblCellMar>
        <w:tblLook w:val="0000"/>
      </w:tblPr>
      <w:tblGrid>
        <w:gridCol w:w="2978"/>
        <w:gridCol w:w="6662"/>
      </w:tblGrid>
      <w:tr w:rsidTr="00A27792">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A05237" w:rsidP="00A05237">
            <w:pPr>
              <w:pStyle w:val="List"/>
            </w:pPr>
            <w:r w:rsidRPr="00A05237">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A05237">
            <w:pPr>
              <w:pStyle w:val="List"/>
              <w:rPr>
                <w:lang w:val="en-NZ"/>
              </w:rPr>
            </w:pPr>
            <w:r w:rsidRPr="00A05237">
              <w:rPr>
                <w:rStyle w:val="SpecialBold"/>
              </w:rPr>
              <w:t>PERFORMANCE CRITERIA</w:t>
            </w:r>
          </w:p>
        </w:tc>
      </w:tr>
      <w:tr w:rsidTr="00A2779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05237">
            <w:pPr>
              <w:pStyle w:val="List"/>
              <w:rPr>
                <w:lang w:val="en-NZ"/>
              </w:rPr>
            </w:pPr>
            <w:r w:rsidRPr="00A05237">
              <w:rPr>
                <w:rStyle w:val="SpecialBold"/>
              </w:rPr>
              <w:t>1</w:t>
            </w:r>
            <w:r w:rsidRPr="00A05237">
              <w:tab/>
            </w:r>
            <w:r w:rsidRPr="00A05237">
              <w:rPr>
                <w:rStyle w:val="SpecialBold"/>
              </w:rPr>
              <w:t>Prepare for health support operations</w:t>
            </w:r>
          </w:p>
        </w:tc>
        <w:tc>
          <w:tcPr>
            <w:tcW w:w="6662" w:type="dxa"/>
            <w:tcBorders>
              <w:top w:val="nil"/>
              <w:left w:val="nil"/>
              <w:bottom w:val="nil"/>
              <w:right w:val="nil"/>
            </w:tcBorders>
            <w:tcMar>
              <w:top w:w="0" w:type="dxa"/>
              <w:left w:w="62" w:type="dxa"/>
              <w:bottom w:w="0" w:type="dxa"/>
              <w:right w:w="62" w:type="dxa"/>
            </w:tcMar>
          </w:tcPr>
          <w:p w:rsidR="00000000" w:rsidRPr="00A05237" w:rsidP="00A05237">
            <w:pPr>
              <w:pStyle w:val="List"/>
            </w:pPr>
            <w:r w:rsidRPr="00A05237">
              <w:t>1.1</w:t>
            </w:r>
            <w:r w:rsidRPr="00A05237">
              <w:tab/>
              <w:t>Information is sourced and analysed to identify the health factors to be considered</w:t>
            </w:r>
          </w:p>
          <w:p w:rsidR="00000000" w:rsidRPr="00A05237" w:rsidP="00A05237">
            <w:pPr>
              <w:pStyle w:val="List"/>
            </w:pPr>
            <w:r w:rsidRPr="00A05237">
              <w:t>1.2</w:t>
            </w:r>
            <w:r w:rsidRPr="00A05237">
              <w:tab/>
            </w:r>
            <w:r w:rsidRPr="00A05237">
              <w:t>The considerations of production/maintenance planning are applied to derive the most efficient employment of health element equipment and personnel</w:t>
            </w:r>
          </w:p>
          <w:p w:rsidR="00000000" w:rsidRPr="00A05237" w:rsidP="00A05237">
            <w:pPr>
              <w:pStyle w:val="List"/>
            </w:pPr>
            <w:r w:rsidRPr="00A05237">
              <w:t>1.3</w:t>
            </w:r>
            <w:r w:rsidRPr="00A05237">
              <w:tab/>
              <w:t>The maintenance of health equipment is scheduled within the constraints of delivering health support</w:t>
            </w:r>
          </w:p>
          <w:p w:rsidR="00000000" w:rsidRPr="00A05237" w:rsidP="00A05237">
            <w:pPr>
              <w:pStyle w:val="List"/>
            </w:pPr>
            <w:r w:rsidRPr="00A05237">
              <w:t>1.4</w:t>
            </w:r>
            <w:r w:rsidRPr="00A05237">
              <w:tab/>
              <w:t>The preparedness of health personnel is monitored to ensure personnel are competent, authorised and ready to provide health care</w:t>
            </w:r>
          </w:p>
          <w:p w:rsidR="00000000" w:rsidRPr="00A05237" w:rsidP="00A05237">
            <w:pPr>
              <w:pStyle w:val="List"/>
            </w:pPr>
            <w:r w:rsidRPr="00A05237">
              <w:t>1.5</w:t>
            </w:r>
            <w:r w:rsidRPr="00A05237">
              <w:tab/>
              <w:t>The principles of health support are applied to the preparation and planning of health support</w:t>
            </w:r>
          </w:p>
          <w:p w:rsidR="00000000" w:rsidRPr="00A05237" w:rsidP="00A05237">
            <w:pPr>
              <w:pStyle w:val="List"/>
            </w:pPr>
            <w:r w:rsidRPr="00A05237">
              <w:t>1.6</w:t>
            </w:r>
            <w:r w:rsidRPr="00A05237">
              <w:tab/>
              <w:t>Instructions are prepar</w:t>
            </w:r>
            <w:r w:rsidRPr="00A05237">
              <w:t>ed and delivered to implement and coordinate health support operations</w:t>
            </w:r>
          </w:p>
          <w:p w:rsidR="00000000" w:rsidP="00A05237">
            <w:pPr>
              <w:pStyle w:val="List"/>
              <w:rPr>
                <w:lang w:val="en-NZ"/>
              </w:rPr>
            </w:pPr>
            <w:r w:rsidRPr="00A05237">
              <w:t>1.7</w:t>
            </w:r>
            <w:r w:rsidRPr="00A05237">
              <w:tab/>
              <w:t>Technical advice is provided to management and stakeholders</w:t>
            </w:r>
          </w:p>
        </w:tc>
      </w:tr>
      <w:tr w:rsidTr="00A2779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05237">
            <w:pPr>
              <w:pStyle w:val="List"/>
              <w:rPr>
                <w:lang w:val="en-NZ"/>
              </w:rPr>
            </w:pPr>
            <w:r w:rsidRPr="00A05237">
              <w:rPr>
                <w:rStyle w:val="SpecialBold"/>
              </w:rPr>
              <w:t>2</w:t>
            </w:r>
            <w:r w:rsidRPr="00A05237">
              <w:tab/>
            </w:r>
            <w:r w:rsidRPr="00A05237">
              <w:rPr>
                <w:rStyle w:val="SpecialBold"/>
              </w:rPr>
              <w:t>Manage evacuation support</w:t>
            </w:r>
          </w:p>
        </w:tc>
        <w:tc>
          <w:tcPr>
            <w:tcW w:w="6662" w:type="dxa"/>
            <w:tcBorders>
              <w:top w:val="nil"/>
              <w:left w:val="nil"/>
              <w:bottom w:val="nil"/>
              <w:right w:val="nil"/>
            </w:tcBorders>
            <w:tcMar>
              <w:top w:w="0" w:type="dxa"/>
              <w:left w:w="62" w:type="dxa"/>
              <w:bottom w:w="0" w:type="dxa"/>
              <w:right w:w="62" w:type="dxa"/>
            </w:tcMar>
          </w:tcPr>
          <w:p w:rsidR="00000000" w:rsidRPr="00A05237" w:rsidP="00A05237">
            <w:pPr>
              <w:pStyle w:val="List"/>
            </w:pPr>
            <w:r w:rsidRPr="00A05237">
              <w:t>2.1</w:t>
            </w:r>
            <w:r w:rsidRPr="00A05237">
              <w:tab/>
              <w:t xml:space="preserve">Evacuation planning factors are taken into consideration when planning and compiling an </w:t>
            </w:r>
            <w:r w:rsidRPr="00A05237">
              <w:t>evacuation task order</w:t>
            </w:r>
          </w:p>
          <w:p w:rsidR="00000000" w:rsidRPr="00A05237" w:rsidP="00A05237">
            <w:pPr>
              <w:pStyle w:val="List"/>
            </w:pPr>
            <w:r w:rsidRPr="00A05237">
              <w:t>2.2</w:t>
            </w:r>
            <w:r w:rsidRPr="00A05237">
              <w:tab/>
              <w:t>Evacuation assets are maintained in a state of high readiness to respond to evacuation tasking</w:t>
            </w:r>
          </w:p>
          <w:p w:rsidR="00000000" w:rsidRPr="00A05237" w:rsidP="00A05237">
            <w:pPr>
              <w:pStyle w:val="List"/>
            </w:pPr>
            <w:r w:rsidRPr="00A05237">
              <w:t>2.3</w:t>
            </w:r>
            <w:r w:rsidRPr="00A05237">
              <w:tab/>
              <w:t>Processes and procedures are established to enable the despatch and control of evacuation assets in response to tasking</w:t>
            </w:r>
          </w:p>
          <w:p w:rsidR="00000000" w:rsidRPr="00A05237" w:rsidP="00A05237">
            <w:pPr>
              <w:pStyle w:val="List"/>
            </w:pPr>
            <w:r w:rsidRPr="00A05237">
              <w:t>2.4</w:t>
            </w:r>
            <w:r w:rsidRPr="00A05237">
              <w:tab/>
            </w:r>
            <w:r w:rsidRPr="00A05237">
              <w:t>Evacuation support is delivered to support the continuity of care to casualties requiring evacuation via the health element</w:t>
            </w:r>
          </w:p>
          <w:p w:rsidR="00000000" w:rsidRPr="00A05237" w:rsidP="00A05237">
            <w:pPr>
              <w:pStyle w:val="List"/>
            </w:pPr>
            <w:r w:rsidRPr="00A05237">
              <w:t>2.5</w:t>
            </w:r>
            <w:r w:rsidRPr="00A05237">
              <w:tab/>
              <w:t>Evacuation support is delivered within the constraints of the operational environment allowing for appropriate security and prot</w:t>
            </w:r>
            <w:r w:rsidRPr="00A05237">
              <w:t>ection of evacuation assets</w:t>
            </w:r>
          </w:p>
          <w:p w:rsidR="00000000" w:rsidP="00A05237">
            <w:pPr>
              <w:pStyle w:val="List"/>
              <w:rPr>
                <w:lang w:val="en-NZ"/>
              </w:rPr>
            </w:pPr>
            <w:r w:rsidRPr="00A05237">
              <w:t>2.6</w:t>
            </w:r>
            <w:r w:rsidRPr="00A05237">
              <w:tab/>
              <w:t>The reception and despatch of casualties with other evacuation modes is coordinated</w:t>
            </w:r>
          </w:p>
        </w:tc>
      </w:tr>
      <w:tr w:rsidTr="00A2779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05237">
            <w:pPr>
              <w:pStyle w:val="List"/>
              <w:rPr>
                <w:lang w:val="en-NZ"/>
              </w:rPr>
            </w:pPr>
            <w:r w:rsidRPr="00A05237">
              <w:rPr>
                <w:rStyle w:val="SpecialBold"/>
              </w:rPr>
              <w:t>3</w:t>
            </w:r>
            <w:r w:rsidRPr="00A05237">
              <w:tab/>
            </w:r>
            <w:r w:rsidRPr="00A05237">
              <w:rPr>
                <w:rStyle w:val="SpecialBold"/>
              </w:rPr>
              <w:t>Manage health support</w:t>
            </w:r>
          </w:p>
        </w:tc>
        <w:tc>
          <w:tcPr>
            <w:tcW w:w="6662" w:type="dxa"/>
            <w:tcBorders>
              <w:top w:val="nil"/>
              <w:left w:val="nil"/>
              <w:bottom w:val="nil"/>
              <w:right w:val="nil"/>
            </w:tcBorders>
            <w:tcMar>
              <w:top w:w="0" w:type="dxa"/>
              <w:left w:w="62" w:type="dxa"/>
              <w:bottom w:w="0" w:type="dxa"/>
              <w:right w:w="62" w:type="dxa"/>
            </w:tcMar>
          </w:tcPr>
          <w:p w:rsidR="00000000" w:rsidRPr="00A05237" w:rsidP="00A05237">
            <w:pPr>
              <w:pStyle w:val="List"/>
            </w:pPr>
            <w:r w:rsidRPr="00A05237">
              <w:t>3.1</w:t>
            </w:r>
            <w:r w:rsidRPr="00A05237">
              <w:tab/>
              <w:t>The interrelationship between health elements is managed to enable a continuity of care as the patient transiti</w:t>
            </w:r>
            <w:r w:rsidRPr="00A05237">
              <w:t>ons through care agencies</w:t>
            </w:r>
          </w:p>
          <w:p w:rsidR="00000000" w:rsidRPr="00A05237" w:rsidP="00A05237">
            <w:pPr>
              <w:pStyle w:val="List"/>
            </w:pPr>
            <w:r w:rsidRPr="00A05237">
              <w:t>3.2</w:t>
            </w:r>
            <w:r w:rsidRPr="00A05237">
              <w:tab/>
              <w:t>Health care specialists and providers are consulted to ensure patient holding is appropriate and is balanced with the care they require and the need to maintain health element mobility</w:t>
            </w:r>
          </w:p>
          <w:p w:rsidR="00000000" w:rsidRPr="00A05237" w:rsidP="00A05237">
            <w:pPr>
              <w:pStyle w:val="List"/>
            </w:pPr>
            <w:r w:rsidRPr="00A05237">
              <w:t>3.3</w:t>
            </w:r>
            <w:r w:rsidRPr="00A05237">
              <w:tab/>
              <w:t>Patient tracking is managed to ensure</w:t>
            </w:r>
            <w:r w:rsidRPr="00A05237">
              <w:t xml:space="preserve"> an accurate picture of patient status at all times and to ensure the personnel administrative system is informed of the patient movements</w:t>
            </w:r>
          </w:p>
          <w:p w:rsidR="00000000" w:rsidRPr="00A05237" w:rsidP="00A05237">
            <w:pPr>
              <w:pStyle w:val="List"/>
            </w:pPr>
            <w:r w:rsidRPr="00A05237">
              <w:t>3.4</w:t>
            </w:r>
            <w:r w:rsidRPr="00A05237">
              <w:tab/>
              <w:t>Health records are maintained to enable an accurate record of care provided and a basis for review and ongoing tr</w:t>
            </w:r>
            <w:r w:rsidRPr="00A05237">
              <w:t>eatment</w:t>
            </w:r>
          </w:p>
          <w:p w:rsidR="00000000" w:rsidRPr="00A05237" w:rsidP="00A05237">
            <w:pPr>
              <w:pStyle w:val="List"/>
            </w:pPr>
            <w:r w:rsidRPr="00A05237">
              <w:t>3.5</w:t>
            </w:r>
            <w:r w:rsidRPr="00A05237">
              <w:tab/>
              <w:t xml:space="preserve">Health logistics are managed to ensure the health resources available for care are consistent with the care required and the </w:t>
            </w:r>
            <w:r w:rsidRPr="00A05237">
              <w:t>capability of the health element</w:t>
            </w:r>
          </w:p>
          <w:p w:rsidR="00000000" w:rsidRPr="00A05237" w:rsidP="00A05237">
            <w:pPr>
              <w:pStyle w:val="List"/>
            </w:pPr>
            <w:r w:rsidRPr="00A05237">
              <w:t>3.6</w:t>
            </w:r>
            <w:r w:rsidRPr="00A05237">
              <w:tab/>
              <w:t>Health related reports and returns are prepared and submitted to aid in organisati</w:t>
            </w:r>
            <w:r w:rsidRPr="00A05237">
              <w:t>onal health planning and coordination</w:t>
            </w:r>
          </w:p>
          <w:p w:rsidR="00000000" w:rsidRPr="00A05237" w:rsidP="00A05237">
            <w:pPr>
              <w:pStyle w:val="List"/>
            </w:pPr>
            <w:r w:rsidRPr="00A05237">
              <w:t>3.7</w:t>
            </w:r>
            <w:r w:rsidRPr="00A05237">
              <w:tab/>
              <w:t>A knowledge of relevant conventions and laws (such as the Geneva Conventions and the Laws of Armed Conflict) are applied to the delivery of health support</w:t>
            </w:r>
          </w:p>
          <w:p w:rsidR="00000000" w:rsidRPr="00A05237" w:rsidP="00A05237">
            <w:pPr>
              <w:pStyle w:val="List"/>
            </w:pPr>
            <w:r w:rsidRPr="00A05237">
              <w:t>3.8</w:t>
            </w:r>
            <w:r w:rsidRPr="00A05237">
              <w:tab/>
              <w:t>The welfare and administration of patients and health e</w:t>
            </w:r>
            <w:r w:rsidRPr="00A05237">
              <w:t>lement personnel is monitored</w:t>
            </w:r>
          </w:p>
        </w:tc>
      </w:tr>
    </w:tbl>
    <w:p w:rsidR="00A27792" w:rsidP="00A05237">
      <w:pPr>
        <w:pStyle w:val="BodyText"/>
      </w:pPr>
    </w:p>
    <w:p w:rsidR="00A27792" w:rsidP="00A05237">
      <w:pPr>
        <w:pStyle w:val="BodyText"/>
      </w:pPr>
    </w:p>
    <w:p w:rsidR="00000000" w:rsidRPr="00A05237" w:rsidP="00A05237">
      <w:pPr>
        <w:pStyle w:val="Heading1"/>
      </w:pPr>
      <w:bookmarkStart w:id="9" w:name="O_262922"/>
      <w:bookmarkEnd w:id="9"/>
      <w:r w:rsidRPr="00A05237">
        <w:t>Required Skills and Knowledge</w:t>
      </w:r>
    </w:p>
    <w:tbl>
      <w:tblPr>
        <w:tblW w:w="9640" w:type="dxa"/>
        <w:tblLayout w:type="fixed"/>
        <w:tblCellMar>
          <w:left w:w="62" w:type="dxa"/>
          <w:right w:w="62" w:type="dxa"/>
        </w:tblCellMar>
        <w:tblLook w:val="0000"/>
      </w:tblPr>
      <w:tblGrid>
        <w:gridCol w:w="9640"/>
      </w:tblGrid>
      <w:tr w:rsidTr="00A27792">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A05237">
            <w:pPr>
              <w:pStyle w:val="BodyText"/>
              <w:rPr>
                <w:lang w:val="en-NZ"/>
              </w:rPr>
            </w:pPr>
            <w:r w:rsidRPr="00A05237">
              <w:rPr>
                <w:rStyle w:val="SpecialBold"/>
              </w:rPr>
              <w:t>REQUIRED KNOWLEDGE AND SKILLS</w:t>
            </w:r>
          </w:p>
        </w:tc>
      </w:tr>
      <w:tr w:rsidTr="00A2779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05237">
            <w:pPr>
              <w:pStyle w:val="BodyText"/>
              <w:rPr>
                <w:lang w:val="en-NZ"/>
              </w:rPr>
            </w:pPr>
            <w:r w:rsidRPr="00A05237">
              <w:t>This describes the essential knowledge and skills and their level required for this unit.</w:t>
            </w:r>
          </w:p>
        </w:tc>
      </w:tr>
      <w:tr w:rsidTr="00A2779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05237">
            <w:pPr>
              <w:pStyle w:val="BodyText"/>
              <w:rPr>
                <w:lang w:val="en-NZ"/>
              </w:rPr>
            </w:pPr>
            <w:r w:rsidRPr="00A05237">
              <w:rPr>
                <w:rStyle w:val="SpecialBold"/>
              </w:rPr>
              <w:t>Required knowledge</w:t>
            </w:r>
            <w:r w:rsidRPr="00A05237">
              <w:t>:</w:t>
            </w:r>
          </w:p>
        </w:tc>
      </w:tr>
      <w:tr w:rsidTr="00A2779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05237">
            <w:pPr>
              <w:pStyle w:val="ListBullet"/>
              <w:rPr>
                <w:lang w:val="en-NZ"/>
              </w:rPr>
            </w:pPr>
            <w:r w:rsidRPr="00A05237">
              <w:t>The principles of health support</w:t>
            </w:r>
          </w:p>
        </w:tc>
      </w:tr>
      <w:tr w:rsidTr="00A2779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05237">
            <w:pPr>
              <w:pStyle w:val="ListBullet"/>
              <w:rPr>
                <w:lang w:val="en-NZ"/>
              </w:rPr>
            </w:pPr>
            <w:r w:rsidRPr="00A05237">
              <w:t>Preparedness requirements of health personnel</w:t>
            </w:r>
          </w:p>
        </w:tc>
      </w:tr>
      <w:tr w:rsidTr="00A2779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05237">
            <w:pPr>
              <w:pStyle w:val="ListBullet"/>
              <w:rPr>
                <w:lang w:val="en-NZ"/>
              </w:rPr>
            </w:pPr>
            <w:r w:rsidRPr="00A05237">
              <w:t>Policy and procedure relating to evacuation</w:t>
            </w:r>
          </w:p>
        </w:tc>
      </w:tr>
      <w:tr w:rsidTr="00A2779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05237">
            <w:pPr>
              <w:pStyle w:val="ListBullet"/>
              <w:rPr>
                <w:lang w:val="en-NZ"/>
              </w:rPr>
            </w:pPr>
            <w:r w:rsidRPr="00A05237">
              <w:t>Tasks and composition of health elements and their points of interaction</w:t>
            </w:r>
          </w:p>
        </w:tc>
      </w:tr>
      <w:tr w:rsidTr="00A2779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05237">
            <w:pPr>
              <w:pStyle w:val="ListBullet"/>
              <w:rPr>
                <w:lang w:val="en-NZ"/>
              </w:rPr>
            </w:pPr>
            <w:r w:rsidRPr="00A05237">
              <w:t>Health stores and equipment resupply systems and procedures</w:t>
            </w:r>
          </w:p>
        </w:tc>
      </w:tr>
      <w:tr w:rsidTr="00A2779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05237">
            <w:pPr>
              <w:pStyle w:val="ListBullet"/>
              <w:rPr>
                <w:lang w:val="en-NZ"/>
              </w:rPr>
            </w:pPr>
            <w:r w:rsidRPr="00A05237">
              <w:t>Patient tracking and administration</w:t>
            </w:r>
          </w:p>
        </w:tc>
      </w:tr>
      <w:tr w:rsidTr="00A2779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05237">
            <w:pPr>
              <w:pStyle w:val="ListBullet"/>
              <w:rPr>
                <w:lang w:val="en-NZ"/>
              </w:rPr>
            </w:pPr>
            <w:r w:rsidRPr="00A05237">
              <w:t>Requirements relating to the management of health waste</w:t>
            </w:r>
          </w:p>
        </w:tc>
      </w:tr>
      <w:tr w:rsidTr="00A2779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05237">
            <w:pPr>
              <w:pStyle w:val="ListBullet"/>
              <w:rPr>
                <w:lang w:val="en-NZ"/>
              </w:rPr>
            </w:pPr>
            <w:r w:rsidRPr="00A05237">
              <w:t>Supply, handling, storage of blood products</w:t>
            </w:r>
          </w:p>
        </w:tc>
      </w:tr>
      <w:tr w:rsidTr="00A2779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05237">
            <w:pPr>
              <w:pStyle w:val="ListBullet"/>
              <w:rPr>
                <w:lang w:val="en-NZ"/>
              </w:rPr>
            </w:pPr>
            <w:r w:rsidRPr="00A05237">
              <w:t>Legislative and regulatory environment as it pertain</w:t>
            </w:r>
            <w:r w:rsidRPr="00A05237">
              <w:t>s to materiel logistics</w:t>
            </w:r>
          </w:p>
        </w:tc>
      </w:tr>
      <w:tr w:rsidTr="00A2779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05237">
            <w:pPr>
              <w:pStyle w:val="ListBullet"/>
              <w:rPr>
                <w:lang w:val="en-NZ"/>
              </w:rPr>
            </w:pPr>
            <w:r w:rsidRPr="00A05237">
              <w:t>Logistics support analysis principles and processes</w:t>
            </w:r>
          </w:p>
        </w:tc>
      </w:tr>
      <w:tr w:rsidTr="00A2779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05237">
            <w:pPr>
              <w:pStyle w:val="ListBullet"/>
              <w:rPr>
                <w:lang w:val="en-NZ"/>
              </w:rPr>
            </w:pPr>
            <w:r w:rsidRPr="00A05237">
              <w:t>Organisational policy and procedures</w:t>
            </w:r>
          </w:p>
        </w:tc>
      </w:tr>
      <w:tr w:rsidTr="00A2779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05237">
            <w:pPr>
              <w:pStyle w:val="ListBullet"/>
              <w:rPr>
                <w:lang w:val="en-NZ"/>
              </w:rPr>
            </w:pPr>
            <w:r w:rsidRPr="00A05237">
              <w:t>Organisational role relevant to specialist logistic support</w:t>
            </w:r>
          </w:p>
        </w:tc>
      </w:tr>
      <w:tr w:rsidTr="00A2779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A05237" w:rsidP="00A05237">
            <w:pPr>
              <w:pStyle w:val="ListBullet"/>
            </w:pPr>
            <w:r w:rsidRPr="00A05237">
              <w:t>Planning processes</w:t>
            </w:r>
          </w:p>
        </w:tc>
      </w:tr>
    </w:tbl>
    <w:p w:rsidR="00000000" w:rsidRPr="00A05237" w:rsidP="00A05237">
      <w:pPr>
        <w:pStyle w:val="BodyText"/>
      </w:pPr>
    </w:p>
    <w:tbl>
      <w:tblPr>
        <w:tblW w:w="9640" w:type="dxa"/>
        <w:tblLayout w:type="fixed"/>
        <w:tblCellMar>
          <w:left w:w="62" w:type="dxa"/>
          <w:right w:w="62" w:type="dxa"/>
        </w:tblCellMar>
        <w:tblLook w:val="0000"/>
      </w:tblPr>
      <w:tblGrid>
        <w:gridCol w:w="9640"/>
      </w:tblGrid>
      <w:tr w:rsidTr="00A27792">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A05237">
            <w:pPr>
              <w:pStyle w:val="BodyText"/>
              <w:rPr>
                <w:lang w:val="en-NZ"/>
              </w:rPr>
            </w:pPr>
            <w:r w:rsidRPr="00A05237">
              <w:rPr>
                <w:rStyle w:val="SpecialBold"/>
              </w:rPr>
              <w:t>Required skills</w:t>
            </w:r>
            <w:r w:rsidRPr="00A05237">
              <w:t>:</w:t>
            </w:r>
          </w:p>
        </w:tc>
      </w:tr>
      <w:tr w:rsidTr="00A2779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05237">
            <w:pPr>
              <w:pStyle w:val="ListBullet"/>
              <w:rPr>
                <w:lang w:val="en-NZ"/>
              </w:rPr>
            </w:pPr>
            <w:r w:rsidRPr="00A05237">
              <w:t>Lead a team of medical experts as required</w:t>
            </w:r>
          </w:p>
        </w:tc>
      </w:tr>
      <w:tr w:rsidTr="00A2779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05237">
            <w:pPr>
              <w:pStyle w:val="ListBullet"/>
              <w:rPr>
                <w:lang w:val="en-NZ"/>
              </w:rPr>
            </w:pPr>
            <w:r w:rsidRPr="00A05237">
              <w:t>Supervise a team of health care workers</w:t>
            </w:r>
          </w:p>
        </w:tc>
      </w:tr>
      <w:tr w:rsidTr="00A2779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05237">
            <w:pPr>
              <w:pStyle w:val="ListBullet"/>
              <w:rPr>
                <w:lang w:val="en-NZ"/>
              </w:rPr>
            </w:pPr>
            <w:r w:rsidRPr="00A05237">
              <w:t>Apply a knowledge of health planning and coordination</w:t>
            </w:r>
          </w:p>
        </w:tc>
      </w:tr>
      <w:tr w:rsidTr="00A2779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05237">
            <w:pPr>
              <w:pStyle w:val="ListBullet"/>
              <w:rPr>
                <w:lang w:val="en-NZ"/>
              </w:rPr>
            </w:pPr>
            <w:r w:rsidRPr="00A05237">
              <w:t>Apply health planning tools to inform health planning</w:t>
            </w:r>
          </w:p>
        </w:tc>
      </w:tr>
      <w:tr w:rsidTr="00A2779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05237">
            <w:pPr>
              <w:pStyle w:val="ListBullet"/>
              <w:rPr>
                <w:lang w:val="en-NZ"/>
              </w:rPr>
            </w:pPr>
            <w:r w:rsidRPr="00A05237">
              <w:t>Identify the relationship between organisational goals an</w:t>
            </w:r>
            <w:r w:rsidRPr="00A05237">
              <w:t xml:space="preserve">d recognise how own planning </w:t>
            </w:r>
            <w:r w:rsidRPr="00A05237">
              <w:t>contributes to the achievement of those goals</w:t>
            </w:r>
          </w:p>
        </w:tc>
      </w:tr>
      <w:tr w:rsidTr="00A2779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05237">
            <w:pPr>
              <w:pStyle w:val="ListBullet"/>
              <w:rPr>
                <w:lang w:val="en-NZ"/>
              </w:rPr>
            </w:pPr>
            <w:r w:rsidRPr="00A05237">
              <w:t>Deliver clear, concise, accurate and authoritative instructions</w:t>
            </w:r>
          </w:p>
        </w:tc>
      </w:tr>
      <w:tr w:rsidTr="00A2779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05237">
            <w:pPr>
              <w:pStyle w:val="ListBullet"/>
              <w:rPr>
                <w:lang w:val="en-NZ"/>
              </w:rPr>
            </w:pPr>
            <w:r w:rsidRPr="00A05237">
              <w:t>Use information technology and software</w:t>
            </w:r>
          </w:p>
        </w:tc>
      </w:tr>
      <w:tr w:rsidTr="00A2779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05237">
            <w:pPr>
              <w:pStyle w:val="ListBullet"/>
              <w:rPr>
                <w:lang w:val="en-NZ"/>
              </w:rPr>
            </w:pPr>
            <w:r w:rsidRPr="00A05237">
              <w:t>Prepare health related reports and returns</w:t>
            </w:r>
          </w:p>
        </w:tc>
      </w:tr>
      <w:tr w:rsidTr="00A2779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05237">
            <w:pPr>
              <w:pStyle w:val="ListBullet"/>
              <w:rPr>
                <w:lang w:val="en-NZ"/>
              </w:rPr>
            </w:pPr>
            <w:r w:rsidRPr="00A05237">
              <w:t>Work closely with a senior clinical officer to coordinate health support</w:t>
            </w:r>
          </w:p>
        </w:tc>
      </w:tr>
      <w:tr w:rsidTr="00A2779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A05237" w:rsidP="00A05237">
            <w:pPr>
              <w:pStyle w:val="ListBullet"/>
            </w:pPr>
            <w:r w:rsidRPr="00A05237">
              <w:t>Liaise with external agencies to coordinate health support</w:t>
            </w:r>
          </w:p>
        </w:tc>
      </w:tr>
    </w:tbl>
    <w:p w:rsidR="00A27792" w:rsidP="00A05237">
      <w:pPr>
        <w:pStyle w:val="BodyText"/>
      </w:pPr>
    </w:p>
    <w:p w:rsidR="00A27792" w:rsidP="00A05237">
      <w:pPr>
        <w:pStyle w:val="BodyText"/>
      </w:pPr>
    </w:p>
    <w:p w:rsidR="00000000" w:rsidRPr="00A05237" w:rsidP="00A05237">
      <w:pPr>
        <w:pStyle w:val="Heading1"/>
      </w:pPr>
      <w:bookmarkStart w:id="10" w:name="O_247115"/>
      <w:bookmarkEnd w:id="10"/>
      <w:r w:rsidRPr="00A05237">
        <w:t>Evidence Guide</w:t>
      </w:r>
    </w:p>
    <w:tbl>
      <w:tblPr>
        <w:tblW w:w="9499" w:type="dxa"/>
        <w:tblLayout w:type="fixed"/>
        <w:tblCellMar>
          <w:left w:w="62" w:type="dxa"/>
          <w:right w:w="62" w:type="dxa"/>
        </w:tblCellMar>
        <w:tblLook w:val="0000"/>
      </w:tblPr>
      <w:tblGrid>
        <w:gridCol w:w="3524"/>
        <w:gridCol w:w="5975"/>
      </w:tblGrid>
      <w:tr w:rsidTr="00A27792">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A05237">
            <w:pPr>
              <w:pStyle w:val="BodyText"/>
              <w:rPr>
                <w:lang w:val="en-NZ"/>
              </w:rPr>
            </w:pPr>
            <w:r w:rsidRPr="00A05237">
              <w:rPr>
                <w:rStyle w:val="SpecialBold"/>
              </w:rPr>
              <w:t>EVIDENCE GUIDE</w:t>
            </w:r>
          </w:p>
        </w:tc>
      </w:tr>
      <w:tr w:rsidTr="00A27792">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A05237">
            <w:pPr>
              <w:pStyle w:val="BodyText"/>
              <w:rPr>
                <w:lang w:val="en-NZ"/>
              </w:rPr>
            </w:pPr>
            <w:r w:rsidRPr="00A05237">
              <w:t>The evidence guide provides advice on assessment and must be read in conjunction with the performance criteria, required knowledge and skills, the range statement and the assessment guidelines for this Training Package.</w:t>
            </w:r>
          </w:p>
        </w:tc>
      </w:tr>
      <w:tr w:rsidTr="00A27792">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A05237">
            <w:pPr>
              <w:pStyle w:val="BodyText"/>
              <w:rPr>
                <w:lang w:val="en-NZ"/>
              </w:rPr>
            </w:pPr>
            <w:r w:rsidRPr="00A05237">
              <w:rPr>
                <w:rStyle w:val="SpecialBold"/>
              </w:rPr>
              <w:t>Critical aspects for assessment an</w:t>
            </w:r>
            <w:r w:rsidRPr="00A05237">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P="00A05237">
            <w:pPr>
              <w:pStyle w:val="ListBullet"/>
              <w:rPr>
                <w:lang w:val="en-NZ"/>
              </w:rPr>
            </w:pPr>
            <w:r w:rsidRPr="00A05237">
              <w:t>The evidence required to demonstrate competency in this unit must be relevant to and satisfy all of the requirements of the elements and performance criteria of this unit</w:t>
            </w:r>
          </w:p>
        </w:tc>
      </w:tr>
      <w:tr w:rsidTr="00A27792">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A05237">
            <w:pPr>
              <w:pStyle w:val="BodyText"/>
              <w:rPr>
                <w:lang w:val="en-NZ"/>
              </w:rPr>
            </w:pPr>
            <w:r w:rsidRPr="00A05237">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A05237" w:rsidP="00A05237">
            <w:pPr>
              <w:pStyle w:val="ListBullet"/>
            </w:pPr>
            <w:r w:rsidRPr="00A05237">
              <w:t>Competency should be demonstrated on at least one occasion covering the scope of the unit of competence</w:t>
            </w:r>
          </w:p>
          <w:p w:rsidR="00000000" w:rsidRPr="00A05237" w:rsidP="00A05237">
            <w:pPr>
              <w:pStyle w:val="ListBullet"/>
            </w:pPr>
            <w:r w:rsidRPr="00A05237">
              <w:t>Resources for assessment include:</w:t>
            </w:r>
          </w:p>
          <w:p w:rsidR="00000000" w:rsidRPr="00A05237" w:rsidP="00A05237">
            <w:pPr>
              <w:pStyle w:val="ListBullet2"/>
            </w:pPr>
            <w:r w:rsidRPr="00A05237">
              <w:t xml:space="preserve">a range of relevant exercises, case studies and/or other simulated </w:t>
            </w:r>
            <w:r w:rsidRPr="00A05237">
              <w:t>practical and knowledge assessment, and/or</w:t>
            </w:r>
          </w:p>
          <w:p w:rsidR="00000000" w:rsidRPr="00A05237" w:rsidP="00A05237">
            <w:pPr>
              <w:pStyle w:val="ListBullet2"/>
            </w:pPr>
            <w:r w:rsidRPr="00A05237">
              <w:t>access to an appropriate range of relevant operational situations in the workplace</w:t>
            </w:r>
          </w:p>
          <w:p w:rsidR="00000000" w:rsidRPr="00A05237" w:rsidP="00A05237">
            <w:pPr>
              <w:pStyle w:val="ListBullet"/>
            </w:pPr>
            <w:r w:rsidRPr="00A05237">
              <w:t>In both real and simulated environments, access is required to:</w:t>
            </w:r>
          </w:p>
          <w:p w:rsidR="00000000" w:rsidRPr="00A05237" w:rsidP="00A05237">
            <w:pPr>
              <w:pStyle w:val="ListBullet2"/>
            </w:pPr>
            <w:r w:rsidRPr="00A05237">
              <w:t>relevant and appropriate materials and equipment, and</w:t>
            </w:r>
          </w:p>
          <w:p w:rsidR="00000000" w:rsidP="00A05237">
            <w:pPr>
              <w:pStyle w:val="ListBullet2"/>
              <w:rPr>
                <w:lang w:val="en-NZ"/>
              </w:rPr>
            </w:pPr>
            <w:r w:rsidRPr="00A05237">
              <w:t>applicable documentation including workplace procedures, regulations, codes of practice and operation manuals</w:t>
            </w:r>
          </w:p>
        </w:tc>
      </w:tr>
      <w:tr w:rsidTr="00A27792">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A05237">
            <w:pPr>
              <w:pStyle w:val="BodyText"/>
              <w:rPr>
                <w:lang w:val="en-NZ"/>
              </w:rPr>
            </w:pPr>
            <w:r w:rsidRPr="00A05237">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A05237" w:rsidP="00A05237">
            <w:pPr>
              <w:pStyle w:val="ListBullet"/>
            </w:pPr>
            <w:r w:rsidRPr="00A05237">
              <w:t>Assessment of this unit must be undertaken by a registered training organisation</w:t>
            </w:r>
          </w:p>
          <w:p w:rsidR="00000000" w:rsidRPr="00A05237" w:rsidP="00A05237">
            <w:pPr>
              <w:pStyle w:val="ListBullet"/>
            </w:pPr>
            <w:r w:rsidRPr="00A05237">
              <w:t>As a minimum, assessment of knowledge must</w:t>
            </w:r>
            <w:r w:rsidRPr="00A05237">
              <w:t xml:space="preserve"> be conducted through appropriate written/oral tests</w:t>
            </w:r>
          </w:p>
          <w:p w:rsidR="00000000" w:rsidRPr="00A05237" w:rsidP="00A05237">
            <w:pPr>
              <w:pStyle w:val="ListBullet"/>
            </w:pPr>
            <w:r w:rsidRPr="00A05237">
              <w:t>Practical assessment must occur:</w:t>
            </w:r>
          </w:p>
          <w:p w:rsidR="00000000" w:rsidRPr="00A05237" w:rsidP="00A05237">
            <w:pPr>
              <w:pStyle w:val="ListBullet2"/>
            </w:pPr>
            <w:r w:rsidRPr="00A05237">
              <w:t>through activities in an appropriately simulated environment, and/or</w:t>
            </w:r>
          </w:p>
          <w:p w:rsidR="00000000" w:rsidRPr="00A05237" w:rsidP="00A05237">
            <w:pPr>
              <w:pStyle w:val="ListBullet2"/>
            </w:pPr>
            <w:r w:rsidRPr="00A05237">
              <w:t>in an appropriate range of situations in the workplace</w:t>
            </w:r>
          </w:p>
        </w:tc>
      </w:tr>
    </w:tbl>
    <w:p w:rsidR="00A27792" w:rsidP="00A05237">
      <w:pPr>
        <w:pStyle w:val="BodyText"/>
      </w:pPr>
    </w:p>
    <w:p w:rsidR="00A27792" w:rsidP="00A05237">
      <w:pPr>
        <w:pStyle w:val="BodyText"/>
      </w:pPr>
    </w:p>
    <w:p w:rsidR="00000000" w:rsidRPr="00A05237" w:rsidP="00A05237">
      <w:pPr>
        <w:pStyle w:val="Heading1"/>
      </w:pPr>
      <w:bookmarkStart w:id="11" w:name="O_255098"/>
      <w:bookmarkEnd w:id="11"/>
      <w:r w:rsidRPr="00A05237">
        <w:t>Range Statement</w:t>
      </w:r>
    </w:p>
    <w:tbl>
      <w:tblPr>
        <w:tblW w:w="9640" w:type="dxa"/>
        <w:tblLayout w:type="fixed"/>
        <w:tblCellMar>
          <w:left w:w="62" w:type="dxa"/>
          <w:right w:w="62" w:type="dxa"/>
        </w:tblCellMar>
        <w:tblLook w:val="0000"/>
      </w:tblPr>
      <w:tblGrid>
        <w:gridCol w:w="3486"/>
        <w:gridCol w:w="6154"/>
      </w:tblGrid>
      <w:tr w:rsidTr="00A27792">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A05237">
            <w:pPr>
              <w:pStyle w:val="BodyText"/>
              <w:rPr>
                <w:lang w:val="en-NZ"/>
              </w:rPr>
            </w:pPr>
            <w:r w:rsidRPr="00A05237">
              <w:rPr>
                <w:rStyle w:val="SpecialBold"/>
              </w:rPr>
              <w:t>RANGE STATEMENT</w:t>
            </w:r>
            <w:r w:rsidRPr="00A05237">
              <w:t xml:space="preserve"> </w:t>
            </w:r>
          </w:p>
        </w:tc>
      </w:tr>
      <w:tr w:rsidTr="00A27792">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A05237">
            <w:pPr>
              <w:pStyle w:val="BodyText"/>
              <w:rPr>
                <w:lang w:val="en-NZ"/>
              </w:rPr>
            </w:pPr>
            <w:r w:rsidRPr="00A05237">
              <w:t>The range statement relates to the unit of competency as a whole. It allows for different work environments and situations that may affect performance.</w:t>
            </w:r>
          </w:p>
        </w:tc>
      </w:tr>
      <w:tr w:rsidTr="00A2779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05237">
            <w:pPr>
              <w:pStyle w:val="BodyText"/>
              <w:rPr>
                <w:lang w:val="en-NZ"/>
              </w:rPr>
            </w:pPr>
            <w:r w:rsidRPr="00A05237">
              <w:t>Health support may include:</w:t>
            </w:r>
          </w:p>
        </w:tc>
        <w:tc>
          <w:tcPr>
            <w:tcW w:w="6154" w:type="dxa"/>
            <w:tcBorders>
              <w:top w:val="nil"/>
              <w:left w:val="nil"/>
              <w:bottom w:val="nil"/>
              <w:right w:val="nil"/>
            </w:tcBorders>
            <w:tcMar>
              <w:top w:w="0" w:type="dxa"/>
              <w:left w:w="62" w:type="dxa"/>
              <w:bottom w:w="0" w:type="dxa"/>
              <w:right w:w="62" w:type="dxa"/>
            </w:tcMar>
          </w:tcPr>
          <w:p w:rsidR="00000000" w:rsidRPr="00A05237" w:rsidP="00A05237">
            <w:pPr>
              <w:pStyle w:val="ListBullet"/>
            </w:pPr>
            <w:r w:rsidRPr="00A05237">
              <w:t>triage</w:t>
            </w:r>
          </w:p>
          <w:p w:rsidR="00000000" w:rsidRPr="00A05237" w:rsidP="00A05237">
            <w:pPr>
              <w:pStyle w:val="ListBullet"/>
            </w:pPr>
            <w:r w:rsidRPr="00A05237">
              <w:t>resuscitation</w:t>
            </w:r>
          </w:p>
          <w:p w:rsidR="00000000" w:rsidRPr="00A05237" w:rsidP="00A05237">
            <w:pPr>
              <w:pStyle w:val="ListBullet"/>
            </w:pPr>
            <w:r w:rsidRPr="00A05237">
              <w:t>surgical care</w:t>
            </w:r>
          </w:p>
          <w:p w:rsidR="00000000" w:rsidRPr="00A05237" w:rsidP="00A05237">
            <w:pPr>
              <w:pStyle w:val="ListBullet"/>
            </w:pPr>
            <w:r w:rsidRPr="00A05237">
              <w:t>nursing care</w:t>
            </w:r>
          </w:p>
          <w:p w:rsidR="00000000" w:rsidRPr="00A05237" w:rsidP="00A05237">
            <w:pPr>
              <w:pStyle w:val="ListBullet"/>
            </w:pPr>
            <w:r w:rsidRPr="00A05237">
              <w:t>primary health care</w:t>
            </w:r>
          </w:p>
          <w:p w:rsidR="00000000" w:rsidRPr="00A05237" w:rsidP="00A05237">
            <w:pPr>
              <w:pStyle w:val="ListBullet"/>
            </w:pPr>
            <w:r w:rsidRPr="00A05237">
              <w:t>evacuation (forward retrieval)</w:t>
            </w:r>
          </w:p>
          <w:p w:rsidR="00000000" w:rsidRPr="00A05237" w:rsidP="00A05237">
            <w:pPr>
              <w:pStyle w:val="ListBullet"/>
            </w:pPr>
            <w:r w:rsidRPr="00A05237">
              <w:t>pathology</w:t>
            </w:r>
          </w:p>
          <w:p w:rsidR="00000000" w:rsidRPr="00A05237" w:rsidP="00A05237">
            <w:pPr>
              <w:pStyle w:val="ListBullet"/>
            </w:pPr>
            <w:r w:rsidRPr="00A05237">
              <w:t>medical imaging</w:t>
            </w:r>
          </w:p>
          <w:p w:rsidR="00000000" w:rsidRPr="00A05237" w:rsidP="00A05237">
            <w:pPr>
              <w:pStyle w:val="ListBullet"/>
            </w:pPr>
            <w:r w:rsidRPr="00A05237">
              <w:t>dental care</w:t>
            </w:r>
          </w:p>
          <w:p w:rsidR="00000000" w:rsidRPr="00A05237" w:rsidP="00A05237">
            <w:pPr>
              <w:pStyle w:val="ListBullet"/>
            </w:pPr>
            <w:r w:rsidRPr="00A05237">
              <w:t>environmental health support</w:t>
            </w:r>
          </w:p>
          <w:p w:rsidR="00000000" w:rsidP="00A05237">
            <w:pPr>
              <w:pStyle w:val="ListBullet"/>
              <w:rPr>
                <w:lang w:val="en-NZ"/>
              </w:rPr>
            </w:pPr>
            <w:r w:rsidRPr="00A05237">
              <w:t>psych support</w:t>
            </w:r>
          </w:p>
        </w:tc>
      </w:tr>
      <w:tr w:rsidTr="00A2779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05237">
            <w:pPr>
              <w:pStyle w:val="BodyText"/>
              <w:rPr>
                <w:lang w:val="en-NZ"/>
              </w:rPr>
            </w:pPr>
            <w:r w:rsidRPr="00A05237">
              <w:t>Health elements may include:</w:t>
            </w:r>
          </w:p>
        </w:tc>
        <w:tc>
          <w:tcPr>
            <w:tcW w:w="6154" w:type="dxa"/>
            <w:tcBorders>
              <w:top w:val="nil"/>
              <w:left w:val="nil"/>
              <w:bottom w:val="nil"/>
              <w:right w:val="nil"/>
            </w:tcBorders>
            <w:tcMar>
              <w:top w:w="0" w:type="dxa"/>
              <w:left w:w="62" w:type="dxa"/>
              <w:bottom w:w="0" w:type="dxa"/>
              <w:right w:w="62" w:type="dxa"/>
            </w:tcMar>
          </w:tcPr>
          <w:p w:rsidR="00000000" w:rsidRPr="00A05237" w:rsidP="00A05237">
            <w:pPr>
              <w:pStyle w:val="ListBullet"/>
            </w:pPr>
            <w:r w:rsidRPr="00A05237">
              <w:t>dental team</w:t>
            </w:r>
          </w:p>
          <w:p w:rsidR="00000000" w:rsidRPr="00A05237" w:rsidP="00A05237">
            <w:pPr>
              <w:pStyle w:val="ListBullet"/>
            </w:pPr>
            <w:r w:rsidRPr="00A05237">
              <w:t>environmental health team</w:t>
            </w:r>
          </w:p>
          <w:p w:rsidR="00000000" w:rsidRPr="00A05237" w:rsidP="00A05237">
            <w:pPr>
              <w:pStyle w:val="ListBullet"/>
            </w:pPr>
            <w:r w:rsidRPr="00A05237">
              <w:t>health assessment team</w:t>
            </w:r>
          </w:p>
          <w:p w:rsidR="00000000" w:rsidRPr="00A05237" w:rsidP="00A05237">
            <w:pPr>
              <w:pStyle w:val="ListBullet"/>
            </w:pPr>
            <w:r w:rsidRPr="00A05237">
              <w:t>field pathology team</w:t>
            </w:r>
          </w:p>
          <w:p w:rsidR="00000000" w:rsidRPr="00A05237" w:rsidP="00A05237">
            <w:pPr>
              <w:pStyle w:val="ListBullet"/>
            </w:pPr>
            <w:r w:rsidRPr="00A05237">
              <w:t>low/medium/high dependency nursing team</w:t>
            </w:r>
          </w:p>
          <w:p w:rsidR="00000000" w:rsidRPr="00A05237" w:rsidP="00A05237">
            <w:pPr>
              <w:pStyle w:val="ListBullet"/>
            </w:pPr>
            <w:r w:rsidRPr="00A05237">
              <w:t>primary health care team</w:t>
            </w:r>
          </w:p>
          <w:p w:rsidR="00000000" w:rsidRPr="00A05237" w:rsidP="00A05237">
            <w:pPr>
              <w:pStyle w:val="ListBullet"/>
            </w:pPr>
            <w:r w:rsidRPr="00A05237">
              <w:t>rehabilitation team</w:t>
            </w:r>
          </w:p>
          <w:p w:rsidR="00000000" w:rsidRPr="00A05237" w:rsidP="00A05237">
            <w:pPr>
              <w:pStyle w:val="ListBullet"/>
            </w:pPr>
            <w:r w:rsidRPr="00A05237">
              <w:t>resuscitation team</w:t>
            </w:r>
          </w:p>
          <w:p w:rsidR="00000000" w:rsidRPr="00A05237" w:rsidP="00A05237">
            <w:pPr>
              <w:pStyle w:val="ListBullet"/>
            </w:pPr>
            <w:r w:rsidRPr="00A05237">
              <w:t>surgical team</w:t>
            </w:r>
          </w:p>
          <w:p w:rsidR="00000000" w:rsidRPr="00A05237" w:rsidP="00A05237">
            <w:pPr>
              <w:pStyle w:val="ListBullet"/>
            </w:pPr>
            <w:r w:rsidRPr="00A05237">
              <w:t>laboratory team</w:t>
            </w:r>
          </w:p>
          <w:p w:rsidR="00000000" w:rsidRPr="00A05237" w:rsidP="00A05237">
            <w:pPr>
              <w:pStyle w:val="ListBullet"/>
            </w:pPr>
            <w:r w:rsidRPr="00A05237">
              <w:t>medical imaging team</w:t>
            </w:r>
          </w:p>
          <w:p w:rsidR="00000000" w:rsidRPr="00A05237" w:rsidP="00A05237">
            <w:pPr>
              <w:pStyle w:val="ListBullet"/>
            </w:pPr>
            <w:r w:rsidRPr="00A05237">
              <w:t>road ambulance evacuation team</w:t>
            </w:r>
          </w:p>
          <w:p w:rsidR="00000000" w:rsidRPr="00A05237" w:rsidP="00A05237">
            <w:pPr>
              <w:pStyle w:val="ListBullet"/>
            </w:pPr>
            <w:r w:rsidRPr="00A05237">
              <w:t>aeromedical evacuation team</w:t>
            </w:r>
          </w:p>
          <w:p w:rsidR="00000000" w:rsidRPr="00A05237" w:rsidP="00A05237">
            <w:pPr>
              <w:pStyle w:val="ListBullet"/>
            </w:pPr>
            <w:r w:rsidRPr="00A05237">
              <w:t>psych support team</w:t>
            </w:r>
          </w:p>
          <w:p w:rsidR="00000000" w:rsidRPr="00A05237" w:rsidP="00A05237">
            <w:pPr>
              <w:pStyle w:val="ListBullet"/>
            </w:pPr>
            <w:r w:rsidRPr="00A05237">
              <w:t>mortuary team</w:t>
            </w:r>
          </w:p>
          <w:p w:rsidR="00000000" w:rsidP="00A05237">
            <w:pPr>
              <w:pStyle w:val="ListBullet"/>
              <w:rPr>
                <w:lang w:val="en-NZ"/>
              </w:rPr>
            </w:pPr>
            <w:r w:rsidRPr="00A05237">
              <w:t>ships med</w:t>
            </w:r>
            <w:r w:rsidRPr="00A05237">
              <w:t>ical emergency team</w:t>
            </w:r>
          </w:p>
        </w:tc>
      </w:tr>
      <w:tr w:rsidTr="00A2779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05237">
            <w:pPr>
              <w:pStyle w:val="BodyText"/>
              <w:rPr>
                <w:lang w:val="en-NZ"/>
              </w:rPr>
            </w:pPr>
            <w:r w:rsidRPr="00A05237">
              <w:t>Preparedness of health element personnel may include:</w:t>
            </w:r>
          </w:p>
        </w:tc>
        <w:tc>
          <w:tcPr>
            <w:tcW w:w="6154" w:type="dxa"/>
            <w:tcBorders>
              <w:top w:val="nil"/>
              <w:left w:val="nil"/>
              <w:bottom w:val="nil"/>
              <w:right w:val="nil"/>
            </w:tcBorders>
            <w:tcMar>
              <w:top w:w="0" w:type="dxa"/>
              <w:left w:w="62" w:type="dxa"/>
              <w:bottom w:w="0" w:type="dxa"/>
              <w:right w:w="62" w:type="dxa"/>
            </w:tcMar>
          </w:tcPr>
          <w:p w:rsidR="00000000" w:rsidRPr="00A05237" w:rsidP="00A05237">
            <w:pPr>
              <w:pStyle w:val="ListBullet"/>
            </w:pPr>
            <w:r w:rsidRPr="00A05237">
              <w:t>competent in generic organisational skills</w:t>
            </w:r>
          </w:p>
          <w:p w:rsidR="00000000" w:rsidRPr="00A05237" w:rsidP="00A05237">
            <w:pPr>
              <w:pStyle w:val="ListBullet"/>
            </w:pPr>
            <w:r w:rsidRPr="00A05237">
              <w:t>competent in health care skills</w:t>
            </w:r>
          </w:p>
          <w:p w:rsidR="00000000" w:rsidRPr="00A05237" w:rsidP="00A05237">
            <w:pPr>
              <w:pStyle w:val="ListBullet"/>
            </w:pPr>
            <w:r w:rsidRPr="00A05237">
              <w:t>fit and healthy</w:t>
            </w:r>
          </w:p>
          <w:p w:rsidR="00000000" w:rsidRPr="00A05237" w:rsidP="00A05237">
            <w:pPr>
              <w:pStyle w:val="ListBullet"/>
            </w:pPr>
            <w:r w:rsidRPr="00A05237">
              <w:t>have appropriate credentials for position</w:t>
            </w:r>
          </w:p>
          <w:p w:rsidR="00000000" w:rsidRPr="00A05237" w:rsidP="00A05237">
            <w:pPr>
              <w:pStyle w:val="ListBullet"/>
            </w:pPr>
            <w:r w:rsidRPr="00A05237">
              <w:t>have an authorised Red Cross card and armband</w:t>
            </w:r>
          </w:p>
          <w:p w:rsidR="00000000" w:rsidP="00A05237">
            <w:pPr>
              <w:pStyle w:val="ListBullet"/>
              <w:rPr>
                <w:lang w:val="en-NZ"/>
              </w:rPr>
            </w:pPr>
            <w:r w:rsidRPr="00A05237">
              <w:t>familiar and confident with health element equipment and operating environment</w:t>
            </w:r>
          </w:p>
        </w:tc>
      </w:tr>
      <w:tr w:rsidTr="00A2779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05237">
            <w:pPr>
              <w:pStyle w:val="BodyText"/>
              <w:rPr>
                <w:lang w:val="en-NZ"/>
              </w:rPr>
            </w:pPr>
            <w:r w:rsidRPr="00A05237">
              <w:t>Health support policy and procedure may include:</w:t>
            </w:r>
          </w:p>
        </w:tc>
        <w:tc>
          <w:tcPr>
            <w:tcW w:w="6154" w:type="dxa"/>
            <w:tcBorders>
              <w:top w:val="nil"/>
              <w:left w:val="nil"/>
              <w:bottom w:val="nil"/>
              <w:right w:val="nil"/>
            </w:tcBorders>
            <w:tcMar>
              <w:top w:w="0" w:type="dxa"/>
              <w:left w:w="62" w:type="dxa"/>
              <w:bottom w:w="0" w:type="dxa"/>
              <w:right w:w="62" w:type="dxa"/>
            </w:tcMar>
          </w:tcPr>
          <w:p w:rsidR="00000000" w:rsidRPr="00A05237" w:rsidP="00A05237">
            <w:pPr>
              <w:pStyle w:val="ListBullet"/>
            </w:pPr>
            <w:r w:rsidRPr="00A05237">
              <w:t>health doctrine</w:t>
            </w:r>
          </w:p>
          <w:p w:rsidR="00000000" w:rsidRPr="00A05237" w:rsidP="00A05237">
            <w:pPr>
              <w:pStyle w:val="ListBullet"/>
            </w:pPr>
            <w:r w:rsidRPr="00A05237">
              <w:t>health instructions</w:t>
            </w:r>
          </w:p>
          <w:p w:rsidR="00000000" w:rsidRPr="00A05237" w:rsidP="00A05237">
            <w:pPr>
              <w:pStyle w:val="ListBullet"/>
            </w:pPr>
            <w:r w:rsidRPr="00A05237">
              <w:t>health policy directives</w:t>
            </w:r>
          </w:p>
          <w:p w:rsidR="00000000" w:rsidP="00A05237">
            <w:pPr>
              <w:pStyle w:val="ListBullet"/>
              <w:rPr>
                <w:lang w:val="en-NZ"/>
              </w:rPr>
            </w:pPr>
            <w:r w:rsidRPr="00A05237">
              <w:t>standard operating procedures</w:t>
            </w:r>
          </w:p>
        </w:tc>
      </w:tr>
      <w:tr w:rsidTr="00A2779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05237">
            <w:pPr>
              <w:pStyle w:val="BodyText"/>
              <w:rPr>
                <w:lang w:val="en-NZ"/>
              </w:rPr>
            </w:pPr>
            <w:r w:rsidRPr="00A05237">
              <w:t>The principles of health support m</w:t>
            </w:r>
            <w:r w:rsidRPr="00A05237">
              <w:t>ay include:</w:t>
            </w:r>
          </w:p>
        </w:tc>
        <w:tc>
          <w:tcPr>
            <w:tcW w:w="6154" w:type="dxa"/>
            <w:tcBorders>
              <w:top w:val="nil"/>
              <w:left w:val="nil"/>
              <w:bottom w:val="nil"/>
              <w:right w:val="nil"/>
            </w:tcBorders>
            <w:tcMar>
              <w:top w:w="0" w:type="dxa"/>
              <w:left w:w="62" w:type="dxa"/>
              <w:bottom w:w="0" w:type="dxa"/>
              <w:right w:w="62" w:type="dxa"/>
            </w:tcMar>
          </w:tcPr>
          <w:p w:rsidR="00000000" w:rsidRPr="00A05237" w:rsidP="00A05237">
            <w:pPr>
              <w:pStyle w:val="ListBullet"/>
            </w:pPr>
            <w:r w:rsidRPr="00A05237">
              <w:t>prevention</w:t>
            </w:r>
          </w:p>
          <w:p w:rsidR="00000000" w:rsidRPr="00A05237" w:rsidP="00A05237">
            <w:pPr>
              <w:pStyle w:val="ListBullet"/>
            </w:pPr>
            <w:r w:rsidRPr="00A05237">
              <w:t>conformity</w:t>
            </w:r>
          </w:p>
          <w:p w:rsidR="00000000" w:rsidRPr="00A05237" w:rsidP="00A05237">
            <w:pPr>
              <w:pStyle w:val="ListBullet"/>
            </w:pPr>
            <w:r w:rsidRPr="00A05237">
              <w:t>control</w:t>
            </w:r>
          </w:p>
          <w:p w:rsidR="00000000" w:rsidRPr="00A05237" w:rsidP="00A05237">
            <w:pPr>
              <w:pStyle w:val="ListBullet"/>
            </w:pPr>
            <w:r w:rsidRPr="00A05237">
              <w:t>continuity</w:t>
            </w:r>
          </w:p>
          <w:p w:rsidR="00000000" w:rsidRPr="00A05237" w:rsidP="00A05237">
            <w:pPr>
              <w:pStyle w:val="ListBullet"/>
            </w:pPr>
            <w:r w:rsidRPr="00A05237">
              <w:t>flexibility</w:t>
            </w:r>
          </w:p>
          <w:p w:rsidR="00000000" w:rsidRPr="00A05237" w:rsidP="00A05237">
            <w:pPr>
              <w:pStyle w:val="ListBullet"/>
            </w:pPr>
            <w:r w:rsidRPr="00A05237">
              <w:t>mobility</w:t>
            </w:r>
          </w:p>
          <w:p w:rsidR="00000000" w:rsidP="00A05237">
            <w:pPr>
              <w:pStyle w:val="ListBullet"/>
              <w:rPr>
                <w:lang w:val="en-NZ"/>
              </w:rPr>
            </w:pPr>
            <w:r w:rsidRPr="00A05237">
              <w:t>proximity</w:t>
            </w:r>
          </w:p>
        </w:tc>
      </w:tr>
      <w:tr w:rsidTr="00A2779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05237">
            <w:pPr>
              <w:pStyle w:val="BodyText"/>
              <w:rPr>
                <w:lang w:val="en-NZ"/>
              </w:rPr>
            </w:pPr>
            <w:r w:rsidRPr="00A05237">
              <w:t>Evacuation planning factors may include:</w:t>
            </w:r>
          </w:p>
        </w:tc>
        <w:tc>
          <w:tcPr>
            <w:tcW w:w="6154" w:type="dxa"/>
            <w:tcBorders>
              <w:top w:val="nil"/>
              <w:left w:val="nil"/>
              <w:bottom w:val="nil"/>
              <w:right w:val="nil"/>
            </w:tcBorders>
            <w:tcMar>
              <w:top w:w="0" w:type="dxa"/>
              <w:left w:w="62" w:type="dxa"/>
              <w:bottom w:w="0" w:type="dxa"/>
              <w:right w:w="62" w:type="dxa"/>
            </w:tcMar>
          </w:tcPr>
          <w:p w:rsidR="00000000" w:rsidRPr="00A05237" w:rsidP="00A05237">
            <w:pPr>
              <w:pStyle w:val="ListBullet"/>
            </w:pPr>
            <w:r w:rsidRPr="00A05237">
              <w:t>casualty/patient estimates</w:t>
            </w:r>
          </w:p>
          <w:p w:rsidR="00000000" w:rsidRPr="00A05237" w:rsidP="00A05237">
            <w:pPr>
              <w:pStyle w:val="ListBullet"/>
            </w:pPr>
            <w:r w:rsidRPr="00A05237">
              <w:t>availability and capability of evacuation assets</w:t>
            </w:r>
          </w:p>
          <w:p w:rsidR="00000000" w:rsidRPr="00A05237" w:rsidP="00A05237">
            <w:pPr>
              <w:pStyle w:val="ListBullet"/>
            </w:pPr>
            <w:r w:rsidRPr="00A05237">
              <w:t>capacity, location and type of supporting health facilities</w:t>
            </w:r>
          </w:p>
          <w:p w:rsidR="00000000" w:rsidRPr="00A05237" w:rsidP="00A05237">
            <w:pPr>
              <w:pStyle w:val="ListBullet"/>
            </w:pPr>
            <w:r w:rsidRPr="00A05237">
              <w:t>level of expertise of health care personnel</w:t>
            </w:r>
          </w:p>
          <w:p w:rsidR="00000000" w:rsidRPr="00A05237" w:rsidP="00A05237">
            <w:pPr>
              <w:pStyle w:val="ListBullet"/>
            </w:pPr>
            <w:r w:rsidRPr="00A05237">
              <w:t>casualty exchange points along the evacuation chain</w:t>
            </w:r>
          </w:p>
          <w:p w:rsidR="00000000" w:rsidRPr="00A05237" w:rsidP="00A05237">
            <w:pPr>
              <w:pStyle w:val="ListBullet"/>
            </w:pPr>
            <w:r w:rsidRPr="00A05237">
              <w:t>protection afforded to health personnel, casualties, health units, evacuation assets</w:t>
            </w:r>
          </w:p>
          <w:p w:rsidR="00000000" w:rsidRPr="00A05237" w:rsidP="00A05237">
            <w:pPr>
              <w:pStyle w:val="ListBullet"/>
            </w:pPr>
            <w:r w:rsidRPr="00A05237">
              <w:t>communication p</w:t>
            </w:r>
            <w:r w:rsidRPr="00A05237">
              <w:t>lan</w:t>
            </w:r>
          </w:p>
          <w:p w:rsidR="00000000" w:rsidP="00A05237">
            <w:pPr>
              <w:pStyle w:val="ListBullet"/>
              <w:rPr>
                <w:lang w:val="en-NZ"/>
              </w:rPr>
            </w:pPr>
            <w:r w:rsidRPr="00A05237">
              <w:t>airspace command and control</w:t>
            </w:r>
          </w:p>
        </w:tc>
      </w:tr>
      <w:tr w:rsidTr="00A2779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05237">
            <w:pPr>
              <w:pStyle w:val="BodyText"/>
              <w:rPr>
                <w:lang w:val="en-NZ"/>
              </w:rPr>
            </w:pPr>
            <w:r w:rsidRPr="00A05237">
              <w:t>Evacuation assets may include:</w:t>
            </w:r>
          </w:p>
        </w:tc>
        <w:tc>
          <w:tcPr>
            <w:tcW w:w="6154" w:type="dxa"/>
            <w:tcBorders>
              <w:top w:val="nil"/>
              <w:left w:val="nil"/>
              <w:bottom w:val="nil"/>
              <w:right w:val="nil"/>
            </w:tcBorders>
            <w:tcMar>
              <w:top w:w="0" w:type="dxa"/>
              <w:left w:w="62" w:type="dxa"/>
              <w:bottom w:w="0" w:type="dxa"/>
              <w:right w:w="62" w:type="dxa"/>
            </w:tcMar>
          </w:tcPr>
          <w:p w:rsidR="00000000" w:rsidRPr="00A05237" w:rsidP="00A05237">
            <w:pPr>
              <w:pStyle w:val="ListBullet"/>
            </w:pPr>
            <w:r w:rsidRPr="00A05237">
              <w:t>ambulance</w:t>
            </w:r>
          </w:p>
          <w:p w:rsidR="00000000" w:rsidRPr="00A05237" w:rsidP="00A05237">
            <w:pPr>
              <w:pStyle w:val="ListBullet"/>
            </w:pPr>
            <w:r w:rsidRPr="00A05237">
              <w:t>air/sea support</w:t>
            </w:r>
          </w:p>
          <w:p w:rsidR="00000000" w:rsidRPr="00A05237" w:rsidP="00A05237">
            <w:pPr>
              <w:pStyle w:val="ListBullet"/>
            </w:pPr>
            <w:r w:rsidRPr="00A05237">
              <w:t>vehicle adapted for casualty transport</w:t>
            </w:r>
          </w:p>
          <w:p w:rsidR="00000000" w:rsidRPr="00A05237" w:rsidP="00A05237">
            <w:pPr>
              <w:pStyle w:val="ListBullet"/>
            </w:pPr>
            <w:r w:rsidRPr="00A05237">
              <w:t>medical equipment</w:t>
            </w:r>
          </w:p>
          <w:p w:rsidR="00000000" w:rsidRPr="00A05237" w:rsidP="00A05237">
            <w:pPr>
              <w:pStyle w:val="ListBullet"/>
            </w:pPr>
            <w:r w:rsidRPr="00A05237">
              <w:t>pharmaceutical stores</w:t>
            </w:r>
          </w:p>
          <w:p w:rsidR="00000000" w:rsidP="00A05237">
            <w:pPr>
              <w:pStyle w:val="ListBullet"/>
              <w:rPr>
                <w:lang w:val="en-NZ"/>
              </w:rPr>
            </w:pPr>
            <w:r w:rsidRPr="00A05237">
              <w:t>trained and competent personnel</w:t>
            </w:r>
          </w:p>
        </w:tc>
      </w:tr>
      <w:tr w:rsidTr="00A2779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05237">
            <w:pPr>
              <w:pStyle w:val="BodyText"/>
              <w:rPr>
                <w:lang w:val="en-NZ"/>
              </w:rPr>
            </w:pPr>
            <w:r w:rsidRPr="00A05237">
              <w:t>Processes and procedures may include:</w:t>
            </w:r>
          </w:p>
        </w:tc>
        <w:tc>
          <w:tcPr>
            <w:tcW w:w="6154" w:type="dxa"/>
            <w:tcBorders>
              <w:top w:val="nil"/>
              <w:left w:val="nil"/>
              <w:bottom w:val="nil"/>
              <w:right w:val="nil"/>
            </w:tcBorders>
            <w:tcMar>
              <w:top w:w="0" w:type="dxa"/>
              <w:left w:w="62" w:type="dxa"/>
              <w:bottom w:w="0" w:type="dxa"/>
              <w:right w:w="62" w:type="dxa"/>
            </w:tcMar>
          </w:tcPr>
          <w:p w:rsidR="00000000" w:rsidRPr="00A05237" w:rsidP="00A05237">
            <w:pPr>
              <w:pStyle w:val="ListBullet"/>
            </w:pPr>
            <w:r w:rsidRPr="00A05237">
              <w:t>standard operation procedures</w:t>
            </w:r>
          </w:p>
          <w:p w:rsidR="00000000" w:rsidRPr="00A05237" w:rsidP="00A05237">
            <w:pPr>
              <w:pStyle w:val="ListBullet"/>
            </w:pPr>
            <w:r w:rsidRPr="00A05237">
              <w:t>tasking information sheet</w:t>
            </w:r>
          </w:p>
          <w:p w:rsidR="00000000" w:rsidRPr="00A05237" w:rsidP="00A05237">
            <w:pPr>
              <w:pStyle w:val="ListBullet"/>
            </w:pPr>
            <w:r w:rsidRPr="00A05237">
              <w:t>pre-departure briefing</w:t>
            </w:r>
          </w:p>
          <w:p w:rsidR="00000000" w:rsidRPr="00A05237" w:rsidP="00A05237">
            <w:pPr>
              <w:pStyle w:val="ListBullet"/>
            </w:pPr>
            <w:r w:rsidRPr="00A05237">
              <w:t>in-vehicle communications</w:t>
            </w:r>
          </w:p>
          <w:p w:rsidR="00000000" w:rsidRPr="00A05237" w:rsidP="00A05237">
            <w:pPr>
              <w:pStyle w:val="ListBullet"/>
            </w:pPr>
            <w:r w:rsidRPr="00A05237">
              <w:t>check points/rendezvous points/way points</w:t>
            </w:r>
          </w:p>
          <w:p w:rsidR="00000000" w:rsidRPr="00A05237" w:rsidP="00A05237">
            <w:pPr>
              <w:pStyle w:val="ListBullet"/>
            </w:pPr>
            <w:r w:rsidRPr="00A05237">
              <w:t>navigation aids</w:t>
            </w:r>
          </w:p>
          <w:p w:rsidR="00000000" w:rsidRPr="00A05237" w:rsidP="00A05237">
            <w:pPr>
              <w:pStyle w:val="ListBullet"/>
            </w:pPr>
            <w:r w:rsidRPr="00A05237">
              <w:t>route clearances</w:t>
            </w:r>
          </w:p>
          <w:p w:rsidR="00000000" w:rsidRPr="00A05237" w:rsidP="00A05237">
            <w:pPr>
              <w:pStyle w:val="ListBullet"/>
            </w:pPr>
            <w:r w:rsidRPr="00A05237">
              <w:t>forward positioning of evacuation assets</w:t>
            </w:r>
          </w:p>
          <w:p w:rsidR="00000000" w:rsidP="00A05237">
            <w:pPr>
              <w:pStyle w:val="ListBullet"/>
              <w:rPr>
                <w:lang w:val="en-NZ"/>
              </w:rPr>
            </w:pPr>
            <w:r w:rsidRPr="00A05237">
              <w:t>use of casualty exchange points</w:t>
            </w:r>
          </w:p>
        </w:tc>
      </w:tr>
      <w:tr w:rsidTr="00A2779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05237">
            <w:pPr>
              <w:pStyle w:val="BodyText"/>
              <w:rPr>
                <w:lang w:val="en-NZ"/>
              </w:rPr>
            </w:pPr>
            <w:r w:rsidRPr="00A05237">
              <w:t>Evacuation support may include:</w:t>
            </w:r>
          </w:p>
        </w:tc>
        <w:tc>
          <w:tcPr>
            <w:tcW w:w="6154" w:type="dxa"/>
            <w:tcBorders>
              <w:top w:val="nil"/>
              <w:left w:val="nil"/>
              <w:bottom w:val="nil"/>
              <w:right w:val="nil"/>
            </w:tcBorders>
            <w:tcMar>
              <w:top w:w="0" w:type="dxa"/>
              <w:left w:w="62" w:type="dxa"/>
              <w:bottom w:w="0" w:type="dxa"/>
              <w:right w:w="62" w:type="dxa"/>
            </w:tcMar>
          </w:tcPr>
          <w:p w:rsidR="00000000" w:rsidRPr="00A05237" w:rsidP="00A05237">
            <w:pPr>
              <w:pStyle w:val="ListBullet"/>
            </w:pPr>
            <w:r w:rsidRPr="00A05237">
              <w:t>casualty transport</w:t>
            </w:r>
          </w:p>
          <w:p w:rsidR="00000000" w:rsidRPr="00A05237" w:rsidP="00A05237">
            <w:pPr>
              <w:pStyle w:val="ListBullet"/>
            </w:pPr>
            <w:r w:rsidRPr="00A05237">
              <w:t>casualty retrieval</w:t>
            </w:r>
          </w:p>
          <w:p w:rsidR="00000000" w:rsidRPr="00A05237" w:rsidP="00A05237">
            <w:pPr>
              <w:pStyle w:val="ListBullet"/>
            </w:pPr>
            <w:r w:rsidRPr="00A05237">
              <w:t>on-site care</w:t>
            </w:r>
          </w:p>
          <w:p w:rsidR="00000000" w:rsidRPr="00A05237" w:rsidP="00A05237">
            <w:pPr>
              <w:pStyle w:val="ListBullet"/>
            </w:pPr>
            <w:r w:rsidRPr="00A05237">
              <w:t>en route care</w:t>
            </w:r>
          </w:p>
          <w:p w:rsidR="00000000" w:rsidRPr="00A05237" w:rsidP="00A05237">
            <w:pPr>
              <w:pStyle w:val="ListBullet"/>
            </w:pPr>
            <w:r w:rsidRPr="00A05237">
              <w:t>handover</w:t>
            </w:r>
          </w:p>
          <w:p w:rsidR="00000000" w:rsidRPr="00A05237" w:rsidP="00A05237">
            <w:pPr>
              <w:pStyle w:val="ListBullet"/>
            </w:pPr>
            <w:r w:rsidRPr="00A05237">
              <w:t>management of casualty property and effects</w:t>
            </w:r>
          </w:p>
          <w:p w:rsidR="00000000" w:rsidP="00A05237">
            <w:pPr>
              <w:pStyle w:val="ListBullet"/>
              <w:rPr>
                <w:lang w:val="en-NZ"/>
              </w:rPr>
            </w:pPr>
            <w:r w:rsidRPr="00A05237">
              <w:t>compilation of evacuation records</w:t>
            </w:r>
          </w:p>
        </w:tc>
      </w:tr>
      <w:tr w:rsidTr="00A2779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05237">
            <w:pPr>
              <w:pStyle w:val="BodyText"/>
              <w:rPr>
                <w:lang w:val="en-NZ"/>
              </w:rPr>
            </w:pPr>
            <w:r w:rsidRPr="00A05237">
              <w:t>Reception and despatch may include:</w:t>
            </w:r>
          </w:p>
        </w:tc>
        <w:tc>
          <w:tcPr>
            <w:tcW w:w="6154" w:type="dxa"/>
            <w:tcBorders>
              <w:top w:val="nil"/>
              <w:left w:val="nil"/>
              <w:bottom w:val="nil"/>
              <w:right w:val="nil"/>
            </w:tcBorders>
            <w:tcMar>
              <w:top w:w="0" w:type="dxa"/>
              <w:left w:w="62" w:type="dxa"/>
              <w:bottom w:w="0" w:type="dxa"/>
              <w:right w:w="62" w:type="dxa"/>
            </w:tcMar>
          </w:tcPr>
          <w:p w:rsidR="00000000" w:rsidRPr="00A05237" w:rsidP="00A05237">
            <w:pPr>
              <w:pStyle w:val="ListBullet"/>
            </w:pPr>
            <w:r w:rsidRPr="00A05237">
              <w:t>movement to and from the despatch point via ambulance</w:t>
            </w:r>
          </w:p>
          <w:p w:rsidR="00000000" w:rsidRPr="00A05237" w:rsidP="00A05237">
            <w:pPr>
              <w:pStyle w:val="ListBullet"/>
            </w:pPr>
            <w:r w:rsidRPr="00A05237">
              <w:t>liaison with the mode of evacuation</w:t>
            </w:r>
          </w:p>
          <w:p w:rsidR="00000000" w:rsidRPr="00A05237" w:rsidP="00A05237">
            <w:pPr>
              <w:pStyle w:val="ListBullet"/>
            </w:pPr>
            <w:r w:rsidRPr="00A05237">
              <w:t>transfer to the other evacuation mode</w:t>
            </w:r>
          </w:p>
          <w:p w:rsidR="00000000" w:rsidP="00A05237">
            <w:pPr>
              <w:pStyle w:val="ListBullet"/>
              <w:rPr>
                <w:lang w:val="en-NZ"/>
              </w:rPr>
            </w:pPr>
            <w:r w:rsidRPr="00A05237">
              <w:t>handover of the casualty to other evacuation modes</w:t>
            </w:r>
          </w:p>
        </w:tc>
      </w:tr>
      <w:tr w:rsidTr="00A2779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05237">
            <w:pPr>
              <w:pStyle w:val="BodyText"/>
              <w:rPr>
                <w:lang w:val="en-NZ"/>
              </w:rPr>
            </w:pPr>
            <w:r w:rsidRPr="00A05237">
              <w:t>Other evacuation modes may include:</w:t>
            </w:r>
          </w:p>
        </w:tc>
        <w:tc>
          <w:tcPr>
            <w:tcW w:w="6154" w:type="dxa"/>
            <w:tcBorders>
              <w:top w:val="nil"/>
              <w:left w:val="nil"/>
              <w:bottom w:val="nil"/>
              <w:right w:val="nil"/>
            </w:tcBorders>
            <w:tcMar>
              <w:top w:w="0" w:type="dxa"/>
              <w:left w:w="62" w:type="dxa"/>
              <w:bottom w:w="0" w:type="dxa"/>
              <w:right w:w="62" w:type="dxa"/>
            </w:tcMar>
          </w:tcPr>
          <w:p w:rsidR="00000000" w:rsidRPr="00A05237" w:rsidP="00A05237">
            <w:pPr>
              <w:pStyle w:val="ListBullet"/>
            </w:pPr>
            <w:r w:rsidRPr="00A05237">
              <w:t>rotary wing aircraft</w:t>
            </w:r>
          </w:p>
          <w:p w:rsidR="00000000" w:rsidRPr="00A05237" w:rsidP="00A05237">
            <w:pPr>
              <w:pStyle w:val="ListBullet"/>
            </w:pPr>
            <w:r w:rsidRPr="00A05237">
              <w:t>fixed wing aircraf</w:t>
            </w:r>
            <w:r w:rsidRPr="00A05237">
              <w:t>t</w:t>
            </w:r>
          </w:p>
          <w:p w:rsidR="00000000" w:rsidP="00A05237">
            <w:pPr>
              <w:pStyle w:val="ListBullet"/>
              <w:rPr>
                <w:lang w:val="en-NZ"/>
              </w:rPr>
            </w:pPr>
            <w:r w:rsidRPr="00A05237">
              <w:t>boat/ship</w:t>
            </w:r>
          </w:p>
        </w:tc>
      </w:tr>
      <w:tr w:rsidTr="00A2779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05237">
            <w:pPr>
              <w:pStyle w:val="BodyText"/>
              <w:rPr>
                <w:lang w:val="en-NZ"/>
              </w:rPr>
            </w:pPr>
            <w:r w:rsidRPr="00A05237">
              <w:t>Patient tracking may include:</w:t>
            </w:r>
          </w:p>
        </w:tc>
        <w:tc>
          <w:tcPr>
            <w:tcW w:w="6154" w:type="dxa"/>
            <w:tcBorders>
              <w:top w:val="nil"/>
              <w:left w:val="nil"/>
              <w:bottom w:val="nil"/>
              <w:right w:val="nil"/>
            </w:tcBorders>
            <w:tcMar>
              <w:top w:w="0" w:type="dxa"/>
              <w:left w:w="62" w:type="dxa"/>
              <w:bottom w:w="0" w:type="dxa"/>
              <w:right w:w="62" w:type="dxa"/>
            </w:tcMar>
          </w:tcPr>
          <w:p w:rsidR="00000000" w:rsidRPr="00A05237" w:rsidP="00A05237">
            <w:pPr>
              <w:pStyle w:val="ListBullet"/>
            </w:pPr>
            <w:r w:rsidRPr="00A05237">
              <w:t>identification</w:t>
            </w:r>
          </w:p>
          <w:p w:rsidR="00000000" w:rsidRPr="00A05237" w:rsidP="00A05237">
            <w:pPr>
              <w:pStyle w:val="ListBullet"/>
            </w:pPr>
            <w:r w:rsidRPr="00A05237">
              <w:t>reporting on admission</w:t>
            </w:r>
          </w:p>
          <w:p w:rsidR="00000000" w:rsidRPr="00A05237" w:rsidP="00A05237">
            <w:pPr>
              <w:pStyle w:val="ListBullet"/>
            </w:pPr>
            <w:r w:rsidRPr="00A05237">
              <w:t>providing updates</w:t>
            </w:r>
          </w:p>
          <w:p w:rsidR="00000000" w:rsidRPr="00A05237" w:rsidP="00A05237">
            <w:pPr>
              <w:pStyle w:val="ListBullet"/>
            </w:pPr>
            <w:r w:rsidRPr="00A05237">
              <w:t>issuing notifications</w:t>
            </w:r>
          </w:p>
          <w:p w:rsidR="00000000" w:rsidRPr="00A05237" w:rsidP="00A05237">
            <w:pPr>
              <w:pStyle w:val="ListBullet"/>
            </w:pPr>
            <w:r w:rsidRPr="00A05237">
              <w:t>reporting on discharge</w:t>
            </w:r>
          </w:p>
          <w:p w:rsidR="00000000" w:rsidRPr="00A05237" w:rsidP="00A05237">
            <w:pPr>
              <w:pStyle w:val="ListBullet"/>
            </w:pPr>
            <w:r w:rsidRPr="00A05237">
              <w:t>maintaining a record of these occurrences</w:t>
            </w:r>
          </w:p>
          <w:p w:rsidR="00000000" w:rsidP="00A05237">
            <w:pPr>
              <w:pStyle w:val="ListBullet"/>
              <w:rPr>
                <w:lang w:val="en-NZ"/>
              </w:rPr>
            </w:pPr>
            <w:r w:rsidRPr="00A05237">
              <w:t>reporting epidemiological morbidity data</w:t>
            </w:r>
          </w:p>
        </w:tc>
      </w:tr>
      <w:tr w:rsidTr="00A2779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05237">
            <w:pPr>
              <w:pStyle w:val="BodyText"/>
              <w:rPr>
                <w:lang w:val="en-NZ"/>
              </w:rPr>
            </w:pPr>
            <w:r w:rsidRPr="00A05237">
              <w:t>Health record may include:</w:t>
            </w:r>
          </w:p>
        </w:tc>
        <w:tc>
          <w:tcPr>
            <w:tcW w:w="6154" w:type="dxa"/>
            <w:tcBorders>
              <w:top w:val="nil"/>
              <w:left w:val="nil"/>
              <w:bottom w:val="nil"/>
              <w:right w:val="nil"/>
            </w:tcBorders>
            <w:tcMar>
              <w:top w:w="0" w:type="dxa"/>
              <w:left w:w="62" w:type="dxa"/>
              <w:bottom w:w="0" w:type="dxa"/>
              <w:right w:w="62" w:type="dxa"/>
            </w:tcMar>
          </w:tcPr>
          <w:p w:rsidR="00000000" w:rsidRPr="00A05237" w:rsidP="00A05237">
            <w:pPr>
              <w:pStyle w:val="ListBullet"/>
            </w:pPr>
            <w:r w:rsidRPr="00A05237">
              <w:t>medical records</w:t>
            </w:r>
          </w:p>
          <w:p w:rsidR="00000000" w:rsidRPr="00A05237" w:rsidP="00A05237">
            <w:pPr>
              <w:pStyle w:val="ListBullet"/>
            </w:pPr>
            <w:r w:rsidRPr="00A05237">
              <w:t>patient administrative information</w:t>
            </w:r>
          </w:p>
          <w:p w:rsidR="00000000" w:rsidRPr="00A05237" w:rsidP="00A05237">
            <w:pPr>
              <w:pStyle w:val="ListBullet"/>
            </w:pPr>
            <w:r w:rsidRPr="00A05237">
              <w:t>health reports and returns</w:t>
            </w:r>
          </w:p>
          <w:p w:rsidR="00000000" w:rsidP="00A05237">
            <w:pPr>
              <w:pStyle w:val="ListBullet"/>
              <w:rPr>
                <w:lang w:val="en-NZ"/>
              </w:rPr>
            </w:pPr>
            <w:r w:rsidRPr="00A05237">
              <w:t>health treatment statistics</w:t>
            </w:r>
          </w:p>
        </w:tc>
      </w:tr>
      <w:tr w:rsidTr="00A2779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05237">
            <w:pPr>
              <w:pStyle w:val="BodyText"/>
              <w:rPr>
                <w:lang w:val="en-NZ"/>
              </w:rPr>
            </w:pPr>
            <w:r w:rsidRPr="00A05237">
              <w:t>Health logistics may include:</w:t>
            </w:r>
          </w:p>
        </w:tc>
        <w:tc>
          <w:tcPr>
            <w:tcW w:w="6154" w:type="dxa"/>
            <w:tcBorders>
              <w:top w:val="nil"/>
              <w:left w:val="nil"/>
              <w:bottom w:val="nil"/>
              <w:right w:val="nil"/>
            </w:tcBorders>
            <w:tcMar>
              <w:top w:w="0" w:type="dxa"/>
              <w:left w:w="62" w:type="dxa"/>
              <w:bottom w:w="0" w:type="dxa"/>
              <w:right w:w="62" w:type="dxa"/>
            </w:tcMar>
          </w:tcPr>
          <w:p w:rsidR="00000000" w:rsidRPr="00A05237" w:rsidP="00A05237">
            <w:pPr>
              <w:pStyle w:val="ListBullet"/>
            </w:pPr>
            <w:r w:rsidRPr="00A05237">
              <w:t>pharmaceuticals</w:t>
            </w:r>
          </w:p>
          <w:p w:rsidR="00000000" w:rsidRPr="00A05237" w:rsidP="00A05237">
            <w:pPr>
              <w:pStyle w:val="ListBullet"/>
            </w:pPr>
            <w:r w:rsidRPr="00A05237">
              <w:t>mortuary affairs</w:t>
            </w:r>
          </w:p>
          <w:p w:rsidR="00000000" w:rsidRPr="00A05237" w:rsidP="00A05237">
            <w:pPr>
              <w:pStyle w:val="ListBullet"/>
            </w:pPr>
            <w:r w:rsidRPr="00A05237">
              <w:t>blood</w:t>
            </w:r>
          </w:p>
          <w:p w:rsidR="00000000" w:rsidRPr="00A05237" w:rsidP="00A05237">
            <w:pPr>
              <w:pStyle w:val="ListBullet"/>
            </w:pPr>
            <w:r w:rsidRPr="00A05237">
              <w:t>health support services (maintenance, catering)</w:t>
            </w:r>
          </w:p>
          <w:p w:rsidR="00000000" w:rsidP="00A05237">
            <w:pPr>
              <w:pStyle w:val="ListBullet"/>
              <w:rPr>
                <w:lang w:val="en-NZ"/>
              </w:rPr>
            </w:pPr>
            <w:r w:rsidRPr="00A05237">
              <w:t>general logistic support (supply, transport, waste)</w:t>
            </w:r>
          </w:p>
        </w:tc>
      </w:tr>
      <w:tr w:rsidTr="00A2779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05237">
            <w:pPr>
              <w:pStyle w:val="BodyText"/>
              <w:rPr>
                <w:lang w:val="en-NZ"/>
              </w:rPr>
            </w:pPr>
            <w:r w:rsidRPr="00A05237">
              <w:t>Health related reports and returns may include:</w:t>
            </w:r>
          </w:p>
        </w:tc>
        <w:tc>
          <w:tcPr>
            <w:tcW w:w="6154" w:type="dxa"/>
            <w:tcBorders>
              <w:top w:val="nil"/>
              <w:left w:val="nil"/>
              <w:bottom w:val="nil"/>
              <w:right w:val="nil"/>
            </w:tcBorders>
            <w:tcMar>
              <w:top w:w="0" w:type="dxa"/>
              <w:left w:w="62" w:type="dxa"/>
              <w:bottom w:w="0" w:type="dxa"/>
              <w:right w:w="62" w:type="dxa"/>
            </w:tcMar>
          </w:tcPr>
          <w:p w:rsidR="00000000" w:rsidRPr="00A05237" w:rsidP="00A05237">
            <w:pPr>
              <w:pStyle w:val="ListBullet"/>
            </w:pPr>
            <w:r w:rsidRPr="00A05237">
              <w:t>incident report</w:t>
            </w:r>
          </w:p>
          <w:p w:rsidR="00000000" w:rsidRPr="00A05237" w:rsidP="00A05237">
            <w:pPr>
              <w:pStyle w:val="ListBullet"/>
            </w:pPr>
            <w:r w:rsidRPr="00A05237">
              <w:t>casualty notification</w:t>
            </w:r>
          </w:p>
          <w:p w:rsidR="00000000" w:rsidRPr="00A05237" w:rsidP="00A05237">
            <w:pPr>
              <w:pStyle w:val="ListBullet"/>
            </w:pPr>
            <w:r w:rsidRPr="00A05237">
              <w:t>patient holding</w:t>
            </w:r>
          </w:p>
          <w:p w:rsidR="00000000" w:rsidRPr="00A05237" w:rsidP="00A05237">
            <w:pPr>
              <w:pStyle w:val="ListBullet"/>
            </w:pPr>
            <w:r w:rsidRPr="00A05237">
              <w:t>situation report</w:t>
            </w:r>
          </w:p>
          <w:p w:rsidR="00000000" w:rsidRPr="00A05237" w:rsidP="00A05237">
            <w:pPr>
              <w:pStyle w:val="ListBullet"/>
            </w:pPr>
            <w:r w:rsidRPr="00A05237">
              <w:t>stock holdings</w:t>
            </w:r>
          </w:p>
          <w:p w:rsidR="00000000" w:rsidRPr="00A05237" w:rsidP="00A05237">
            <w:pPr>
              <w:pStyle w:val="ListBullet"/>
            </w:pPr>
            <w:r w:rsidRPr="00A05237">
              <w:t>epidemiological morbidity data</w:t>
            </w:r>
          </w:p>
        </w:tc>
      </w:tr>
    </w:tbl>
    <w:p w:rsidR="00A27792" w:rsidP="00A05237">
      <w:pPr>
        <w:pStyle w:val="BodyText"/>
      </w:pPr>
    </w:p>
    <w:p w:rsidR="00A27792" w:rsidP="00A05237">
      <w:pPr>
        <w:pStyle w:val="BodyText"/>
      </w:pPr>
    </w:p>
    <w:p w:rsidR="00000000" w:rsidRPr="00A05237" w:rsidP="00A05237">
      <w:pPr>
        <w:pStyle w:val="Heading1"/>
      </w:pPr>
      <w:bookmarkStart w:id="12" w:name="O_296111"/>
      <w:bookmarkEnd w:id="12"/>
      <w:r w:rsidRPr="00A05237">
        <w:t>Unit Sector(s)</w:t>
      </w:r>
    </w:p>
    <w:p w:rsidR="00000000" w:rsidRPr="00A05237" w:rsidP="00A05237">
      <w:pPr>
        <w:pStyle w:val="BodyText"/>
      </w:pPr>
      <w:r w:rsidRPr="00A05237">
        <w:t>Not Applicable</w:t>
      </w:r>
    </w:p>
    <w:p w:rsidR="00000000" w:rsidRPr="00A05237" w:rsidP="00A05237">
      <w:pPr>
        <w:pStyle w:val="AllowPageBreak"/>
      </w:pPr>
    </w:p>
    <w:p w:rsidR="00000000" w:rsidRPr="00A05237" w:rsidP="00A05237">
      <w:pPr>
        <w:pStyle w:val="Heading1"/>
      </w:pPr>
      <w:bookmarkStart w:id="13" w:name="O_224733"/>
      <w:bookmarkEnd w:id="13"/>
      <w:r w:rsidRPr="00A05237">
        <w:t>Competency Field</w:t>
      </w:r>
    </w:p>
    <w:tbl>
      <w:tblPr>
        <w:tblW w:w="9640" w:type="dxa"/>
        <w:tblLayout w:type="fixed"/>
        <w:tblCellMar>
          <w:left w:w="62" w:type="dxa"/>
          <w:right w:w="62" w:type="dxa"/>
        </w:tblCellMar>
        <w:tblLook w:val="0000"/>
      </w:tblPr>
      <w:tblGrid>
        <w:gridCol w:w="2978"/>
        <w:gridCol w:w="6662"/>
      </w:tblGrid>
      <w:tr w:rsidTr="00A27792">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A05237">
            <w:pPr>
              <w:pStyle w:val="BodyText"/>
              <w:rPr>
                <w:lang w:val="en-NZ"/>
              </w:rPr>
            </w:pPr>
            <w:r w:rsidRPr="00A05237">
              <w:rPr>
                <w:rStyle w:val="SpecialBold"/>
              </w:rPr>
              <w:t>Competency Field</w:t>
            </w:r>
            <w:r w:rsidRPr="00A05237">
              <w:t xml:space="preserve"> </w:t>
            </w:r>
          </w:p>
        </w:tc>
        <w:tc>
          <w:tcPr>
            <w:tcW w:w="6662" w:type="dxa"/>
            <w:tcBorders>
              <w:top w:val="nil"/>
              <w:left w:val="nil"/>
              <w:bottom w:val="nil"/>
              <w:right w:val="nil"/>
            </w:tcBorders>
            <w:tcMar>
              <w:top w:w="0" w:type="dxa"/>
              <w:left w:w="62" w:type="dxa"/>
              <w:bottom w:w="0" w:type="dxa"/>
              <w:right w:w="62" w:type="dxa"/>
            </w:tcMar>
          </w:tcPr>
          <w:p w:rsidR="00000000" w:rsidRPr="00A05237" w:rsidP="00A05237">
            <w:pPr>
              <w:pStyle w:val="BodyText"/>
            </w:pPr>
            <w:r w:rsidRPr="00A05237">
              <w:t>X - Logistics</w:t>
            </w:r>
          </w:p>
        </w:tc>
      </w:tr>
    </w:tbl>
    <w:p w:rsidR="00A27792" w:rsidP="00A05237">
      <w:pPr>
        <w:pStyle w:val="BodyText"/>
      </w:pPr>
    </w:p>
    <w:p w:rsidR="00A27792" w:rsidP="00A05237">
      <w:pPr>
        <w:pStyle w:val="BodyText"/>
      </w:pPr>
    </w:p>
    <w:p w:rsidR="00000000" w:rsidRPr="00A05237" w:rsidP="00A05237"/>
    <w:sectPr w:rsidSect="00A0523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2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27792" w:rsidP="00A277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2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792" w:rsidP="00A052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27792" w:rsidP="00A0523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A27792" w:rsidP="00A0523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2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237" w:rsidRPr="00A27792" w:rsidP="00A2779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2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792" w:rsidP="00A05237">
    <w:pPr>
      <w:pStyle w:val="Header"/>
      <w:framePr w:wrap="around"/>
    </w:pPr>
    <w:r>
      <w:fldChar w:fldCharType="begin"/>
    </w:r>
    <w:r>
      <w:instrText xml:space="preserve"> TITLE   \* MERGEFORMAT </w:instrText>
    </w:r>
    <w:r>
      <w:fldChar w:fldCharType="separate"/>
    </w:r>
    <w:r>
      <w:t>TLIX5044A Organise health support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27792" w:rsidP="00A052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EC683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5FE31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F66E0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523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05237"/>
    <w:pPr>
      <w:spacing w:before="360" w:after="60"/>
      <w:outlineLvl w:val="0"/>
    </w:pPr>
    <w:rPr>
      <w:sz w:val="32"/>
    </w:rPr>
  </w:style>
  <w:style w:type="paragraph" w:styleId="Heading2">
    <w:name w:val="heading 2"/>
    <w:basedOn w:val="HeadingBase"/>
    <w:next w:val="BodyText"/>
    <w:link w:val="Heading2Char"/>
    <w:qFormat/>
    <w:rsid w:val="00A05237"/>
    <w:pPr>
      <w:keepLines/>
      <w:spacing w:before="240" w:after="120"/>
      <w:outlineLvl w:val="1"/>
    </w:pPr>
    <w:rPr>
      <w:sz w:val="28"/>
      <w:szCs w:val="40"/>
    </w:rPr>
  </w:style>
  <w:style w:type="paragraph" w:styleId="Heading3">
    <w:name w:val="heading 3"/>
    <w:basedOn w:val="HeadingBase"/>
    <w:next w:val="BodyText"/>
    <w:link w:val="Heading3Char"/>
    <w:qFormat/>
    <w:rsid w:val="00A05237"/>
    <w:pPr>
      <w:spacing w:before="180" w:after="120"/>
      <w:outlineLvl w:val="2"/>
    </w:pPr>
    <w:rPr>
      <w:spacing w:val="-10"/>
      <w:kern w:val="32"/>
    </w:rPr>
  </w:style>
  <w:style w:type="paragraph" w:styleId="Heading4">
    <w:name w:val="heading 4"/>
    <w:basedOn w:val="HeadingBase"/>
    <w:next w:val="BodyText"/>
    <w:link w:val="Heading4Char"/>
    <w:qFormat/>
    <w:rsid w:val="00A05237"/>
    <w:pPr>
      <w:spacing w:before="160" w:after="120"/>
      <w:outlineLvl w:val="3"/>
    </w:pPr>
    <w:rPr>
      <w:sz w:val="22"/>
    </w:rPr>
  </w:style>
  <w:style w:type="paragraph" w:styleId="Heading5">
    <w:name w:val="heading 5"/>
    <w:basedOn w:val="HeadingBase"/>
    <w:next w:val="Normal"/>
    <w:link w:val="Heading5Char"/>
    <w:qFormat/>
    <w:rsid w:val="00A05237"/>
    <w:pPr>
      <w:spacing w:before="80"/>
      <w:outlineLvl w:val="4"/>
    </w:pPr>
    <w:rPr>
      <w:color w:val="918585"/>
      <w:sz w:val="20"/>
    </w:rPr>
  </w:style>
  <w:style w:type="paragraph" w:styleId="Heading6">
    <w:name w:val="heading 6"/>
    <w:basedOn w:val="HeadingBase"/>
    <w:next w:val="Normal"/>
    <w:link w:val="Heading6Char"/>
    <w:qFormat/>
    <w:rsid w:val="00A05237"/>
    <w:pPr>
      <w:spacing w:before="60"/>
      <w:outlineLvl w:val="5"/>
    </w:pPr>
    <w:rPr>
      <w:color w:val="918585"/>
      <w:sz w:val="20"/>
    </w:rPr>
  </w:style>
  <w:style w:type="paragraph" w:styleId="Heading7">
    <w:name w:val="heading 7"/>
    <w:basedOn w:val="Normal"/>
    <w:next w:val="Normal"/>
    <w:link w:val="Heading7Char"/>
    <w:qFormat/>
    <w:rsid w:val="00A05237"/>
    <w:pPr>
      <w:ind w:left="720"/>
      <w:outlineLvl w:val="6"/>
    </w:pPr>
    <w:rPr>
      <w:i/>
    </w:rPr>
  </w:style>
  <w:style w:type="paragraph" w:styleId="Heading8">
    <w:name w:val="heading 8"/>
    <w:basedOn w:val="Normal"/>
    <w:next w:val="Normal"/>
    <w:link w:val="Heading8Char"/>
    <w:qFormat/>
    <w:rsid w:val="00A05237"/>
    <w:pPr>
      <w:ind w:left="720"/>
      <w:outlineLvl w:val="7"/>
    </w:pPr>
    <w:rPr>
      <w:i/>
    </w:rPr>
  </w:style>
  <w:style w:type="paragraph" w:styleId="Heading9">
    <w:name w:val="heading 9"/>
    <w:basedOn w:val="Normal"/>
    <w:next w:val="Normal"/>
    <w:link w:val="Heading9Char"/>
    <w:qFormat/>
    <w:rsid w:val="00A05237"/>
    <w:pPr>
      <w:ind w:left="720"/>
      <w:outlineLvl w:val="8"/>
    </w:pPr>
    <w:rPr>
      <w:i/>
    </w:rPr>
  </w:style>
  <w:style w:type="character" w:default="1" w:styleId="DefaultParagraphFont">
    <w:name w:val="Default Paragraph Font"/>
    <w:uiPriority w:val="1"/>
    <w:unhideWhenUsed/>
    <w:rsid w:val="00A052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5237"/>
  </w:style>
  <w:style w:type="character" w:customStyle="1" w:styleId="Heading1Char">
    <w:name w:val="Heading 1 Char"/>
    <w:link w:val="Heading1"/>
    <w:rsid w:val="00A05237"/>
    <w:rPr>
      <w:rFonts w:ascii="Times New Roman" w:eastAsia="Times New Roman" w:hAnsi="Times New Roman" w:cs="Times New Roman"/>
      <w:b/>
      <w:sz w:val="32"/>
      <w:szCs w:val="20"/>
      <w:lang w:eastAsia="en-US"/>
    </w:rPr>
  </w:style>
  <w:style w:type="paragraph" w:styleId="BodyText">
    <w:name w:val="Body Text"/>
    <w:basedOn w:val="Normal"/>
    <w:link w:val="BodyTextChar"/>
    <w:rsid w:val="00A05237"/>
    <w:pPr>
      <w:spacing w:before="120" w:after="120"/>
      <w:contextualSpacing/>
    </w:pPr>
    <w:rPr>
      <w:rFonts w:ascii="Times New Roman" w:hAnsi="Times New Roman"/>
      <w:sz w:val="24"/>
      <w:szCs w:val="22"/>
    </w:rPr>
  </w:style>
  <w:style w:type="character" w:customStyle="1" w:styleId="BodyTextChar">
    <w:name w:val="Body Text Char"/>
    <w:link w:val="BodyText"/>
    <w:rsid w:val="00A05237"/>
    <w:rPr>
      <w:rFonts w:ascii="Times New Roman" w:eastAsia="Times New Roman" w:hAnsi="Times New Roman" w:cs="Times New Roman"/>
      <w:sz w:val="24"/>
      <w:lang w:val="en-US" w:eastAsia="en-US"/>
    </w:rPr>
  </w:style>
  <w:style w:type="paragraph" w:styleId="Footer">
    <w:name w:val="footer"/>
    <w:basedOn w:val="Normal"/>
    <w:link w:val="FooterChar"/>
    <w:rsid w:val="00A052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05237"/>
    <w:rPr>
      <w:rFonts w:ascii="Times New Roman" w:eastAsia="Times New Roman" w:hAnsi="Times New Roman" w:cs="Times New Roman"/>
      <w:sz w:val="16"/>
      <w:lang w:val="en-US" w:eastAsia="en-US"/>
    </w:rPr>
  </w:style>
  <w:style w:type="paragraph" w:styleId="List">
    <w:name w:val="List"/>
    <w:basedOn w:val="BodyText"/>
    <w:next w:val="BodyText"/>
    <w:rsid w:val="00A05237"/>
    <w:pPr>
      <w:tabs>
        <w:tab w:val="left" w:pos="340"/>
      </w:tabs>
      <w:spacing w:before="60" w:after="60"/>
      <w:ind w:left="340" w:hanging="340"/>
    </w:pPr>
  </w:style>
  <w:style w:type="paragraph" w:styleId="ListBullet">
    <w:name w:val="List Bullet"/>
    <w:basedOn w:val="List"/>
    <w:rsid w:val="00A05237"/>
    <w:pPr>
      <w:numPr>
        <w:numId w:val="13"/>
      </w:numPr>
      <w:tabs>
        <w:tab w:val="clear" w:pos="340"/>
      </w:tabs>
      <w:spacing w:before="40" w:after="40"/>
    </w:pPr>
  </w:style>
  <w:style w:type="character" w:customStyle="1" w:styleId="SpecialBold">
    <w:name w:val="Special Bold"/>
    <w:rsid w:val="00A05237"/>
    <w:rPr>
      <w:b/>
      <w:spacing w:val="0"/>
    </w:rPr>
  </w:style>
  <w:style w:type="paragraph" w:styleId="ListBullet2">
    <w:name w:val="List Bullet 2"/>
    <w:basedOn w:val="List2"/>
    <w:rsid w:val="00A05237"/>
    <w:pPr>
      <w:numPr>
        <w:numId w:val="14"/>
      </w:numPr>
      <w:tabs>
        <w:tab w:val="clear" w:pos="680"/>
      </w:tabs>
    </w:pPr>
  </w:style>
  <w:style w:type="paragraph" w:customStyle="1" w:styleId="SuperHeading">
    <w:name w:val="SuperHeading"/>
    <w:basedOn w:val="Normal"/>
    <w:rsid w:val="00A05237"/>
    <w:pPr>
      <w:spacing w:before="240" w:after="120"/>
      <w:outlineLvl w:val="0"/>
    </w:pPr>
    <w:rPr>
      <w:rFonts w:ascii="Times New Roman" w:hAnsi="Times New Roman"/>
      <w:b/>
      <w:sz w:val="28"/>
    </w:rPr>
  </w:style>
  <w:style w:type="paragraph" w:customStyle="1" w:styleId="AllowPageBreak">
    <w:name w:val="AllowPageBreak"/>
    <w:rsid w:val="00A0523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A05237"/>
    <w:rPr>
      <w:rFonts w:ascii="Times New Roman" w:eastAsia="Times New Roman" w:hAnsi="Times New Roman" w:cs="Times New Roman"/>
      <w:b/>
      <w:sz w:val="28"/>
      <w:szCs w:val="40"/>
      <w:lang w:eastAsia="en-US"/>
    </w:rPr>
  </w:style>
  <w:style w:type="character" w:customStyle="1" w:styleId="Heading3Char">
    <w:name w:val="Heading 3 Char"/>
    <w:link w:val="Heading3"/>
    <w:rsid w:val="00A0523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05237"/>
    <w:rPr>
      <w:rFonts w:ascii="Times New Roman" w:eastAsia="Times New Roman" w:hAnsi="Times New Roman" w:cs="Times New Roman"/>
      <w:b/>
      <w:szCs w:val="20"/>
      <w:lang w:eastAsia="en-US"/>
    </w:rPr>
  </w:style>
  <w:style w:type="character" w:customStyle="1" w:styleId="Heading5Char">
    <w:name w:val="Heading 5 Char"/>
    <w:link w:val="Heading5"/>
    <w:rsid w:val="00A0523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052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523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0523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05237"/>
    <w:rPr>
      <w:rFonts w:ascii="Courier New" w:eastAsia="Times New Roman" w:hAnsi="Courier New" w:cs="Times New Roman"/>
      <w:i/>
      <w:szCs w:val="20"/>
      <w:lang w:val="en-US" w:eastAsia="en-US"/>
    </w:rPr>
  </w:style>
  <w:style w:type="paragraph" w:customStyle="1" w:styleId="HeadingBase">
    <w:name w:val="Heading Base"/>
    <w:rsid w:val="00A052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5237"/>
    <w:pPr>
      <w:tabs>
        <w:tab w:val="right" w:leader="dot" w:pos="9072"/>
      </w:tabs>
      <w:ind w:left="567"/>
    </w:pPr>
    <w:rPr>
      <w:szCs w:val="22"/>
    </w:rPr>
  </w:style>
  <w:style w:type="paragraph" w:customStyle="1" w:styleId="TOCBase">
    <w:name w:val="TOC Base"/>
    <w:rsid w:val="00A052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5237"/>
    <w:pPr>
      <w:tabs>
        <w:tab w:val="right" w:leader="dot" w:pos="9072"/>
      </w:tabs>
      <w:spacing w:before="40" w:after="40"/>
      <w:ind w:left="284"/>
    </w:pPr>
    <w:rPr>
      <w:rFonts w:ascii="Times New Roman" w:hAnsi="Times New Roman"/>
    </w:rPr>
  </w:style>
  <w:style w:type="paragraph" w:styleId="TOC1">
    <w:name w:val="toc 1"/>
    <w:basedOn w:val="TOCBase"/>
    <w:next w:val="Normal"/>
    <w:rsid w:val="00A0523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05237"/>
    <w:pPr>
      <w:spacing w:before="5040"/>
      <w:jc w:val="center"/>
    </w:pPr>
    <w:rPr>
      <w:sz w:val="48"/>
      <w:szCs w:val="72"/>
      <w:lang w:val="en-US"/>
    </w:rPr>
  </w:style>
  <w:style w:type="character" w:customStyle="1" w:styleId="TitleChar">
    <w:name w:val="Title Char"/>
    <w:link w:val="Title"/>
    <w:rsid w:val="00A052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5237"/>
    <w:pPr>
      <w:tabs>
        <w:tab w:val="left" w:pos="3600"/>
        <w:tab w:val="left" w:pos="3958"/>
      </w:tabs>
    </w:pPr>
  </w:style>
  <w:style w:type="paragraph" w:customStyle="1" w:styleId="Note">
    <w:name w:val="Note"/>
    <w:basedOn w:val="BodyText"/>
    <w:rsid w:val="00A052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5237"/>
    <w:pPr>
      <w:framePr w:wrap="auto" w:hAnchor="text" w:y="6049"/>
    </w:pPr>
    <w:rPr>
      <w:color w:val="000000"/>
      <w:sz w:val="40"/>
    </w:rPr>
  </w:style>
  <w:style w:type="paragraph" w:customStyle="1" w:styleId="TOCTitle">
    <w:name w:val="TOCTitle"/>
    <w:basedOn w:val="Heading1"/>
    <w:rsid w:val="00A05237"/>
    <w:pPr>
      <w:spacing w:after="240"/>
      <w:jc w:val="center"/>
      <w:outlineLvl w:val="9"/>
    </w:pPr>
    <w:rPr>
      <w:caps/>
    </w:rPr>
  </w:style>
  <w:style w:type="paragraph" w:customStyle="1" w:styleId="Version">
    <w:name w:val="Version"/>
    <w:rsid w:val="00A0523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05237"/>
    <w:pPr>
      <w:keepNext w:val="0"/>
      <w:tabs>
        <w:tab w:val="right" w:pos="4176"/>
      </w:tabs>
      <w:ind w:left="198" w:hanging="198"/>
    </w:pPr>
    <w:rPr>
      <w:rFonts w:ascii="Garamond" w:hAnsi="Garamond"/>
    </w:rPr>
  </w:style>
  <w:style w:type="paragraph" w:styleId="IndexHeading">
    <w:name w:val="index heading"/>
    <w:basedOn w:val="Normal"/>
    <w:next w:val="Index1"/>
    <w:semiHidden/>
    <w:rsid w:val="00A05237"/>
    <w:pPr>
      <w:spacing w:before="120" w:after="120"/>
    </w:pPr>
    <w:rPr>
      <w:rFonts w:ascii="Arial" w:hAnsi="Arial"/>
      <w:b/>
      <w:color w:val="918585"/>
      <w:sz w:val="24"/>
    </w:rPr>
  </w:style>
  <w:style w:type="paragraph" w:styleId="Header">
    <w:name w:val="header"/>
    <w:basedOn w:val="Normal"/>
    <w:link w:val="HeaderChar"/>
    <w:rsid w:val="00A052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05237"/>
    <w:rPr>
      <w:rFonts w:ascii="Times New Roman" w:eastAsia="Times New Roman" w:hAnsi="Times New Roman" w:cs="Times New Roman"/>
      <w:sz w:val="16"/>
      <w:szCs w:val="20"/>
      <w:lang w:val="en-GB" w:eastAsia="en-US"/>
    </w:rPr>
  </w:style>
  <w:style w:type="paragraph" w:customStyle="1" w:styleId="Chapter">
    <w:name w:val="Chapter"/>
    <w:basedOn w:val="Normal"/>
    <w:rsid w:val="00A05237"/>
    <w:pPr>
      <w:spacing w:before="240"/>
    </w:pPr>
    <w:rPr>
      <w:rFonts w:ascii="Times New Roman" w:hAnsi="Times New Roman"/>
      <w:smallCaps/>
      <w:spacing w:val="80"/>
      <w:sz w:val="28"/>
    </w:rPr>
  </w:style>
  <w:style w:type="paragraph" w:customStyle="1" w:styleId="InChapter">
    <w:name w:val="InChapter"/>
    <w:basedOn w:val="Heading3"/>
    <w:rsid w:val="00A05237"/>
    <w:pPr>
      <w:spacing w:after="240"/>
      <w:outlineLvl w:val="9"/>
    </w:pPr>
    <w:rPr>
      <w:noProof/>
    </w:rPr>
  </w:style>
  <w:style w:type="paragraph" w:styleId="Index2">
    <w:name w:val="index 2"/>
    <w:basedOn w:val="Normal"/>
    <w:next w:val="Normal"/>
    <w:semiHidden/>
    <w:rsid w:val="00A05237"/>
    <w:pPr>
      <w:tabs>
        <w:tab w:val="right" w:pos="4176"/>
      </w:tabs>
      <w:ind w:left="568" w:hanging="284"/>
    </w:pPr>
    <w:rPr>
      <w:rFonts w:ascii="Garamond" w:hAnsi="Garamond"/>
    </w:rPr>
  </w:style>
  <w:style w:type="paragraph" w:customStyle="1" w:styleId="Byline">
    <w:name w:val="Byline"/>
    <w:rsid w:val="00A052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5237"/>
    <w:pPr>
      <w:tabs>
        <w:tab w:val="clear" w:pos="3600"/>
        <w:tab w:val="clear" w:pos="3958"/>
      </w:tabs>
      <w:jc w:val="right"/>
    </w:pPr>
  </w:style>
  <w:style w:type="character" w:styleId="Emphasis">
    <w:name w:val="Emphasis"/>
    <w:qFormat/>
    <w:rsid w:val="00A05237"/>
    <w:rPr>
      <w:i/>
    </w:rPr>
  </w:style>
  <w:style w:type="paragraph" w:styleId="Caption">
    <w:name w:val="caption"/>
    <w:basedOn w:val="BodyText"/>
    <w:next w:val="Normal"/>
    <w:qFormat/>
    <w:rsid w:val="00A05237"/>
    <w:pPr>
      <w:framePr w:w="2268" w:hSpace="181" w:vSpace="181" w:wrap="around" w:vAnchor="text" w:hAnchor="page" w:x="1135" w:y="285" w:anchorLock="1"/>
    </w:pPr>
    <w:rPr>
      <w:i/>
    </w:rPr>
  </w:style>
  <w:style w:type="paragraph" w:customStyle="1" w:styleId="MiniTOCTitle">
    <w:name w:val="MiniTOCTitle"/>
    <w:basedOn w:val="Heading4"/>
    <w:rsid w:val="00A05237"/>
    <w:pPr>
      <w:spacing w:before="240"/>
      <w:outlineLvl w:val="9"/>
    </w:pPr>
    <w:rPr>
      <w:noProof/>
      <w:sz w:val="24"/>
    </w:rPr>
  </w:style>
  <w:style w:type="paragraph" w:customStyle="1" w:styleId="MiniTOCItem">
    <w:name w:val="MiniTOCItem"/>
    <w:basedOn w:val="ListBullet"/>
    <w:rsid w:val="00A05237"/>
    <w:pPr>
      <w:numPr>
        <w:numId w:val="0"/>
      </w:numPr>
      <w:tabs>
        <w:tab w:val="right" w:leader="dot" w:pos="6521"/>
      </w:tabs>
      <w:spacing w:before="0" w:after="0"/>
    </w:pPr>
  </w:style>
  <w:style w:type="paragraph" w:customStyle="1" w:styleId="TOFTitle">
    <w:name w:val="TOFTitle"/>
    <w:basedOn w:val="TOCTitle"/>
    <w:rsid w:val="00A05237"/>
  </w:style>
  <w:style w:type="paragraph" w:styleId="TableofFigures">
    <w:name w:val="table of figures"/>
    <w:basedOn w:val="Normal"/>
    <w:next w:val="Normal"/>
    <w:semiHidden/>
    <w:rsid w:val="00A05237"/>
    <w:pPr>
      <w:tabs>
        <w:tab w:val="right" w:leader="dot" w:pos="9072"/>
      </w:tabs>
      <w:ind w:left="970" w:hanging="403"/>
    </w:pPr>
    <w:rPr>
      <w:rFonts w:ascii="Times New Roman" w:hAnsi="Times New Roman"/>
      <w:b/>
    </w:rPr>
  </w:style>
  <w:style w:type="paragraph" w:styleId="ListNumber">
    <w:name w:val="List Number"/>
    <w:basedOn w:val="List"/>
    <w:rsid w:val="00A05237"/>
    <w:pPr>
      <w:numPr>
        <w:numId w:val="11"/>
      </w:numPr>
    </w:pPr>
  </w:style>
  <w:style w:type="character" w:customStyle="1" w:styleId="WingdingSymbols">
    <w:name w:val="Wingding Symbols"/>
    <w:rsid w:val="00A05237"/>
    <w:rPr>
      <w:rFonts w:ascii="Wingdings" w:hAnsi="Wingdings"/>
    </w:rPr>
  </w:style>
  <w:style w:type="paragraph" w:customStyle="1" w:styleId="TableHeading">
    <w:name w:val="Table Heading"/>
    <w:basedOn w:val="HeadingBase"/>
    <w:rsid w:val="00A05237"/>
    <w:pPr>
      <w:keepLines/>
      <w:pBdr>
        <w:bottom w:val="single" w:sz="6" w:space="1" w:color="918585"/>
      </w:pBdr>
      <w:spacing w:before="240"/>
    </w:pPr>
  </w:style>
  <w:style w:type="character" w:customStyle="1" w:styleId="HotSpot">
    <w:name w:val="HotSpot"/>
    <w:rsid w:val="00A05237"/>
    <w:rPr>
      <w:color w:val="0033CC"/>
      <w:u w:val="none"/>
    </w:rPr>
  </w:style>
  <w:style w:type="paragraph" w:customStyle="1" w:styleId="BodyTextRight">
    <w:name w:val="Body Text Right"/>
    <w:basedOn w:val="BodyText"/>
    <w:rsid w:val="00A05237"/>
    <w:pPr>
      <w:spacing w:before="0" w:after="0"/>
      <w:jc w:val="right"/>
    </w:pPr>
  </w:style>
  <w:style w:type="paragraph" w:styleId="Index3">
    <w:name w:val="index 3"/>
    <w:basedOn w:val="ListNumber2"/>
    <w:next w:val="Normal"/>
    <w:semiHidden/>
    <w:rsid w:val="00A05237"/>
    <w:pPr>
      <w:numPr>
        <w:numId w:val="0"/>
      </w:numPr>
      <w:tabs>
        <w:tab w:val="right" w:leader="dot" w:pos="4176"/>
      </w:tabs>
    </w:pPr>
  </w:style>
  <w:style w:type="paragraph" w:styleId="ListNumber2">
    <w:name w:val="List Number 2"/>
    <w:basedOn w:val="List2"/>
    <w:rsid w:val="00A05237"/>
    <w:pPr>
      <w:numPr>
        <w:numId w:val="10"/>
      </w:numPr>
      <w:tabs>
        <w:tab w:val="clear" w:pos="1060"/>
      </w:tabs>
    </w:pPr>
  </w:style>
  <w:style w:type="paragraph" w:customStyle="1" w:styleId="MarginNote">
    <w:name w:val="Margin Note"/>
    <w:basedOn w:val="BodyText"/>
    <w:rsid w:val="00A052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52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0523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05237"/>
    <w:rPr>
      <w:sz w:val="32"/>
    </w:rPr>
  </w:style>
  <w:style w:type="paragraph" w:customStyle="1" w:styleId="HeadingProcedure">
    <w:name w:val="Heading Procedure"/>
    <w:basedOn w:val="HeadingBase"/>
    <w:next w:val="Normal"/>
    <w:rsid w:val="00A05237"/>
    <w:pPr>
      <w:tabs>
        <w:tab w:val="left" w:pos="0"/>
      </w:tabs>
      <w:spacing w:before="120" w:after="60"/>
    </w:pPr>
    <w:rPr>
      <w:i/>
      <w:color w:val="918585"/>
      <w:sz w:val="22"/>
    </w:rPr>
  </w:style>
  <w:style w:type="paragraph" w:customStyle="1" w:styleId="TableBodyText">
    <w:name w:val="Table Body Text"/>
    <w:basedOn w:val="BodyText"/>
    <w:rsid w:val="00A05237"/>
    <w:pPr>
      <w:spacing w:before="60" w:after="60"/>
    </w:pPr>
  </w:style>
  <w:style w:type="paragraph" w:styleId="ListContinue">
    <w:name w:val="List Continue"/>
    <w:basedOn w:val="List"/>
    <w:rsid w:val="00A05237"/>
    <w:pPr>
      <w:ind w:firstLine="0"/>
    </w:pPr>
  </w:style>
  <w:style w:type="paragraph" w:customStyle="1" w:styleId="ListNote">
    <w:name w:val="List Note"/>
    <w:basedOn w:val="List"/>
    <w:rsid w:val="00A05237"/>
    <w:pPr>
      <w:pBdr>
        <w:top w:val="single" w:sz="6" w:space="2" w:color="918585"/>
        <w:bottom w:val="single" w:sz="6" w:space="2" w:color="918585"/>
      </w:pBdr>
      <w:tabs>
        <w:tab w:val="left" w:pos="1021"/>
      </w:tabs>
      <w:ind w:firstLine="0"/>
    </w:pPr>
  </w:style>
  <w:style w:type="paragraph" w:customStyle="1" w:styleId="Warning">
    <w:name w:val="Warning"/>
    <w:basedOn w:val="BodyText"/>
    <w:rsid w:val="00A05237"/>
    <w:pPr>
      <w:shd w:val="clear" w:color="auto" w:fill="D9D9D9"/>
      <w:tabs>
        <w:tab w:val="left" w:pos="992"/>
      </w:tabs>
      <w:ind w:left="119" w:right="119"/>
    </w:pPr>
    <w:rPr>
      <w:sz w:val="20"/>
    </w:rPr>
  </w:style>
  <w:style w:type="paragraph" w:customStyle="1" w:styleId="MarginIcons">
    <w:name w:val="Margin Icons"/>
    <w:basedOn w:val="BodyText"/>
    <w:rsid w:val="00A0523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05237"/>
    <w:rPr>
      <w:rFonts w:ascii="Courier New" w:hAnsi="Courier New"/>
    </w:rPr>
  </w:style>
  <w:style w:type="paragraph" w:customStyle="1" w:styleId="NoteBullet">
    <w:name w:val="Note Bullet"/>
    <w:basedOn w:val="Note"/>
    <w:rsid w:val="00A05237"/>
    <w:pPr>
      <w:tabs>
        <w:tab w:val="clear" w:pos="680"/>
      </w:tabs>
      <w:spacing w:before="60" w:after="60"/>
    </w:pPr>
  </w:style>
  <w:style w:type="paragraph" w:customStyle="1" w:styleId="SubHeading2">
    <w:name w:val="SubHeading2"/>
    <w:basedOn w:val="HeadingBase"/>
    <w:rsid w:val="00A05237"/>
    <w:pPr>
      <w:spacing w:before="240" w:after="60"/>
    </w:pPr>
    <w:rPr>
      <w:sz w:val="20"/>
    </w:rPr>
  </w:style>
  <w:style w:type="paragraph" w:customStyle="1" w:styleId="SubHeading1">
    <w:name w:val="SubHeading1"/>
    <w:basedOn w:val="HeadingBase"/>
    <w:rsid w:val="00A05237"/>
    <w:pPr>
      <w:spacing w:before="240" w:after="60"/>
    </w:pPr>
    <w:rPr>
      <w:color w:val="918585"/>
      <w:sz w:val="22"/>
    </w:rPr>
  </w:style>
  <w:style w:type="paragraph" w:customStyle="1" w:styleId="SideHeading">
    <w:name w:val="Side Heading"/>
    <w:basedOn w:val="HeadingBase"/>
    <w:rsid w:val="00A052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5237"/>
    <w:pPr>
      <w:numPr>
        <w:numId w:val="12"/>
      </w:numPr>
    </w:pPr>
  </w:style>
  <w:style w:type="paragraph" w:styleId="PlainText">
    <w:name w:val="Plain Text"/>
    <w:basedOn w:val="Normal"/>
    <w:link w:val="PlainTextChar"/>
    <w:rsid w:val="00A05237"/>
    <w:rPr>
      <w:sz w:val="20"/>
    </w:rPr>
  </w:style>
  <w:style w:type="character" w:customStyle="1" w:styleId="PlainTextChar">
    <w:name w:val="Plain Text Char"/>
    <w:basedOn w:val="DefaultParagraphFont"/>
    <w:link w:val="PlainText"/>
    <w:rsid w:val="00A05237"/>
    <w:rPr>
      <w:rFonts w:ascii="Courier New" w:eastAsia="Times New Roman" w:hAnsi="Courier New" w:cs="Times New Roman"/>
      <w:sz w:val="20"/>
      <w:szCs w:val="20"/>
      <w:lang w:val="en-US" w:eastAsia="en-US"/>
    </w:rPr>
  </w:style>
  <w:style w:type="character" w:customStyle="1" w:styleId="MenuOption">
    <w:name w:val="Menu Option"/>
    <w:rsid w:val="00A05237"/>
    <w:rPr>
      <w:b/>
      <w:smallCaps/>
    </w:rPr>
  </w:style>
  <w:style w:type="paragraph" w:customStyle="1" w:styleId="TableListNumber">
    <w:name w:val="Table List Number"/>
    <w:basedOn w:val="ListNumber"/>
    <w:rsid w:val="00A05237"/>
    <w:pPr>
      <w:numPr>
        <w:numId w:val="0"/>
      </w:numPr>
    </w:pPr>
  </w:style>
  <w:style w:type="paragraph" w:styleId="TOC4">
    <w:name w:val="toc 4"/>
    <w:basedOn w:val="TOCBase"/>
    <w:next w:val="Normal"/>
    <w:semiHidden/>
    <w:rsid w:val="00A05237"/>
    <w:pPr>
      <w:tabs>
        <w:tab w:val="right" w:leader="dot" w:pos="9071"/>
      </w:tabs>
      <w:ind w:left="1701"/>
    </w:pPr>
  </w:style>
  <w:style w:type="paragraph" w:customStyle="1" w:styleId="ListAlpha">
    <w:name w:val="List Alpha"/>
    <w:basedOn w:val="List"/>
    <w:rsid w:val="00A05237"/>
    <w:pPr>
      <w:numPr>
        <w:numId w:val="9"/>
      </w:numPr>
    </w:pPr>
  </w:style>
  <w:style w:type="paragraph" w:customStyle="1" w:styleId="ListAlpha2">
    <w:name w:val="List Alpha 2"/>
    <w:basedOn w:val="List2"/>
    <w:rsid w:val="00A05237"/>
    <w:pPr>
      <w:numPr>
        <w:numId w:val="8"/>
      </w:numPr>
    </w:pPr>
  </w:style>
  <w:style w:type="paragraph" w:styleId="List2">
    <w:name w:val="List 2"/>
    <w:basedOn w:val="BodyText"/>
    <w:rsid w:val="00A05237"/>
    <w:pPr>
      <w:tabs>
        <w:tab w:val="left" w:pos="680"/>
      </w:tabs>
      <w:spacing w:before="60" w:after="60"/>
      <w:ind w:left="680" w:hanging="340"/>
    </w:pPr>
  </w:style>
  <w:style w:type="paragraph" w:styleId="List3">
    <w:name w:val="List 3"/>
    <w:basedOn w:val="BodyText"/>
    <w:rsid w:val="00A05237"/>
    <w:pPr>
      <w:tabs>
        <w:tab w:val="left" w:pos="1021"/>
      </w:tabs>
      <w:spacing w:before="60" w:after="60"/>
      <w:ind w:left="1020" w:hanging="340"/>
    </w:pPr>
  </w:style>
  <w:style w:type="paragraph" w:styleId="List4">
    <w:name w:val="List 4"/>
    <w:basedOn w:val="BodyText"/>
    <w:rsid w:val="00A05237"/>
    <w:pPr>
      <w:tabs>
        <w:tab w:val="left" w:pos="1361"/>
      </w:tabs>
      <w:spacing w:before="60" w:after="60"/>
      <w:ind w:left="1361" w:hanging="340"/>
    </w:pPr>
  </w:style>
  <w:style w:type="paragraph" w:styleId="List5">
    <w:name w:val="List 5"/>
    <w:basedOn w:val="BodyText"/>
    <w:rsid w:val="00A05237"/>
    <w:pPr>
      <w:tabs>
        <w:tab w:val="left" w:pos="1701"/>
      </w:tabs>
      <w:spacing w:before="60" w:after="60"/>
      <w:ind w:left="1701" w:hanging="340"/>
    </w:pPr>
  </w:style>
  <w:style w:type="paragraph" w:styleId="ListBullet3">
    <w:name w:val="List Bullet 3"/>
    <w:basedOn w:val="List3"/>
    <w:rsid w:val="00A05237"/>
    <w:pPr>
      <w:numPr>
        <w:numId w:val="15"/>
      </w:numPr>
      <w:tabs>
        <w:tab w:val="clear" w:pos="1021"/>
      </w:tabs>
      <w:ind w:left="1037" w:hanging="357"/>
    </w:pPr>
  </w:style>
  <w:style w:type="paragraph" w:styleId="ListBullet4">
    <w:name w:val="List Bullet 4"/>
    <w:basedOn w:val="List4"/>
    <w:rsid w:val="00A05237"/>
    <w:pPr>
      <w:numPr>
        <w:numId w:val="3"/>
      </w:numPr>
    </w:pPr>
  </w:style>
  <w:style w:type="paragraph" w:styleId="ListBullet5">
    <w:name w:val="List Bullet 5"/>
    <w:basedOn w:val="List5"/>
    <w:rsid w:val="00A05237"/>
    <w:pPr>
      <w:numPr>
        <w:numId w:val="4"/>
      </w:numPr>
    </w:pPr>
  </w:style>
  <w:style w:type="paragraph" w:styleId="ListContinue2">
    <w:name w:val="List Continue 2"/>
    <w:basedOn w:val="List2"/>
    <w:rsid w:val="00A05237"/>
    <w:pPr>
      <w:ind w:firstLine="0"/>
    </w:pPr>
  </w:style>
  <w:style w:type="paragraph" w:styleId="ListContinue3">
    <w:name w:val="List Continue 3"/>
    <w:basedOn w:val="List3"/>
    <w:rsid w:val="00A05237"/>
    <w:pPr>
      <w:ind w:left="1021" w:firstLine="0"/>
    </w:pPr>
  </w:style>
  <w:style w:type="paragraph" w:styleId="ListContinue4">
    <w:name w:val="List Continue 4"/>
    <w:basedOn w:val="List4"/>
    <w:rsid w:val="00A05237"/>
    <w:pPr>
      <w:ind w:firstLine="0"/>
    </w:pPr>
  </w:style>
  <w:style w:type="paragraph" w:styleId="ListContinue5">
    <w:name w:val="List Continue 5"/>
    <w:basedOn w:val="List5"/>
    <w:rsid w:val="00A05237"/>
    <w:pPr>
      <w:ind w:firstLine="0"/>
    </w:pPr>
  </w:style>
  <w:style w:type="paragraph" w:styleId="ListNumber3">
    <w:name w:val="List Number 3"/>
    <w:basedOn w:val="List3"/>
    <w:rsid w:val="00A05237"/>
    <w:pPr>
      <w:numPr>
        <w:numId w:val="5"/>
      </w:numPr>
    </w:pPr>
  </w:style>
  <w:style w:type="paragraph" w:styleId="ListNumber4">
    <w:name w:val="List Number 4"/>
    <w:basedOn w:val="List4"/>
    <w:rsid w:val="00A05237"/>
    <w:pPr>
      <w:numPr>
        <w:numId w:val="6"/>
      </w:numPr>
    </w:pPr>
  </w:style>
  <w:style w:type="paragraph" w:styleId="ListNumber5">
    <w:name w:val="List Number 5"/>
    <w:basedOn w:val="List5"/>
    <w:rsid w:val="00A05237"/>
    <w:pPr>
      <w:numPr>
        <w:numId w:val="7"/>
      </w:numPr>
    </w:pPr>
  </w:style>
  <w:style w:type="paragraph" w:styleId="BlockText">
    <w:name w:val="Block Text"/>
    <w:basedOn w:val="Normal"/>
    <w:rsid w:val="00A05237"/>
    <w:pPr>
      <w:spacing w:after="120"/>
      <w:ind w:left="1440" w:right="1440"/>
    </w:pPr>
  </w:style>
  <w:style w:type="character" w:customStyle="1" w:styleId="Subscript">
    <w:name w:val="Subscript"/>
    <w:rsid w:val="00A05237"/>
    <w:rPr>
      <w:sz w:val="16"/>
      <w:vertAlign w:val="subscript"/>
    </w:rPr>
  </w:style>
  <w:style w:type="character" w:customStyle="1" w:styleId="Superscript">
    <w:name w:val="Superscript"/>
    <w:rsid w:val="00A05237"/>
    <w:rPr>
      <w:sz w:val="16"/>
      <w:vertAlign w:val="superscript"/>
    </w:rPr>
  </w:style>
  <w:style w:type="character" w:customStyle="1" w:styleId="Symbols">
    <w:name w:val="Symbols"/>
    <w:rsid w:val="00A05237"/>
    <w:rPr>
      <w:rFonts w:ascii="Symbol" w:hAnsi="Symbol"/>
    </w:rPr>
  </w:style>
  <w:style w:type="character" w:customStyle="1" w:styleId="MenuOptions">
    <w:name w:val="Menu Options"/>
    <w:rsid w:val="00A05237"/>
    <w:rPr>
      <w:rFonts w:ascii="Arial Narrow" w:hAnsi="Arial Narrow"/>
      <w:smallCaps/>
    </w:rPr>
  </w:style>
  <w:style w:type="character" w:customStyle="1" w:styleId="Buttons">
    <w:name w:val="Buttons"/>
    <w:rsid w:val="00A05237"/>
    <w:rPr>
      <w:b/>
    </w:rPr>
  </w:style>
  <w:style w:type="character" w:customStyle="1" w:styleId="Underlined">
    <w:name w:val="Underlined"/>
    <w:rsid w:val="00A05237"/>
    <w:rPr>
      <w:u w:val="single"/>
    </w:rPr>
  </w:style>
  <w:style w:type="paragraph" w:customStyle="1" w:styleId="TableBodyTextRight">
    <w:name w:val="Table Body Text Right"/>
    <w:basedOn w:val="TableBodyText"/>
    <w:rsid w:val="00A05237"/>
    <w:pPr>
      <w:widowControl w:val="0"/>
      <w:autoSpaceDE w:val="0"/>
      <w:autoSpaceDN w:val="0"/>
      <w:adjustRightInd w:val="0"/>
      <w:jc w:val="right"/>
    </w:pPr>
    <w:rPr>
      <w:rFonts w:cs="Arial"/>
      <w:szCs w:val="18"/>
    </w:rPr>
  </w:style>
  <w:style w:type="paragraph" w:customStyle="1" w:styleId="CopyrightText">
    <w:name w:val="Copyright Text"/>
    <w:basedOn w:val="BodyText"/>
    <w:rsid w:val="00A05237"/>
    <w:rPr>
      <w:sz w:val="18"/>
    </w:rPr>
  </w:style>
  <w:style w:type="paragraph" w:customStyle="1" w:styleId="BodySmallRight">
    <w:name w:val="Body Small Right"/>
    <w:basedOn w:val="BodyTextRight"/>
    <w:rsid w:val="00A05237"/>
    <w:rPr>
      <w:sz w:val="18"/>
      <w:szCs w:val="18"/>
    </w:rPr>
  </w:style>
  <w:style w:type="paragraph" w:customStyle="1" w:styleId="MarginEdition">
    <w:name w:val="Margin Edition"/>
    <w:basedOn w:val="MarginNote"/>
    <w:rsid w:val="00A05237"/>
    <w:pPr>
      <w:spacing w:before="0" w:after="0"/>
    </w:pPr>
    <w:rPr>
      <w:rFonts w:ascii="Times New Roman" w:hAnsi="Times New Roman"/>
      <w:color w:val="999999"/>
    </w:rPr>
  </w:style>
  <w:style w:type="paragraph" w:customStyle="1" w:styleId="Spacer">
    <w:name w:val="Spacer"/>
    <w:basedOn w:val="Normal"/>
    <w:rsid w:val="00A05237"/>
    <w:rPr>
      <w:sz w:val="2"/>
      <w:szCs w:val="2"/>
    </w:rPr>
  </w:style>
  <w:style w:type="character" w:customStyle="1" w:styleId="Small">
    <w:name w:val="Small"/>
    <w:rsid w:val="00A05237"/>
    <w:rPr>
      <w:sz w:val="16"/>
    </w:rPr>
  </w:style>
  <w:style w:type="paragraph" w:customStyle="1" w:styleId="WideTable">
    <w:name w:val="Wide Table"/>
    <w:basedOn w:val="Normal"/>
    <w:rsid w:val="00A05237"/>
    <w:pPr>
      <w:ind w:left="-1418"/>
    </w:pPr>
    <w:rPr>
      <w:sz w:val="2"/>
      <w:szCs w:val="2"/>
    </w:rPr>
  </w:style>
  <w:style w:type="character" w:styleId="PageNumber">
    <w:name w:val="page number"/>
    <w:rsid w:val="00A05237"/>
  </w:style>
  <w:style w:type="paragraph" w:styleId="Quote">
    <w:name w:val="Quote"/>
    <w:basedOn w:val="Heading1"/>
    <w:link w:val="QuoteChar"/>
    <w:qFormat/>
    <w:rsid w:val="00A05237"/>
    <w:rPr>
      <w:b w:val="0"/>
      <w:sz w:val="72"/>
      <w:szCs w:val="72"/>
      <w:lang w:val="en-NZ"/>
    </w:rPr>
  </w:style>
  <w:style w:type="character" w:customStyle="1" w:styleId="QuoteChar">
    <w:name w:val="Quote Char"/>
    <w:link w:val="Quote"/>
    <w:rsid w:val="00A052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5237"/>
    <w:pPr>
      <w:pageBreakBefore/>
    </w:pPr>
  </w:style>
  <w:style w:type="paragraph" w:customStyle="1" w:styleId="Border">
    <w:name w:val="Border"/>
    <w:basedOn w:val="Normal"/>
    <w:qFormat/>
    <w:rsid w:val="00A05237"/>
    <w:pPr>
      <w:pBdr>
        <w:top w:val="single" w:sz="18" w:space="1" w:color="auto"/>
      </w:pBdr>
    </w:pPr>
    <w:rPr>
      <w:rFonts w:ascii="Times New Roman" w:hAnsi="Times New Roman"/>
      <w:color w:val="FFFFFF"/>
      <w:sz w:val="2"/>
    </w:rPr>
  </w:style>
  <w:style w:type="character" w:styleId="IntenseEmphasis">
    <w:name w:val="Intense Emphasis"/>
    <w:uiPriority w:val="21"/>
    <w:qFormat/>
    <w:rsid w:val="00A05237"/>
    <w:rPr>
      <w:b/>
      <w:bCs/>
      <w:i/>
      <w:iCs/>
      <w:color w:val="auto"/>
    </w:rPr>
  </w:style>
  <w:style w:type="paragraph" w:styleId="IntenseQuote">
    <w:name w:val="Intense Quote"/>
    <w:basedOn w:val="Normal"/>
    <w:next w:val="Normal"/>
    <w:link w:val="IntenseQuoteChar"/>
    <w:uiPriority w:val="30"/>
    <w:qFormat/>
    <w:rsid w:val="00A0523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05237"/>
    <w:rPr>
      <w:rFonts w:ascii="Courier New" w:eastAsia="Times New Roman" w:hAnsi="Courier New" w:cs="Times New Roman"/>
      <w:b/>
      <w:bCs/>
      <w:i/>
      <w:iCs/>
      <w:szCs w:val="20"/>
      <w:lang w:val="en-US" w:eastAsia="en-US"/>
    </w:rPr>
  </w:style>
  <w:style w:type="character" w:styleId="SubtleReference">
    <w:name w:val="Subtle Reference"/>
    <w:uiPriority w:val="31"/>
    <w:qFormat/>
    <w:rsid w:val="00A05237"/>
    <w:rPr>
      <w:smallCaps/>
      <w:color w:val="auto"/>
      <w:u w:val="single"/>
    </w:rPr>
  </w:style>
  <w:style w:type="character" w:styleId="IntenseReference">
    <w:name w:val="Intense Reference"/>
    <w:uiPriority w:val="32"/>
    <w:qFormat/>
    <w:rsid w:val="00A05237"/>
    <w:rPr>
      <w:b/>
      <w:bCs/>
      <w:smallCaps/>
      <w:color w:val="auto"/>
      <w:spacing w:val="5"/>
      <w:u w:val="single"/>
    </w:rPr>
  </w:style>
  <w:style w:type="paragraph" w:customStyle="1" w:styleId="2ColumnHeading">
    <w:name w:val="2Column Heading"/>
    <w:basedOn w:val="BodyText"/>
    <w:qFormat/>
    <w:rsid w:val="00A05237"/>
    <w:pPr>
      <w:spacing w:after="60"/>
      <w:ind w:left="-2268"/>
    </w:pPr>
    <w:rPr>
      <w:b/>
    </w:rPr>
  </w:style>
  <w:style w:type="paragraph" w:customStyle="1" w:styleId="Heading1TOC">
    <w:name w:val="Heading1 TOC"/>
    <w:basedOn w:val="Normal"/>
    <w:qFormat/>
    <w:rsid w:val="00A05237"/>
    <w:pPr>
      <w:spacing w:before="240" w:after="120"/>
    </w:pPr>
    <w:rPr>
      <w:rFonts w:ascii="Times New Roman" w:hAnsi="Times New Roman"/>
      <w:b/>
      <w:sz w:val="32"/>
    </w:rPr>
  </w:style>
  <w:style w:type="paragraph" w:customStyle="1" w:styleId="Heading2TOC">
    <w:name w:val="Heading2 TOC"/>
    <w:basedOn w:val="Normal"/>
    <w:qFormat/>
    <w:rsid w:val="00A05237"/>
    <w:pPr>
      <w:spacing w:before="240" w:after="60"/>
    </w:pPr>
    <w:rPr>
      <w:rFonts w:ascii="Times New Roman" w:hAnsi="Times New Roman"/>
      <w:b/>
      <w:sz w:val="28"/>
    </w:rPr>
  </w:style>
  <w:style w:type="character" w:customStyle="1" w:styleId="Underline">
    <w:name w:val="Underline"/>
    <w:qFormat/>
    <w:rsid w:val="00A05237"/>
    <w:rPr>
      <w:u w:val="single"/>
    </w:rPr>
  </w:style>
  <w:style w:type="character" w:customStyle="1" w:styleId="BoldandItalics">
    <w:name w:val="Bold and Italics"/>
    <w:qFormat/>
    <w:rsid w:val="00A05237"/>
    <w:rPr>
      <w:b/>
      <w:i/>
      <w:u w:val="none"/>
    </w:rPr>
  </w:style>
  <w:style w:type="paragraph" w:styleId="BalloonText">
    <w:name w:val="Balloon Text"/>
    <w:basedOn w:val="Normal"/>
    <w:link w:val="BalloonTextChar"/>
    <w:rsid w:val="00A05237"/>
    <w:rPr>
      <w:rFonts w:ascii="Tahoma" w:hAnsi="Tahoma" w:cs="Tahoma"/>
      <w:sz w:val="16"/>
      <w:szCs w:val="16"/>
    </w:rPr>
  </w:style>
  <w:style w:type="character" w:customStyle="1" w:styleId="BalloonTextChar">
    <w:name w:val="Balloon Text Char"/>
    <w:link w:val="BalloonText"/>
    <w:rsid w:val="00A0523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0523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0523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1493</Words>
  <Characters>9432</Characters>
  <Application>Microsoft Office Word</Application>
  <DocSecurity>0</DocSecurity>
  <Lines>326</Lines>
  <Paragraphs>222</Paragraphs>
  <ScaleCrop>false</ScaleCrop>
  <Company>Author-it Software Corporation Ltd.</Company>
  <LinksUpToDate>false</LinksUpToDate>
  <CharactersWithSpaces>10843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TLIX5044A Organise health support operations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2012-05-27T04:15:00Z</dcterms:created>
  <dcterms:modified xsi:type="dcterms:W3CDTF">2012-05-27T04:15:00Z</dcterms:modified>
</cp:coreProperties>
</file>