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4D9B" w:rsidP="009A4D9B">
      <w:pPr>
        <w:pStyle w:val="Title"/>
      </w:pPr>
      <w:r>
        <w:fldChar w:fldCharType="begin"/>
      </w:r>
      <w:r>
        <w:instrText xml:space="preserve"> TITLE   \* MERGEFORMAT </w:instrText>
      </w:r>
      <w:r>
        <w:fldChar w:fldCharType="separate"/>
      </w:r>
      <w:r>
        <w:t>TLIX5036A Manage and monitor technical data and information systems</w:t>
      </w:r>
      <w:r>
        <w:fldChar w:fldCharType="end"/>
      </w:r>
    </w:p>
    <w:p w:rsidR="009A4D9B" w:rsidP="009A4D9B">
      <w:pPr>
        <w:pStyle w:val="Version"/>
        <w:sectPr w:rsidSect="007714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14A0" w:rsidP="007714A0">
      <w:pPr>
        <w:pStyle w:val="SuperHeading"/>
      </w:pPr>
      <w:r w:rsidRPr="007714A0">
        <w:t>TLIX5036A Manage and monitor technical data and information systems</w:t>
      </w:r>
    </w:p>
    <w:p w:rsidR="00000000" w:rsidRPr="007714A0" w:rsidP="007714A0">
      <w:pPr>
        <w:pStyle w:val="Heading1"/>
      </w:pPr>
      <w:bookmarkStart w:id="1" w:name="O_274409"/>
      <w:bookmarkEnd w:id="1"/>
      <w:r w:rsidRPr="007714A0">
        <w:t>Modification History</w:t>
      </w:r>
    </w:p>
    <w:p w:rsidR="00000000" w:rsidRPr="007714A0" w:rsidP="007714A0">
      <w:pPr>
        <w:pStyle w:val="BodyText"/>
      </w:pPr>
      <w:r w:rsidRPr="007714A0">
        <w:t>Not Applicable</w:t>
      </w:r>
    </w:p>
    <w:p w:rsidR="00000000" w:rsidRPr="007714A0" w:rsidP="007714A0">
      <w:pPr>
        <w:pStyle w:val="AllowPageBreak"/>
      </w:pPr>
    </w:p>
    <w:p w:rsidR="00000000" w:rsidRPr="007714A0" w:rsidP="007714A0">
      <w:pPr>
        <w:pStyle w:val="Heading1"/>
      </w:pPr>
      <w:bookmarkStart w:id="2" w:name="O_224698"/>
      <w:bookmarkEnd w:id="2"/>
      <w:r w:rsidRPr="007714A0">
        <w:t>Unit Descriptor</w:t>
      </w:r>
    </w:p>
    <w:tbl>
      <w:tblPr>
        <w:tblW w:w="9640" w:type="dxa"/>
        <w:tblLayout w:type="fixed"/>
        <w:tblCellMar>
          <w:left w:w="62" w:type="dxa"/>
          <w:right w:w="62" w:type="dxa"/>
        </w:tblCellMar>
        <w:tblLook w:val="0000"/>
      </w:tblPr>
      <w:tblGrid>
        <w:gridCol w:w="2978"/>
        <w:gridCol w:w="6662"/>
      </w:tblGrid>
      <w:tr w:rsidTr="009A4D9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714A0">
            <w:pPr>
              <w:pStyle w:val="BodyText"/>
              <w:rPr>
                <w:lang w:val="en-NZ"/>
              </w:rPr>
            </w:pPr>
            <w:r w:rsidRPr="007714A0">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7714A0" w:rsidP="007714A0">
            <w:pPr>
              <w:pStyle w:val="BodyText"/>
            </w:pPr>
            <w:r w:rsidRPr="007714A0">
              <w:t>This unit involves the skills and knowledge required to manage and monitor all tech</w:t>
            </w:r>
            <w:r w:rsidRPr="007714A0">
              <w:t>nical data and information creation, capture, use and monitoring activities within the data management system. This competency occurs with the system framework established by others. It may also be used to review these processes and activities. There are n</w:t>
            </w:r>
            <w:r w:rsidRPr="007714A0">
              <w:t>o specific licensing or certification requirements applicable to this unit.</w:t>
            </w:r>
          </w:p>
        </w:tc>
      </w:tr>
    </w:tbl>
    <w:p w:rsidR="009A4D9B" w:rsidP="007714A0">
      <w:pPr>
        <w:pStyle w:val="BodyText"/>
      </w:pPr>
    </w:p>
    <w:p w:rsidR="009A4D9B" w:rsidP="007714A0">
      <w:pPr>
        <w:pStyle w:val="BodyText"/>
      </w:pPr>
    </w:p>
    <w:p w:rsidR="00000000" w:rsidRPr="007714A0" w:rsidP="007714A0">
      <w:pPr>
        <w:pStyle w:val="Heading1"/>
      </w:pPr>
      <w:bookmarkStart w:id="3" w:name="O_224700"/>
      <w:bookmarkEnd w:id="3"/>
      <w:r w:rsidRPr="007714A0">
        <w:t>Application of the Unit</w:t>
      </w:r>
    </w:p>
    <w:tbl>
      <w:tblPr>
        <w:tblW w:w="9640" w:type="dxa"/>
        <w:tblLayout w:type="fixed"/>
        <w:tblCellMar>
          <w:left w:w="62" w:type="dxa"/>
          <w:right w:w="62" w:type="dxa"/>
        </w:tblCellMar>
        <w:tblLook w:val="0000"/>
      </w:tblPr>
      <w:tblGrid>
        <w:gridCol w:w="2978"/>
        <w:gridCol w:w="6662"/>
      </w:tblGrid>
      <w:tr w:rsidTr="009A4D9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714A0">
            <w:pPr>
              <w:pStyle w:val="BodyText"/>
              <w:rPr>
                <w:lang w:val="en-NZ"/>
              </w:rPr>
            </w:pPr>
            <w:r w:rsidRPr="007714A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7714A0" w:rsidP="007714A0">
            <w:pPr>
              <w:pStyle w:val="BodyText"/>
            </w:pPr>
            <w:r w:rsidRPr="007714A0">
              <w:t>This unit was developed for technical regulatory framework specialists working within materiel logistics but is applicable to any individual in this field of work.</w:t>
            </w:r>
          </w:p>
          <w:p w:rsidR="00000000" w:rsidRPr="007714A0" w:rsidP="007714A0">
            <w:pPr>
              <w:pStyle w:val="BodyText"/>
            </w:pPr>
            <w:r w:rsidRPr="007714A0">
              <w:t>Typically these individuals must demonstrate the ability to work independently or as part of</w:t>
            </w:r>
            <w:r w:rsidRPr="007714A0">
              <w:t xml:space="preserve"> a team under direct and/or indirect supervision, use discretion and judgement, and take responsibility for the quality of their outputs. All activities are carried out in accordance with relevant organisational policy and procedures.</w:t>
            </w:r>
          </w:p>
        </w:tc>
      </w:tr>
    </w:tbl>
    <w:p w:rsidR="009A4D9B" w:rsidP="007714A0">
      <w:pPr>
        <w:pStyle w:val="BodyText"/>
      </w:pPr>
    </w:p>
    <w:p w:rsidR="009A4D9B" w:rsidP="007714A0">
      <w:pPr>
        <w:pStyle w:val="BodyText"/>
      </w:pPr>
    </w:p>
    <w:p w:rsidR="00000000" w:rsidRPr="007714A0" w:rsidP="007714A0">
      <w:pPr>
        <w:pStyle w:val="Heading1"/>
      </w:pPr>
      <w:bookmarkStart w:id="4" w:name="O_282669"/>
      <w:bookmarkEnd w:id="4"/>
      <w:r w:rsidRPr="007714A0">
        <w:t>L</w:t>
      </w:r>
      <w:r w:rsidRPr="007714A0">
        <w:t>icensing/Regulatory Information</w:t>
      </w:r>
    </w:p>
    <w:p w:rsidR="00000000" w:rsidRPr="007714A0" w:rsidP="007714A0">
      <w:pPr>
        <w:pStyle w:val="BodyText"/>
      </w:pPr>
      <w:r w:rsidRPr="007714A0">
        <w:t>Refer to Unit Descriptor</w:t>
      </w:r>
    </w:p>
    <w:p w:rsidR="00000000" w:rsidRPr="007714A0" w:rsidP="007714A0">
      <w:pPr>
        <w:pStyle w:val="AllowPageBreak"/>
      </w:pPr>
    </w:p>
    <w:p w:rsidR="00000000" w:rsidRPr="007714A0" w:rsidP="007714A0">
      <w:pPr>
        <w:pStyle w:val="Heading1"/>
      </w:pPr>
      <w:bookmarkStart w:id="5" w:name="O_285119"/>
      <w:bookmarkEnd w:id="5"/>
      <w:r w:rsidRPr="007714A0">
        <w:t>Pre-Requisites</w:t>
      </w:r>
    </w:p>
    <w:p w:rsidR="00000000" w:rsidRPr="007714A0" w:rsidP="007714A0">
      <w:pPr>
        <w:pStyle w:val="BodyText"/>
      </w:pPr>
      <w:r w:rsidRPr="007714A0">
        <w:t>Not Applicable</w:t>
      </w:r>
    </w:p>
    <w:p w:rsidR="00000000" w:rsidRPr="007714A0" w:rsidP="007714A0">
      <w:pPr>
        <w:pStyle w:val="AllowPageBreak"/>
      </w:pPr>
    </w:p>
    <w:p w:rsidR="00000000" w:rsidRPr="007714A0" w:rsidP="007714A0">
      <w:pPr>
        <w:pStyle w:val="Heading1"/>
      </w:pPr>
      <w:bookmarkStart w:id="6" w:name="O_224699"/>
      <w:bookmarkEnd w:id="6"/>
      <w:r w:rsidRPr="007714A0">
        <w:t>Employability Skills Information</w:t>
      </w:r>
    </w:p>
    <w:tbl>
      <w:tblPr>
        <w:tblW w:w="9640" w:type="dxa"/>
        <w:tblLayout w:type="fixed"/>
        <w:tblCellMar>
          <w:left w:w="62" w:type="dxa"/>
          <w:right w:w="62" w:type="dxa"/>
        </w:tblCellMar>
        <w:tblLook w:val="0000"/>
      </w:tblPr>
      <w:tblGrid>
        <w:gridCol w:w="2978"/>
        <w:gridCol w:w="6662"/>
      </w:tblGrid>
      <w:tr w:rsidTr="009A4D9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714A0">
            <w:pPr>
              <w:pStyle w:val="BodyText"/>
              <w:rPr>
                <w:lang w:val="en-NZ"/>
              </w:rPr>
            </w:pPr>
            <w:r w:rsidRPr="007714A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7714A0" w:rsidP="007714A0">
            <w:pPr>
              <w:pStyle w:val="BodyText"/>
            </w:pPr>
            <w:r w:rsidRPr="007714A0">
              <w:t>This unit contains employability skills.</w:t>
            </w:r>
          </w:p>
        </w:tc>
      </w:tr>
    </w:tbl>
    <w:p w:rsidR="009A4D9B" w:rsidP="007714A0">
      <w:pPr>
        <w:pStyle w:val="BodyText"/>
      </w:pPr>
    </w:p>
    <w:p w:rsidR="009A4D9B" w:rsidP="007714A0">
      <w:pPr>
        <w:pStyle w:val="BodyText"/>
      </w:pPr>
    </w:p>
    <w:p w:rsidR="00000000" w:rsidRPr="007714A0" w:rsidP="007714A0">
      <w:pPr>
        <w:pStyle w:val="Heading1"/>
      </w:pPr>
      <w:bookmarkStart w:id="7" w:name="O_292455"/>
      <w:bookmarkEnd w:id="7"/>
      <w:r w:rsidRPr="007714A0">
        <w:t>Elements and Performance Criteria Pre-Content</w:t>
      </w:r>
    </w:p>
    <w:tbl>
      <w:tblPr>
        <w:tblW w:w="9640" w:type="dxa"/>
        <w:tblLayout w:type="fixed"/>
        <w:tblCellMar>
          <w:left w:w="62" w:type="dxa"/>
          <w:right w:w="62" w:type="dxa"/>
        </w:tblCellMar>
        <w:tblLook w:val="0000"/>
      </w:tblPr>
      <w:tblGrid>
        <w:gridCol w:w="2978"/>
        <w:gridCol w:w="6662"/>
      </w:tblGrid>
      <w:tr w:rsidTr="009A4D9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714A0">
            <w:pPr>
              <w:pStyle w:val="BodyText"/>
              <w:rPr>
                <w:lang w:val="en-NZ"/>
              </w:rPr>
            </w:pPr>
            <w:r w:rsidRPr="007714A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7714A0" w:rsidP="007714A0">
            <w:pPr>
              <w:pStyle w:val="BodyText"/>
            </w:pPr>
            <w:r w:rsidRPr="007714A0">
              <w:t>Performance criteria describe the required performance needed to demonstrate achievement of the element. Assessment of performance is to be cons</w:t>
            </w:r>
            <w:r w:rsidRPr="007714A0">
              <w:t>istent with the evidence guide.</w:t>
            </w:r>
          </w:p>
        </w:tc>
      </w:tr>
    </w:tbl>
    <w:p w:rsidR="00000000" w:rsidRPr="007714A0" w:rsidP="007714A0">
      <w:pPr>
        <w:pStyle w:val="BodyText"/>
      </w:pPr>
    </w:p>
    <w:p w:rsidR="00000000" w:rsidRPr="007714A0" w:rsidP="007714A0">
      <w:pPr>
        <w:pStyle w:val="AllowPageBreak"/>
      </w:pPr>
    </w:p>
    <w:p w:rsidR="00000000" w:rsidRPr="007714A0" w:rsidP="007714A0">
      <w:pPr>
        <w:pStyle w:val="Heading1"/>
      </w:pPr>
      <w:bookmarkStart w:id="8" w:name="O_239123"/>
      <w:bookmarkEnd w:id="8"/>
      <w:r w:rsidRPr="007714A0">
        <w:t>Elements and Performance Criteria</w:t>
      </w:r>
    </w:p>
    <w:tbl>
      <w:tblPr>
        <w:tblW w:w="9640" w:type="dxa"/>
        <w:tblLayout w:type="fixed"/>
        <w:tblCellMar>
          <w:left w:w="62" w:type="dxa"/>
          <w:right w:w="62" w:type="dxa"/>
        </w:tblCellMar>
        <w:tblLook w:val="0000"/>
      </w:tblPr>
      <w:tblGrid>
        <w:gridCol w:w="2978"/>
        <w:gridCol w:w="6662"/>
      </w:tblGrid>
      <w:tr w:rsidTr="009A4D9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7714A0" w:rsidP="007714A0">
            <w:pPr>
              <w:pStyle w:val="List"/>
            </w:pPr>
            <w:r w:rsidRPr="007714A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7714A0">
            <w:pPr>
              <w:pStyle w:val="List"/>
              <w:rPr>
                <w:lang w:val="en-NZ"/>
              </w:rPr>
            </w:pPr>
            <w:r w:rsidRPr="007714A0">
              <w:rPr>
                <w:rStyle w:val="SpecialBold"/>
              </w:rPr>
              <w:t>PERFORMANCE CRITERIA</w:t>
            </w:r>
          </w:p>
        </w:tc>
      </w:tr>
      <w:tr w:rsidTr="009A4D9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714A0">
            <w:pPr>
              <w:pStyle w:val="List"/>
              <w:rPr>
                <w:lang w:val="en-NZ"/>
              </w:rPr>
            </w:pPr>
            <w:r w:rsidRPr="007714A0">
              <w:rPr>
                <w:rStyle w:val="SpecialBold"/>
              </w:rPr>
              <w:t>1</w:t>
            </w:r>
            <w:r w:rsidRPr="007714A0">
              <w:tab/>
            </w:r>
            <w:r w:rsidRPr="007714A0">
              <w:rPr>
                <w:rStyle w:val="SpecialBold"/>
              </w:rPr>
              <w:t>Designate detailed technical data and information use</w:t>
            </w:r>
            <w:r w:rsidRPr="007714A0">
              <w:t xml:space="preserve">, </w:t>
            </w:r>
            <w:r w:rsidRPr="007714A0">
              <w:rPr>
                <w:rStyle w:val="SpecialBold"/>
              </w:rPr>
              <w:t>and maintenance responsibilities</w:t>
            </w:r>
          </w:p>
        </w:tc>
        <w:tc>
          <w:tcPr>
            <w:tcW w:w="6662" w:type="dxa"/>
            <w:tcBorders>
              <w:top w:val="nil"/>
              <w:left w:val="nil"/>
              <w:bottom w:val="nil"/>
              <w:right w:val="nil"/>
            </w:tcBorders>
            <w:tcMar>
              <w:top w:w="0" w:type="dxa"/>
              <w:left w:w="62" w:type="dxa"/>
              <w:bottom w:w="0" w:type="dxa"/>
              <w:right w:w="62" w:type="dxa"/>
            </w:tcMar>
          </w:tcPr>
          <w:p w:rsidR="00000000" w:rsidRPr="007714A0" w:rsidP="007714A0">
            <w:pPr>
              <w:pStyle w:val="List"/>
            </w:pPr>
            <w:r w:rsidRPr="007714A0">
              <w:t>1.1</w:t>
            </w:r>
            <w:r w:rsidRPr="007714A0">
              <w:tab/>
            </w:r>
            <w:r w:rsidRPr="007714A0">
              <w:t>Responsibilities for technical data and information use and maintenance activities are designated to staff in accordance with approved system framework, organisational policy and the abilities of individual staff</w:t>
            </w:r>
          </w:p>
          <w:p w:rsidR="00000000" w:rsidRPr="007714A0" w:rsidP="007714A0">
            <w:pPr>
              <w:pStyle w:val="List"/>
            </w:pPr>
            <w:r w:rsidRPr="007714A0">
              <w:t>1.2</w:t>
            </w:r>
            <w:r w:rsidRPr="007714A0">
              <w:tab/>
              <w:t>Rules for the operation of the system a</w:t>
            </w:r>
            <w:r w:rsidRPr="007714A0">
              <w:t>re devised in compliance with approved systems framework</w:t>
            </w:r>
          </w:p>
          <w:p w:rsidR="00000000" w:rsidP="007714A0">
            <w:pPr>
              <w:pStyle w:val="List"/>
              <w:rPr>
                <w:lang w:val="en-NZ"/>
              </w:rPr>
            </w:pPr>
            <w:r w:rsidRPr="007714A0">
              <w:t>1.3</w:t>
            </w:r>
            <w:r w:rsidRPr="007714A0">
              <w:tab/>
              <w:t>Resources for approved budget period are allocated in accordance with policy and the strategic plan</w:t>
            </w:r>
          </w:p>
        </w:tc>
      </w:tr>
      <w:tr w:rsidTr="009A4D9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714A0">
            <w:pPr>
              <w:pStyle w:val="List"/>
              <w:rPr>
                <w:lang w:val="en-NZ"/>
              </w:rPr>
            </w:pPr>
            <w:r w:rsidRPr="007714A0">
              <w:rPr>
                <w:rStyle w:val="SpecialBold"/>
              </w:rPr>
              <w:t>2</w:t>
            </w:r>
            <w:r w:rsidRPr="007714A0">
              <w:tab/>
            </w:r>
            <w:r w:rsidRPr="007714A0">
              <w:rPr>
                <w:rStyle w:val="SpecialBold"/>
              </w:rPr>
              <w:t>Develop key performance indicators for technical data management activities</w:t>
            </w:r>
          </w:p>
        </w:tc>
        <w:tc>
          <w:tcPr>
            <w:tcW w:w="6662" w:type="dxa"/>
            <w:tcBorders>
              <w:top w:val="nil"/>
              <w:left w:val="nil"/>
              <w:bottom w:val="nil"/>
              <w:right w:val="nil"/>
            </w:tcBorders>
            <w:tcMar>
              <w:top w:w="0" w:type="dxa"/>
              <w:left w:w="62" w:type="dxa"/>
              <w:bottom w:w="0" w:type="dxa"/>
              <w:right w:w="62" w:type="dxa"/>
            </w:tcMar>
          </w:tcPr>
          <w:p w:rsidR="00000000" w:rsidRPr="007714A0" w:rsidP="007714A0">
            <w:pPr>
              <w:pStyle w:val="List"/>
            </w:pPr>
            <w:r w:rsidRPr="007714A0">
              <w:t>2.1</w:t>
            </w:r>
            <w:r w:rsidRPr="007714A0">
              <w:tab/>
              <w:t>Measurable p</w:t>
            </w:r>
            <w:r w:rsidRPr="007714A0">
              <w:t>erformance indicators are developed for technical data management activities in accordance with the authorised systems</w:t>
            </w:r>
          </w:p>
          <w:p w:rsidR="00000000" w:rsidRPr="007714A0" w:rsidP="007714A0">
            <w:pPr>
              <w:pStyle w:val="List"/>
            </w:pPr>
            <w:r w:rsidRPr="007714A0">
              <w:t>2.2</w:t>
            </w:r>
            <w:r w:rsidRPr="007714A0">
              <w:tab/>
              <w:t>Data management responsibilities of individual personnel/organisational units are identified and documented</w:t>
            </w:r>
          </w:p>
          <w:p w:rsidR="00000000" w:rsidP="007714A0">
            <w:pPr>
              <w:pStyle w:val="List"/>
              <w:rPr>
                <w:lang w:val="en-NZ"/>
              </w:rPr>
            </w:pPr>
            <w:r w:rsidRPr="007714A0">
              <w:t>2.3</w:t>
            </w:r>
            <w:r w:rsidRPr="007714A0">
              <w:tab/>
              <w:t>Acceptable range of v</w:t>
            </w:r>
            <w:r w:rsidRPr="007714A0">
              <w:t>ariation for compliance is determined based upon data management responsibilities, applicable data management system and organisation's risk management analysis</w:t>
            </w:r>
          </w:p>
        </w:tc>
      </w:tr>
      <w:tr w:rsidTr="009A4D9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714A0">
            <w:pPr>
              <w:pStyle w:val="List"/>
              <w:rPr>
                <w:lang w:val="en-NZ"/>
              </w:rPr>
            </w:pPr>
            <w:r w:rsidRPr="007714A0">
              <w:rPr>
                <w:rStyle w:val="SpecialBold"/>
              </w:rPr>
              <w:t>3</w:t>
            </w:r>
            <w:r w:rsidRPr="007714A0">
              <w:tab/>
            </w:r>
            <w:r w:rsidRPr="007714A0">
              <w:rPr>
                <w:rStyle w:val="SpecialBold"/>
              </w:rPr>
              <w:t>Develop monitoring methodology</w:t>
            </w:r>
          </w:p>
        </w:tc>
        <w:tc>
          <w:tcPr>
            <w:tcW w:w="6662" w:type="dxa"/>
            <w:tcBorders>
              <w:top w:val="nil"/>
              <w:left w:val="nil"/>
              <w:bottom w:val="nil"/>
              <w:right w:val="nil"/>
            </w:tcBorders>
            <w:tcMar>
              <w:top w:w="0" w:type="dxa"/>
              <w:left w:w="62" w:type="dxa"/>
              <w:bottom w:w="0" w:type="dxa"/>
              <w:right w:w="62" w:type="dxa"/>
            </w:tcMar>
          </w:tcPr>
          <w:p w:rsidR="00000000" w:rsidRPr="007714A0" w:rsidP="007714A0">
            <w:pPr>
              <w:pStyle w:val="List"/>
            </w:pPr>
            <w:r w:rsidRPr="007714A0">
              <w:t>3.1</w:t>
            </w:r>
            <w:r w:rsidRPr="007714A0">
              <w:tab/>
              <w:t xml:space="preserve">Methodology for monitoring the technical data management </w:t>
            </w:r>
            <w:r w:rsidRPr="007714A0">
              <w:t>system's rules, standards and procedures is developed based upon authorised systems</w:t>
            </w:r>
          </w:p>
          <w:p w:rsidR="00000000" w:rsidRPr="007714A0" w:rsidP="007714A0">
            <w:pPr>
              <w:pStyle w:val="List"/>
            </w:pPr>
            <w:r w:rsidRPr="007714A0">
              <w:t>3.2</w:t>
            </w:r>
            <w:r w:rsidRPr="007714A0">
              <w:tab/>
              <w:t>Methodology developed includes timeframes involved, means of surveillance and form of reporting</w:t>
            </w:r>
          </w:p>
          <w:p w:rsidR="00000000" w:rsidP="007714A0">
            <w:pPr>
              <w:pStyle w:val="List"/>
              <w:rPr>
                <w:lang w:val="en-NZ"/>
              </w:rPr>
            </w:pPr>
            <w:r w:rsidRPr="007714A0">
              <w:t>3.3</w:t>
            </w:r>
            <w:r w:rsidRPr="007714A0">
              <w:tab/>
              <w:t>Methodology, performance criteria and the ranges of variation from t</w:t>
            </w:r>
            <w:r w:rsidRPr="007714A0">
              <w:t>he standards and rules are submitted to appropriate authority for approval</w:t>
            </w:r>
          </w:p>
        </w:tc>
      </w:tr>
      <w:tr w:rsidTr="009A4D9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714A0">
            <w:pPr>
              <w:pStyle w:val="List"/>
              <w:rPr>
                <w:lang w:val="en-NZ"/>
              </w:rPr>
            </w:pPr>
            <w:r w:rsidRPr="007714A0">
              <w:rPr>
                <w:rStyle w:val="SpecialBold"/>
              </w:rPr>
              <w:t>4</w:t>
            </w:r>
            <w:r w:rsidRPr="007714A0">
              <w:tab/>
            </w:r>
            <w:r w:rsidRPr="007714A0">
              <w:rPr>
                <w:rStyle w:val="SpecialBold"/>
              </w:rPr>
              <w:t>Monitor a technical data management system</w:t>
            </w:r>
          </w:p>
        </w:tc>
        <w:tc>
          <w:tcPr>
            <w:tcW w:w="6662" w:type="dxa"/>
            <w:tcBorders>
              <w:top w:val="nil"/>
              <w:left w:val="nil"/>
              <w:bottom w:val="nil"/>
              <w:right w:val="nil"/>
            </w:tcBorders>
            <w:tcMar>
              <w:top w:w="0" w:type="dxa"/>
              <w:left w:w="62" w:type="dxa"/>
              <w:bottom w:w="0" w:type="dxa"/>
              <w:right w:w="62" w:type="dxa"/>
            </w:tcMar>
          </w:tcPr>
          <w:p w:rsidR="00000000" w:rsidRPr="007714A0" w:rsidP="007714A0">
            <w:pPr>
              <w:pStyle w:val="List"/>
            </w:pPr>
            <w:r w:rsidRPr="007714A0">
              <w:t>4.1</w:t>
            </w:r>
            <w:r w:rsidRPr="007714A0">
              <w:tab/>
              <w:t>Monitoring is undertaken in accordance with approved timeframes and frequency</w:t>
            </w:r>
          </w:p>
          <w:p w:rsidR="00000000" w:rsidRPr="007714A0" w:rsidP="007714A0">
            <w:pPr>
              <w:pStyle w:val="List"/>
            </w:pPr>
            <w:r w:rsidRPr="007714A0">
              <w:t>4.2</w:t>
            </w:r>
            <w:r w:rsidRPr="007714A0">
              <w:tab/>
            </w:r>
            <w:r w:rsidRPr="007714A0">
              <w:t>Staff being monitored are notified in accordance with organisational policy and guidelines, where applicable</w:t>
            </w:r>
          </w:p>
          <w:p w:rsidR="00000000" w:rsidRPr="007714A0" w:rsidP="007714A0">
            <w:pPr>
              <w:pStyle w:val="List"/>
            </w:pPr>
            <w:r w:rsidRPr="007714A0">
              <w:t>4.3</w:t>
            </w:r>
            <w:r w:rsidRPr="007714A0">
              <w:tab/>
              <w:t xml:space="preserve">Any variation from data management system's framework, rule, standards and procedures that exceed the agreed limit is noted and details of the </w:t>
            </w:r>
            <w:r w:rsidRPr="007714A0">
              <w:t>situation are recorded</w:t>
            </w:r>
          </w:p>
          <w:p w:rsidR="00000000" w:rsidP="007714A0">
            <w:pPr>
              <w:pStyle w:val="List"/>
              <w:rPr>
                <w:lang w:val="en-NZ"/>
              </w:rPr>
            </w:pPr>
            <w:r w:rsidRPr="007714A0">
              <w:t>4.4</w:t>
            </w:r>
            <w:r w:rsidRPr="007714A0">
              <w:tab/>
              <w:t>Where required, reports are provided to appropriate authority relating to technical data and information use and maintenance, and are in the required format, at the required intervals</w:t>
            </w:r>
          </w:p>
        </w:tc>
      </w:tr>
      <w:tr w:rsidTr="009A4D9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714A0">
            <w:pPr>
              <w:pStyle w:val="List"/>
              <w:rPr>
                <w:lang w:val="en-NZ"/>
              </w:rPr>
            </w:pPr>
            <w:r w:rsidRPr="007714A0">
              <w:rPr>
                <w:rStyle w:val="SpecialBold"/>
              </w:rPr>
              <w:t>5</w:t>
            </w:r>
            <w:r w:rsidRPr="007714A0">
              <w:tab/>
            </w:r>
            <w:r w:rsidRPr="007714A0">
              <w:rPr>
                <w:rStyle w:val="SpecialBold"/>
              </w:rPr>
              <w:t>Identify and respond to problems and chang</w:t>
            </w:r>
            <w:r w:rsidRPr="007714A0">
              <w:rPr>
                <w:rStyle w:val="SpecialBold"/>
              </w:rPr>
              <w:t>es</w:t>
            </w:r>
          </w:p>
        </w:tc>
        <w:tc>
          <w:tcPr>
            <w:tcW w:w="6662" w:type="dxa"/>
            <w:tcBorders>
              <w:top w:val="nil"/>
              <w:left w:val="nil"/>
              <w:bottom w:val="nil"/>
              <w:right w:val="nil"/>
            </w:tcBorders>
            <w:tcMar>
              <w:top w:w="0" w:type="dxa"/>
              <w:left w:w="62" w:type="dxa"/>
              <w:bottom w:w="0" w:type="dxa"/>
              <w:right w:w="62" w:type="dxa"/>
            </w:tcMar>
          </w:tcPr>
          <w:p w:rsidR="00000000" w:rsidRPr="007714A0" w:rsidP="007714A0">
            <w:pPr>
              <w:pStyle w:val="List"/>
            </w:pPr>
            <w:r w:rsidRPr="007714A0">
              <w:t>5.1</w:t>
            </w:r>
            <w:r w:rsidRPr="007714A0">
              <w:tab/>
              <w:t>Problems and changes requiring a systematic response are identified from monitoring reports and external events</w:t>
            </w:r>
          </w:p>
          <w:p w:rsidR="00000000" w:rsidRPr="007714A0" w:rsidP="007714A0">
            <w:pPr>
              <w:pStyle w:val="List"/>
            </w:pPr>
            <w:r w:rsidRPr="007714A0">
              <w:t>5.2</w:t>
            </w:r>
            <w:r w:rsidRPr="007714A0">
              <w:tab/>
              <w:t>Recommendations are made for revisions to systems, procedures, and future (strategic) plans in response to identified variations, cha</w:t>
            </w:r>
            <w:r w:rsidRPr="007714A0">
              <w:t>nges and problems</w:t>
            </w:r>
          </w:p>
          <w:p w:rsidR="00000000" w:rsidRPr="007714A0" w:rsidP="007714A0">
            <w:pPr>
              <w:pStyle w:val="List"/>
            </w:pPr>
            <w:r w:rsidRPr="007714A0">
              <w:t>5.3</w:t>
            </w:r>
            <w:r w:rsidRPr="007714A0">
              <w:tab/>
              <w:t>Amendments to systems are devised and implementation is planned, in response to problems and changes that require a systemic response</w:t>
            </w:r>
          </w:p>
          <w:p w:rsidR="00000000" w:rsidRPr="007714A0" w:rsidP="007714A0">
            <w:pPr>
              <w:pStyle w:val="List"/>
            </w:pPr>
            <w:r w:rsidRPr="007714A0">
              <w:t>5.4</w:t>
            </w:r>
            <w:r w:rsidRPr="007714A0">
              <w:tab/>
              <w:t>Recommendations for system amendments and the planning and implementation required are prepared,</w:t>
            </w:r>
            <w:r w:rsidRPr="007714A0">
              <w:t xml:space="preserve"> and approval is sought from appropriate authority</w:t>
            </w:r>
          </w:p>
          <w:p w:rsidR="00000000" w:rsidP="007714A0">
            <w:pPr>
              <w:pStyle w:val="List"/>
              <w:rPr>
                <w:lang w:val="en-NZ"/>
              </w:rPr>
            </w:pPr>
            <w:r w:rsidRPr="007714A0">
              <w:t>5.5</w:t>
            </w:r>
            <w:r w:rsidRPr="007714A0">
              <w:tab/>
              <w:t xml:space="preserve">Procedures for using technical data and information systems, and subsequent alterations and amendments to the procedures are authorised, ensuring that performance indicator parameters and access rules </w:t>
            </w:r>
            <w:r w:rsidRPr="007714A0">
              <w:t>are adhered to</w:t>
            </w:r>
          </w:p>
        </w:tc>
      </w:tr>
      <w:tr w:rsidTr="009A4D9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714A0">
            <w:pPr>
              <w:pStyle w:val="List"/>
              <w:rPr>
                <w:lang w:val="en-NZ"/>
              </w:rPr>
            </w:pPr>
            <w:r w:rsidRPr="007714A0">
              <w:rPr>
                <w:rStyle w:val="SpecialBold"/>
              </w:rPr>
              <w:t>6</w:t>
            </w:r>
            <w:r w:rsidRPr="007714A0">
              <w:tab/>
            </w:r>
            <w:r w:rsidRPr="007714A0">
              <w:rPr>
                <w:rStyle w:val="SpecialBold"/>
              </w:rPr>
              <w:t>Designate technical data and information creation and capture responsibilities</w:t>
            </w:r>
          </w:p>
        </w:tc>
        <w:tc>
          <w:tcPr>
            <w:tcW w:w="6662" w:type="dxa"/>
            <w:tcBorders>
              <w:top w:val="nil"/>
              <w:left w:val="nil"/>
              <w:bottom w:val="nil"/>
              <w:right w:val="nil"/>
            </w:tcBorders>
            <w:tcMar>
              <w:top w:w="0" w:type="dxa"/>
              <w:left w:w="62" w:type="dxa"/>
              <w:bottom w:w="0" w:type="dxa"/>
              <w:right w:w="62" w:type="dxa"/>
            </w:tcMar>
          </w:tcPr>
          <w:p w:rsidR="00000000" w:rsidRPr="007714A0" w:rsidP="007714A0">
            <w:pPr>
              <w:pStyle w:val="List"/>
            </w:pPr>
            <w:r w:rsidRPr="007714A0">
              <w:t>6.1</w:t>
            </w:r>
            <w:r w:rsidRPr="007714A0">
              <w:tab/>
              <w:t>Responsibilities for technical data and information creation and capture activities are designated to staff in accordance with organisational policy</w:t>
            </w:r>
          </w:p>
          <w:p w:rsidR="00000000" w:rsidRPr="007714A0" w:rsidP="007714A0">
            <w:pPr>
              <w:pStyle w:val="List"/>
            </w:pPr>
            <w:r w:rsidRPr="007714A0">
              <w:t>6.2</w:t>
            </w:r>
            <w:r w:rsidRPr="007714A0">
              <w:tab/>
              <w:t>Te</w:t>
            </w:r>
            <w:r w:rsidRPr="007714A0">
              <w:t>chnical data and information creation and capture performance targets are set within the parameters of the technical data management plan</w:t>
            </w:r>
          </w:p>
          <w:p w:rsidR="00000000" w:rsidRPr="007714A0" w:rsidP="007714A0">
            <w:pPr>
              <w:pStyle w:val="List"/>
            </w:pPr>
            <w:r w:rsidRPr="007714A0">
              <w:t>6.3</w:t>
            </w:r>
            <w:r w:rsidRPr="007714A0">
              <w:tab/>
              <w:t>Resources for the budget period are allocated in accordance with organisational policy and strategic plan</w:t>
            </w:r>
          </w:p>
        </w:tc>
      </w:tr>
    </w:tbl>
    <w:p w:rsidR="009A4D9B" w:rsidP="007714A0">
      <w:pPr>
        <w:pStyle w:val="BodyText"/>
      </w:pPr>
    </w:p>
    <w:p w:rsidR="009A4D9B" w:rsidP="007714A0">
      <w:pPr>
        <w:pStyle w:val="BodyText"/>
      </w:pPr>
    </w:p>
    <w:p w:rsidR="00000000" w:rsidRPr="007714A0" w:rsidP="007714A0">
      <w:pPr>
        <w:pStyle w:val="Heading1"/>
      </w:pPr>
      <w:bookmarkStart w:id="9" w:name="O_262914"/>
      <w:bookmarkEnd w:id="9"/>
      <w:r w:rsidRPr="007714A0">
        <w:t>Required Skills and Knowledge</w:t>
      </w:r>
    </w:p>
    <w:tbl>
      <w:tblPr>
        <w:tblW w:w="9640" w:type="dxa"/>
        <w:tblLayout w:type="fixed"/>
        <w:tblCellMar>
          <w:left w:w="62" w:type="dxa"/>
          <w:right w:w="62" w:type="dxa"/>
        </w:tblCellMar>
        <w:tblLook w:val="0000"/>
      </w:tblPr>
      <w:tblGrid>
        <w:gridCol w:w="9640"/>
      </w:tblGrid>
      <w:tr w:rsidTr="009A4D9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714A0">
            <w:pPr>
              <w:pStyle w:val="BodyText"/>
              <w:rPr>
                <w:lang w:val="en-NZ"/>
              </w:rPr>
            </w:pPr>
            <w:r w:rsidRPr="007714A0">
              <w:rPr>
                <w:rStyle w:val="SpecialBold"/>
              </w:rPr>
              <w:t>REQUIRED KNOWLEDGE AND SKILLS</w:t>
            </w:r>
          </w:p>
        </w:tc>
      </w:tr>
      <w:tr w:rsidTr="009A4D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14A0">
            <w:pPr>
              <w:pStyle w:val="BodyText"/>
              <w:rPr>
                <w:lang w:val="en-NZ"/>
              </w:rPr>
            </w:pPr>
            <w:r w:rsidRPr="007714A0">
              <w:t>This describes the essential knowledge and skills and their level required for this unit.</w:t>
            </w:r>
          </w:p>
        </w:tc>
      </w:tr>
      <w:tr w:rsidTr="009A4D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14A0">
            <w:pPr>
              <w:pStyle w:val="BodyText"/>
              <w:rPr>
                <w:lang w:val="en-NZ"/>
              </w:rPr>
            </w:pPr>
            <w:r w:rsidRPr="007714A0">
              <w:rPr>
                <w:rStyle w:val="SpecialBold"/>
              </w:rPr>
              <w:t>Required knowledge</w:t>
            </w:r>
            <w:r w:rsidRPr="007714A0">
              <w:t>:</w:t>
            </w:r>
          </w:p>
        </w:tc>
      </w:tr>
      <w:tr w:rsidTr="009A4D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14A0">
            <w:pPr>
              <w:pStyle w:val="ListBullet"/>
              <w:rPr>
                <w:lang w:val="en-NZ"/>
              </w:rPr>
            </w:pPr>
            <w:r w:rsidRPr="007714A0">
              <w:t>Area of technical expertise</w:t>
            </w:r>
          </w:p>
        </w:tc>
      </w:tr>
      <w:tr w:rsidTr="009A4D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14A0">
            <w:pPr>
              <w:pStyle w:val="ListBullet"/>
              <w:rPr>
                <w:lang w:val="en-NZ"/>
              </w:rPr>
            </w:pPr>
            <w:r w:rsidRPr="007714A0">
              <w:t>Data management, standards, principles, process and functional requirements</w:t>
            </w:r>
          </w:p>
        </w:tc>
      </w:tr>
      <w:tr w:rsidTr="009A4D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14A0">
            <w:pPr>
              <w:pStyle w:val="ListBullet"/>
              <w:rPr>
                <w:lang w:val="en-NZ"/>
              </w:rPr>
            </w:pPr>
            <w:r w:rsidRPr="007714A0">
              <w:t>Details of the technical regulatory framework, organisation's engineering management plans and the technical data management plan</w:t>
            </w:r>
          </w:p>
        </w:tc>
      </w:tr>
      <w:tr w:rsidTr="009A4D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14A0">
            <w:pPr>
              <w:pStyle w:val="ListBullet"/>
              <w:rPr>
                <w:lang w:val="en-NZ"/>
              </w:rPr>
            </w:pPr>
            <w:r w:rsidRPr="007714A0">
              <w:t>Established communication channels and protoco</w:t>
            </w:r>
            <w:r w:rsidRPr="007714A0">
              <w:t>ls</w:t>
            </w:r>
          </w:p>
        </w:tc>
      </w:tr>
      <w:tr w:rsidTr="009A4D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14A0">
            <w:pPr>
              <w:pStyle w:val="ListBullet"/>
              <w:rPr>
                <w:lang w:val="en-NZ"/>
              </w:rPr>
            </w:pPr>
            <w:r w:rsidRPr="007714A0">
              <w:t>Organisational functions, structure and culture</w:t>
            </w:r>
          </w:p>
        </w:tc>
      </w:tr>
      <w:tr w:rsidTr="009A4D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14A0">
            <w:pPr>
              <w:pStyle w:val="ListBullet"/>
              <w:rPr>
                <w:lang w:val="en-NZ"/>
              </w:rPr>
            </w:pPr>
            <w:r w:rsidRPr="007714A0">
              <w:t>Organisational policy, strategies and procedures</w:t>
            </w:r>
          </w:p>
        </w:tc>
      </w:tr>
      <w:tr w:rsidTr="009A4D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14A0">
            <w:pPr>
              <w:pStyle w:val="ListBullet"/>
              <w:rPr>
                <w:lang w:val="en-NZ"/>
              </w:rPr>
            </w:pPr>
            <w:r w:rsidRPr="007714A0">
              <w:t>Organisation's data management systems</w:t>
            </w:r>
          </w:p>
        </w:tc>
      </w:tr>
      <w:tr w:rsidTr="009A4D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14A0">
            <w:pPr>
              <w:pStyle w:val="ListBullet"/>
              <w:rPr>
                <w:lang w:val="en-NZ"/>
              </w:rPr>
            </w:pPr>
            <w:r w:rsidRPr="007714A0">
              <w:t>Organisation's rules for the capture of, access to, and use and maintenance of, technical data and informatio</w:t>
            </w:r>
            <w:r w:rsidRPr="007714A0">
              <w:t>n</w:t>
            </w:r>
          </w:p>
        </w:tc>
      </w:tr>
      <w:tr w:rsidTr="009A4D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14A0">
            <w:pPr>
              <w:pStyle w:val="ListBullet"/>
              <w:rPr>
                <w:lang w:val="en-NZ"/>
              </w:rPr>
            </w:pPr>
            <w:r w:rsidRPr="007714A0">
              <w:t>Organisation's technical classification scheme and language</w:t>
            </w:r>
          </w:p>
        </w:tc>
      </w:tr>
      <w:tr w:rsidTr="009A4D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14A0">
            <w:pPr>
              <w:pStyle w:val="ListBullet"/>
              <w:rPr>
                <w:lang w:val="en-NZ"/>
              </w:rPr>
            </w:pPr>
            <w:r w:rsidRPr="007714A0">
              <w:t>Problem identification and resolution</w:t>
            </w:r>
          </w:p>
        </w:tc>
      </w:tr>
      <w:tr w:rsidTr="009A4D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14A0">
            <w:pPr>
              <w:pStyle w:val="ListBullet"/>
              <w:rPr>
                <w:lang w:val="en-NZ"/>
              </w:rPr>
            </w:pPr>
            <w:r w:rsidRPr="007714A0">
              <w:t>Procedures for recording, reporting and maintaining workplace records and information</w:t>
            </w:r>
          </w:p>
        </w:tc>
      </w:tr>
      <w:tr w:rsidTr="009A4D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14A0">
            <w:pPr>
              <w:pStyle w:val="ListBullet"/>
              <w:rPr>
                <w:lang w:val="en-NZ"/>
              </w:rPr>
            </w:pPr>
            <w:r w:rsidRPr="007714A0">
              <w:t>Quality assurance principles and processes</w:t>
            </w:r>
          </w:p>
        </w:tc>
      </w:tr>
      <w:tr w:rsidTr="009A4D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714A0" w:rsidP="007714A0">
            <w:pPr>
              <w:pStyle w:val="ListBullet"/>
            </w:pPr>
            <w:r w:rsidRPr="007714A0">
              <w:t>Work flow and business process re-engineering principles and practices</w:t>
            </w:r>
          </w:p>
        </w:tc>
      </w:tr>
    </w:tbl>
    <w:p w:rsidR="00000000" w:rsidRPr="007714A0" w:rsidP="007714A0">
      <w:pPr>
        <w:pStyle w:val="BodyText"/>
      </w:pPr>
    </w:p>
    <w:tbl>
      <w:tblPr>
        <w:tblW w:w="9640" w:type="dxa"/>
        <w:tblLayout w:type="fixed"/>
        <w:tblCellMar>
          <w:left w:w="62" w:type="dxa"/>
          <w:right w:w="62" w:type="dxa"/>
        </w:tblCellMar>
        <w:tblLook w:val="0000"/>
      </w:tblPr>
      <w:tblGrid>
        <w:gridCol w:w="9640"/>
      </w:tblGrid>
      <w:tr w:rsidTr="009A4D9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714A0">
            <w:pPr>
              <w:pStyle w:val="BodyText"/>
              <w:rPr>
                <w:lang w:val="en-NZ"/>
              </w:rPr>
            </w:pPr>
            <w:r w:rsidRPr="007714A0">
              <w:rPr>
                <w:rStyle w:val="SpecialBold"/>
              </w:rPr>
              <w:t>Required skills</w:t>
            </w:r>
            <w:r w:rsidRPr="007714A0">
              <w:t>:</w:t>
            </w:r>
          </w:p>
        </w:tc>
      </w:tr>
      <w:tr w:rsidTr="009A4D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14A0">
            <w:pPr>
              <w:pStyle w:val="ListBullet"/>
              <w:rPr>
                <w:lang w:val="en-NZ"/>
              </w:rPr>
            </w:pPr>
            <w:r w:rsidRPr="007714A0">
              <w:t>Apply technical data and information and project management knowledge to technical data and information systems</w:t>
            </w:r>
          </w:p>
        </w:tc>
      </w:tr>
      <w:tr w:rsidTr="009A4D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14A0">
            <w:pPr>
              <w:pStyle w:val="ListBullet"/>
              <w:rPr>
                <w:lang w:val="en-NZ"/>
              </w:rPr>
            </w:pPr>
            <w:r w:rsidRPr="007714A0">
              <w:t>Consult and negotiate effectively with key stakeholders (both internal and external) and resolve any potential areas of conflict or concern to ensure that overall technical data and information systems objectives are achieved</w:t>
            </w:r>
          </w:p>
        </w:tc>
      </w:tr>
      <w:tr w:rsidTr="009A4D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14A0">
            <w:pPr>
              <w:pStyle w:val="ListBullet"/>
              <w:rPr>
                <w:lang w:val="en-NZ"/>
              </w:rPr>
            </w:pPr>
            <w:r w:rsidRPr="007714A0">
              <w:t>Display resilience by contin</w:t>
            </w:r>
            <w:r w:rsidRPr="007714A0">
              <w:t>uing to move forward despite criticism or setbacks</w:t>
            </w:r>
          </w:p>
        </w:tc>
      </w:tr>
      <w:tr w:rsidTr="009A4D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14A0">
            <w:pPr>
              <w:pStyle w:val="ListBullet"/>
              <w:rPr>
                <w:lang w:val="en-NZ"/>
              </w:rPr>
            </w:pPr>
            <w:r w:rsidRPr="007714A0">
              <w:t>Identify the relationship between organisational goals and recognise how own work contributes to the achievement of those goals</w:t>
            </w:r>
          </w:p>
        </w:tc>
      </w:tr>
      <w:tr w:rsidTr="009A4D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14A0">
            <w:pPr>
              <w:pStyle w:val="ListBullet"/>
              <w:rPr>
                <w:lang w:val="en-NZ"/>
              </w:rPr>
            </w:pPr>
            <w:r w:rsidRPr="007714A0">
              <w:t>Implement processes to enable new technical data and information system r</w:t>
            </w:r>
            <w:r w:rsidRPr="007714A0">
              <w:t>equirements to be effectively transitioned across the life cycle - this includes integrated logistics support considerations, including environmental, sustainability issues, and validation and verification activities</w:t>
            </w:r>
          </w:p>
        </w:tc>
      </w:tr>
      <w:tr w:rsidTr="009A4D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714A0" w:rsidP="007714A0">
            <w:pPr>
              <w:pStyle w:val="ListBullet"/>
            </w:pPr>
            <w:r w:rsidRPr="007714A0">
              <w:t xml:space="preserve">Monitor processes to ensure that the </w:t>
            </w:r>
            <w:r w:rsidRPr="007714A0">
              <w:t>technical data and information systems continue to enable the operational requirements to be attained - this may include performance metrics</w:t>
            </w:r>
          </w:p>
        </w:tc>
      </w:tr>
    </w:tbl>
    <w:p w:rsidR="009A4D9B" w:rsidP="007714A0">
      <w:pPr>
        <w:pStyle w:val="BodyText"/>
      </w:pPr>
    </w:p>
    <w:p w:rsidR="009A4D9B" w:rsidP="007714A0">
      <w:pPr>
        <w:pStyle w:val="BodyText"/>
      </w:pPr>
    </w:p>
    <w:p w:rsidR="00000000" w:rsidRPr="007714A0" w:rsidP="007714A0">
      <w:pPr>
        <w:pStyle w:val="Heading1"/>
      </w:pPr>
      <w:bookmarkStart w:id="10" w:name="O_247107"/>
      <w:bookmarkEnd w:id="10"/>
      <w:r w:rsidRPr="007714A0">
        <w:t>Evidence Guide</w:t>
      </w:r>
    </w:p>
    <w:tbl>
      <w:tblPr>
        <w:tblW w:w="9499" w:type="dxa"/>
        <w:tblLayout w:type="fixed"/>
        <w:tblCellMar>
          <w:left w:w="62" w:type="dxa"/>
          <w:right w:w="62" w:type="dxa"/>
        </w:tblCellMar>
        <w:tblLook w:val="0000"/>
      </w:tblPr>
      <w:tblGrid>
        <w:gridCol w:w="3524"/>
        <w:gridCol w:w="5975"/>
      </w:tblGrid>
      <w:tr w:rsidTr="009A4D9B">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7714A0">
            <w:pPr>
              <w:pStyle w:val="BodyText"/>
              <w:rPr>
                <w:lang w:val="en-NZ"/>
              </w:rPr>
            </w:pPr>
            <w:r w:rsidRPr="007714A0">
              <w:rPr>
                <w:rStyle w:val="SpecialBold"/>
              </w:rPr>
              <w:t>EVIDENCE GUIDE</w:t>
            </w:r>
          </w:p>
        </w:tc>
      </w:tr>
      <w:tr w:rsidTr="009A4D9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7714A0">
            <w:pPr>
              <w:pStyle w:val="BodyText"/>
              <w:rPr>
                <w:lang w:val="en-NZ"/>
              </w:rPr>
            </w:pPr>
            <w:r w:rsidRPr="007714A0">
              <w:t>The evidence guide provides advice on assessment and must be read in conjunction with the performance criteria, required knowledge and skills, the range statement and the assessment guidelines for this Training Package.</w:t>
            </w:r>
          </w:p>
        </w:tc>
      </w:tr>
      <w:tr w:rsidTr="009A4D9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714A0">
            <w:pPr>
              <w:pStyle w:val="BodyText"/>
              <w:rPr>
                <w:lang w:val="en-NZ"/>
              </w:rPr>
            </w:pPr>
            <w:r w:rsidRPr="007714A0">
              <w:rPr>
                <w:rStyle w:val="SpecialBold"/>
              </w:rPr>
              <w:t>Critical aspects for assessment an</w:t>
            </w:r>
            <w:r w:rsidRPr="007714A0">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7714A0" w:rsidP="007714A0">
            <w:pPr>
              <w:pStyle w:val="ListBullet"/>
            </w:pPr>
            <w:r w:rsidRPr="007714A0">
              <w:t>Assessment must confirm the ability to:</w:t>
            </w:r>
          </w:p>
          <w:p w:rsidR="00000000" w:rsidRPr="007714A0" w:rsidP="007714A0">
            <w:pPr>
              <w:pStyle w:val="ListBullet2"/>
            </w:pPr>
            <w:r w:rsidRPr="007714A0">
              <w:t>apply relevant implementation processes</w:t>
            </w:r>
          </w:p>
          <w:p w:rsidR="00000000" w:rsidRPr="007714A0" w:rsidP="007714A0">
            <w:pPr>
              <w:pStyle w:val="ListBullet2"/>
            </w:pPr>
            <w:r w:rsidRPr="007714A0">
              <w:t>monitor and report on implementation processes</w:t>
            </w:r>
          </w:p>
          <w:p w:rsidR="00000000" w:rsidRPr="007714A0" w:rsidP="007714A0">
            <w:pPr>
              <w:pStyle w:val="ListBullet2"/>
            </w:pPr>
            <w:r w:rsidRPr="007714A0">
              <w:t>analyse data and information</w:t>
            </w:r>
          </w:p>
          <w:p w:rsidR="00000000" w:rsidRPr="007714A0" w:rsidP="007714A0">
            <w:pPr>
              <w:pStyle w:val="ListBullet2"/>
            </w:pPr>
            <w:r w:rsidRPr="007714A0">
              <w:t>apply knowledge of technical data and information plans to assist in work and to guide problem solving</w:t>
            </w:r>
          </w:p>
          <w:p w:rsidR="00000000" w:rsidRPr="007714A0" w:rsidP="007714A0">
            <w:pPr>
              <w:pStyle w:val="ListBullet2"/>
            </w:pPr>
            <w:r w:rsidRPr="007714A0">
              <w:t>demonstrate understanding of personal role in relation to wider organisational or project context</w:t>
            </w:r>
          </w:p>
          <w:p w:rsidR="00000000" w:rsidP="007714A0">
            <w:pPr>
              <w:pStyle w:val="ListBullet"/>
              <w:rPr>
                <w:lang w:val="en-NZ"/>
              </w:rPr>
            </w:pPr>
            <w:r w:rsidRPr="007714A0">
              <w:t>Competency should be demonstrated over time and should</w:t>
            </w:r>
            <w:r w:rsidRPr="007714A0">
              <w:t xml:space="preserve"> be observed in a range of actual or simulated work contexts</w:t>
            </w:r>
          </w:p>
        </w:tc>
      </w:tr>
      <w:tr w:rsidTr="009A4D9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714A0">
            <w:pPr>
              <w:pStyle w:val="BodyText"/>
              <w:rPr>
                <w:lang w:val="en-NZ"/>
              </w:rPr>
            </w:pPr>
            <w:r w:rsidRPr="007714A0">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7714A0" w:rsidP="007714A0">
            <w:pPr>
              <w:pStyle w:val="ListBullet"/>
            </w:pPr>
            <w:r w:rsidRPr="007714A0">
              <w:t>Competency should be assessed in the workplace or in a simulated workplace environment</w:t>
            </w:r>
          </w:p>
          <w:p w:rsidR="00000000" w:rsidRPr="007714A0" w:rsidP="007714A0">
            <w:pPr>
              <w:pStyle w:val="ListBullet"/>
            </w:pPr>
            <w:r w:rsidRPr="007714A0">
              <w:t>Access is required to:</w:t>
            </w:r>
          </w:p>
          <w:p w:rsidR="00000000" w:rsidRPr="007714A0" w:rsidP="007714A0">
            <w:pPr>
              <w:pStyle w:val="ListBullet2"/>
            </w:pPr>
            <w:r w:rsidRPr="007714A0">
              <w:t>computer and relevant software</w:t>
            </w:r>
          </w:p>
          <w:p w:rsidR="00000000" w:rsidRPr="007714A0" w:rsidP="007714A0">
            <w:pPr>
              <w:pStyle w:val="ListBullet2"/>
            </w:pPr>
            <w:r w:rsidRPr="007714A0">
              <w:t>legislation, guidelines, procedures and protocols relating to technical data and information systems</w:t>
            </w:r>
          </w:p>
          <w:p w:rsidR="00000000" w:rsidRPr="007714A0" w:rsidP="007714A0">
            <w:pPr>
              <w:pStyle w:val="ListBullet2"/>
            </w:pPr>
            <w:r w:rsidRPr="007714A0">
              <w:t>plans</w:t>
            </w:r>
          </w:p>
          <w:p w:rsidR="00000000" w:rsidP="007714A0">
            <w:pPr>
              <w:pStyle w:val="ListBullet2"/>
              <w:rPr>
                <w:lang w:val="en-NZ"/>
              </w:rPr>
            </w:pPr>
            <w:r w:rsidRPr="007714A0">
              <w:t>workplace documentation</w:t>
            </w:r>
          </w:p>
        </w:tc>
      </w:tr>
      <w:tr w:rsidTr="009A4D9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714A0">
            <w:pPr>
              <w:pStyle w:val="BodyText"/>
              <w:rPr>
                <w:lang w:val="en-NZ"/>
              </w:rPr>
            </w:pPr>
            <w:r w:rsidRPr="007714A0">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7714A0" w:rsidP="007714A0">
            <w:pPr>
              <w:pStyle w:val="ListBullet"/>
            </w:pPr>
            <w:r w:rsidRPr="007714A0">
              <w:t>Assessment of this unit must be undertaken by a registered training organisation</w:t>
            </w:r>
          </w:p>
          <w:p w:rsidR="00000000" w:rsidRPr="007714A0" w:rsidP="007714A0">
            <w:pPr>
              <w:pStyle w:val="ListBullet"/>
            </w:pPr>
            <w:r w:rsidRPr="007714A0">
              <w:t>Where possible, assessment should be supported by questions to assess required knowledge. Questioning techniques should suit the language and literacy levels of the candidate</w:t>
            </w:r>
          </w:p>
          <w:p w:rsidR="00000000" w:rsidRPr="007714A0" w:rsidP="007714A0">
            <w:pPr>
              <w:pStyle w:val="ListBullet"/>
            </w:pPr>
            <w:r w:rsidRPr="007714A0">
              <w:t>Assessment methods should reflect workplace demands such as literacy and the need</w:t>
            </w:r>
            <w:r w:rsidRPr="007714A0">
              <w:t>s of particular groups</w:t>
            </w:r>
          </w:p>
          <w:p w:rsidR="00000000" w:rsidRPr="007714A0" w:rsidP="007714A0">
            <w:pPr>
              <w:pStyle w:val="ListBullet"/>
            </w:pPr>
            <w:r w:rsidRPr="007714A0">
              <w:t>Assessment methods suitable for valid and reliable assessment of this competency may include, but are not limited to, a combination of:</w:t>
            </w:r>
          </w:p>
          <w:p w:rsidR="00000000" w:rsidRPr="007714A0" w:rsidP="007714A0">
            <w:pPr>
              <w:pStyle w:val="ListBullet2"/>
            </w:pPr>
            <w:r w:rsidRPr="007714A0">
              <w:t>authenticated evidence from the workplace and/or training programs</w:t>
            </w:r>
          </w:p>
          <w:p w:rsidR="00000000" w:rsidRPr="007714A0" w:rsidP="007714A0">
            <w:pPr>
              <w:pStyle w:val="ListBullet2"/>
            </w:pPr>
            <w:r w:rsidRPr="007714A0">
              <w:t>case studies</w:t>
            </w:r>
          </w:p>
          <w:p w:rsidR="00000000" w:rsidRPr="007714A0" w:rsidP="007714A0">
            <w:pPr>
              <w:pStyle w:val="ListBullet2"/>
            </w:pPr>
            <w:r w:rsidRPr="007714A0">
              <w:t>demonstration</w:t>
            </w:r>
          </w:p>
          <w:p w:rsidR="00000000" w:rsidRPr="007714A0" w:rsidP="007714A0">
            <w:pPr>
              <w:pStyle w:val="ListBullet2"/>
            </w:pPr>
            <w:r w:rsidRPr="007714A0">
              <w:t>feedback from supervisors and peers regarding the candidate's ability</w:t>
            </w:r>
          </w:p>
          <w:p w:rsidR="00000000" w:rsidRPr="007714A0" w:rsidP="007714A0">
            <w:pPr>
              <w:pStyle w:val="ListBullet2"/>
            </w:pPr>
            <w:r w:rsidRPr="007714A0">
              <w:t>observation</w:t>
            </w:r>
          </w:p>
          <w:p w:rsidR="00000000" w:rsidRPr="007714A0" w:rsidP="007714A0">
            <w:pPr>
              <w:pStyle w:val="ListBullet2"/>
            </w:pPr>
            <w:r w:rsidRPr="007714A0">
              <w:t>portfolios</w:t>
            </w:r>
          </w:p>
          <w:p w:rsidR="00000000" w:rsidRPr="007714A0" w:rsidP="007714A0">
            <w:pPr>
              <w:pStyle w:val="ListBullet2"/>
            </w:pPr>
            <w:r w:rsidRPr="007714A0">
              <w:t>projects</w:t>
            </w:r>
          </w:p>
          <w:p w:rsidR="00000000" w:rsidRPr="007714A0" w:rsidP="007714A0">
            <w:pPr>
              <w:pStyle w:val="ListBullet2"/>
            </w:pPr>
            <w:r w:rsidRPr="007714A0">
              <w:t>questioning</w:t>
            </w:r>
          </w:p>
          <w:p w:rsidR="00000000" w:rsidRPr="007714A0" w:rsidP="007714A0">
            <w:pPr>
              <w:pStyle w:val="ListBullet2"/>
            </w:pPr>
            <w:r w:rsidRPr="007714A0">
              <w:t>reviews or reports prepared by the candidate</w:t>
            </w:r>
          </w:p>
          <w:p w:rsidR="00000000" w:rsidRPr="007714A0" w:rsidP="007714A0">
            <w:pPr>
              <w:pStyle w:val="ListBullet2"/>
            </w:pPr>
            <w:r w:rsidRPr="007714A0">
              <w:t>scenarios</w:t>
            </w:r>
          </w:p>
          <w:p w:rsidR="00000000" w:rsidRPr="007714A0" w:rsidP="007714A0">
            <w:pPr>
              <w:pStyle w:val="ListBullet2"/>
            </w:pPr>
            <w:r w:rsidRPr="007714A0">
              <w:t>simulation or role plays</w:t>
            </w:r>
          </w:p>
        </w:tc>
      </w:tr>
    </w:tbl>
    <w:p w:rsidR="009A4D9B" w:rsidP="007714A0">
      <w:pPr>
        <w:pStyle w:val="BodyText"/>
      </w:pPr>
    </w:p>
    <w:p w:rsidR="009A4D9B" w:rsidP="007714A0">
      <w:pPr>
        <w:pStyle w:val="BodyText"/>
      </w:pPr>
    </w:p>
    <w:p w:rsidR="00000000" w:rsidRPr="007714A0" w:rsidP="007714A0">
      <w:pPr>
        <w:pStyle w:val="Heading1"/>
      </w:pPr>
      <w:bookmarkStart w:id="11" w:name="O_255090"/>
      <w:bookmarkEnd w:id="11"/>
      <w:r w:rsidRPr="007714A0">
        <w:t>Range Statement</w:t>
      </w:r>
    </w:p>
    <w:tbl>
      <w:tblPr>
        <w:tblW w:w="9640" w:type="dxa"/>
        <w:tblLayout w:type="fixed"/>
        <w:tblCellMar>
          <w:left w:w="62" w:type="dxa"/>
          <w:right w:w="62" w:type="dxa"/>
        </w:tblCellMar>
        <w:tblLook w:val="0000"/>
      </w:tblPr>
      <w:tblGrid>
        <w:gridCol w:w="3486"/>
        <w:gridCol w:w="6154"/>
      </w:tblGrid>
      <w:tr w:rsidTr="009A4D9B">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7714A0">
            <w:pPr>
              <w:pStyle w:val="BodyText"/>
              <w:rPr>
                <w:lang w:val="en-NZ"/>
              </w:rPr>
            </w:pPr>
            <w:r w:rsidRPr="007714A0">
              <w:rPr>
                <w:rStyle w:val="SpecialBold"/>
              </w:rPr>
              <w:t>RANGE STATEMENT</w:t>
            </w:r>
            <w:r w:rsidRPr="007714A0">
              <w:t xml:space="preserve"> </w:t>
            </w:r>
          </w:p>
        </w:tc>
      </w:tr>
      <w:tr w:rsidTr="009A4D9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714A0">
            <w:pPr>
              <w:pStyle w:val="BodyText"/>
              <w:rPr>
                <w:lang w:val="en-NZ"/>
              </w:rPr>
            </w:pPr>
            <w:r w:rsidRPr="007714A0">
              <w:t>The range statement relates to the unit of competency as a whole. It allows for different work environments and situations that may affect performance.</w:t>
            </w:r>
          </w:p>
        </w:tc>
      </w:tr>
      <w:tr w:rsidTr="009A4D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14A0">
            <w:pPr>
              <w:pStyle w:val="BodyText"/>
              <w:rPr>
                <w:lang w:val="en-NZ"/>
              </w:rPr>
            </w:pPr>
            <w:r w:rsidRPr="007714A0">
              <w:t>Technical data and information may be:</w:t>
            </w:r>
          </w:p>
        </w:tc>
        <w:tc>
          <w:tcPr>
            <w:tcW w:w="6154" w:type="dxa"/>
            <w:tcBorders>
              <w:top w:val="nil"/>
              <w:left w:val="nil"/>
              <w:bottom w:val="nil"/>
              <w:right w:val="nil"/>
            </w:tcBorders>
            <w:tcMar>
              <w:top w:w="0" w:type="dxa"/>
              <w:left w:w="62" w:type="dxa"/>
              <w:bottom w:w="0" w:type="dxa"/>
              <w:right w:w="62" w:type="dxa"/>
            </w:tcMar>
          </w:tcPr>
          <w:p w:rsidR="00000000" w:rsidRPr="007714A0" w:rsidP="007714A0">
            <w:pPr>
              <w:pStyle w:val="ListBullet"/>
            </w:pPr>
            <w:r w:rsidRPr="007714A0">
              <w:t>as specified and defined in the technical regulatory framework</w:t>
            </w:r>
          </w:p>
          <w:p w:rsidR="00000000" w:rsidP="007714A0">
            <w:pPr>
              <w:pStyle w:val="ListBullet"/>
              <w:rPr>
                <w:lang w:val="en-NZ"/>
              </w:rPr>
            </w:pPr>
            <w:r w:rsidRPr="007714A0">
              <w:t>included either explicitly or implicitly in the established system framework</w:t>
            </w:r>
          </w:p>
        </w:tc>
      </w:tr>
      <w:tr w:rsidTr="009A4D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14A0">
            <w:pPr>
              <w:pStyle w:val="BodyText"/>
              <w:rPr>
                <w:lang w:val="en-NZ"/>
              </w:rPr>
            </w:pPr>
            <w:r w:rsidRPr="007714A0">
              <w:t>Approved system framework:</w:t>
            </w:r>
          </w:p>
        </w:tc>
        <w:tc>
          <w:tcPr>
            <w:tcW w:w="6154" w:type="dxa"/>
            <w:tcBorders>
              <w:top w:val="nil"/>
              <w:left w:val="nil"/>
              <w:bottom w:val="nil"/>
              <w:right w:val="nil"/>
            </w:tcBorders>
            <w:tcMar>
              <w:top w:w="0" w:type="dxa"/>
              <w:left w:w="62" w:type="dxa"/>
              <w:bottom w:w="0" w:type="dxa"/>
              <w:right w:w="62" w:type="dxa"/>
            </w:tcMar>
          </w:tcPr>
          <w:p w:rsidR="00000000" w:rsidRPr="007714A0" w:rsidP="007714A0">
            <w:pPr>
              <w:pStyle w:val="ListBullet"/>
            </w:pPr>
            <w:r w:rsidRPr="007714A0">
              <w:t>is established by an approved authority and issued as the basis of all technical data and information management</w:t>
            </w:r>
          </w:p>
          <w:p w:rsidR="00000000" w:rsidRPr="007714A0" w:rsidP="007714A0">
            <w:pPr>
              <w:pStyle w:val="ListBullet"/>
            </w:pPr>
            <w:r w:rsidRPr="007714A0">
              <w:t>contains:</w:t>
            </w:r>
          </w:p>
          <w:p w:rsidR="00000000" w:rsidRPr="007714A0" w:rsidP="007714A0">
            <w:pPr>
              <w:pStyle w:val="ListBullet2"/>
            </w:pPr>
            <w:r w:rsidRPr="007714A0">
              <w:t>high level accountability and functional responsibilities</w:t>
            </w:r>
          </w:p>
          <w:p w:rsidR="00000000" w:rsidRPr="007714A0" w:rsidP="007714A0">
            <w:pPr>
              <w:pStyle w:val="ListBullet2"/>
            </w:pPr>
            <w:r w:rsidRPr="007714A0">
              <w:t>high level control/management requirements and protocols</w:t>
            </w:r>
          </w:p>
          <w:p w:rsidR="00000000" w:rsidRPr="007714A0" w:rsidP="007714A0">
            <w:pPr>
              <w:pStyle w:val="ListBullet2"/>
            </w:pPr>
            <w:r w:rsidRPr="007714A0">
              <w:t>key aspects of technical regulatory framework</w:t>
            </w:r>
          </w:p>
          <w:p w:rsidR="00000000" w:rsidRPr="007714A0" w:rsidP="007714A0">
            <w:pPr>
              <w:pStyle w:val="ListBullet2"/>
            </w:pPr>
            <w:r w:rsidRPr="007714A0">
              <w:t>outline of the s</w:t>
            </w:r>
            <w:r w:rsidRPr="007714A0">
              <w:t>tructuring rules for repositories, cataloguing systems, security access systems, processes and software</w:t>
            </w:r>
          </w:p>
          <w:p w:rsidR="00000000" w:rsidRPr="007714A0" w:rsidP="007714A0">
            <w:pPr>
              <w:pStyle w:val="ListBullet2"/>
            </w:pPr>
            <w:r w:rsidRPr="007714A0">
              <w:t>protocols on functionality, maintainability and growth</w:t>
            </w:r>
          </w:p>
          <w:p w:rsidR="00000000" w:rsidRPr="007714A0" w:rsidP="007714A0">
            <w:pPr>
              <w:pStyle w:val="ListBullet2"/>
            </w:pPr>
            <w:r w:rsidRPr="007714A0">
              <w:t>technical context</w:t>
            </w:r>
          </w:p>
          <w:p w:rsidR="00000000" w:rsidP="007714A0">
            <w:pPr>
              <w:pStyle w:val="ListBullet2"/>
              <w:rPr>
                <w:lang w:val="en-NZ"/>
              </w:rPr>
            </w:pPr>
            <w:r w:rsidRPr="007714A0">
              <w:t>technologies/standards</w:t>
            </w:r>
          </w:p>
        </w:tc>
      </w:tr>
      <w:tr w:rsidTr="009A4D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14A0">
            <w:pPr>
              <w:pStyle w:val="BodyText"/>
              <w:rPr>
                <w:lang w:val="en-NZ"/>
              </w:rPr>
            </w:pPr>
            <w:r w:rsidRPr="007714A0">
              <w:t>Rules may include:</w:t>
            </w:r>
          </w:p>
        </w:tc>
        <w:tc>
          <w:tcPr>
            <w:tcW w:w="6154" w:type="dxa"/>
            <w:tcBorders>
              <w:top w:val="nil"/>
              <w:left w:val="nil"/>
              <w:bottom w:val="nil"/>
              <w:right w:val="nil"/>
            </w:tcBorders>
            <w:tcMar>
              <w:top w:w="0" w:type="dxa"/>
              <w:left w:w="62" w:type="dxa"/>
              <w:bottom w:w="0" w:type="dxa"/>
              <w:right w:w="62" w:type="dxa"/>
            </w:tcMar>
          </w:tcPr>
          <w:p w:rsidR="00000000" w:rsidRPr="007714A0" w:rsidP="007714A0">
            <w:pPr>
              <w:pStyle w:val="ListBullet"/>
            </w:pPr>
            <w:r w:rsidRPr="007714A0">
              <w:t>allocating access/security status</w:t>
            </w:r>
          </w:p>
          <w:p w:rsidR="00000000" w:rsidRPr="007714A0" w:rsidP="007714A0">
            <w:pPr>
              <w:pStyle w:val="ListBullet"/>
            </w:pPr>
            <w:r w:rsidRPr="007714A0">
              <w:t>capturing structural and contextual metadata</w:t>
            </w:r>
          </w:p>
          <w:p w:rsidR="00000000" w:rsidRPr="007714A0" w:rsidP="007714A0">
            <w:pPr>
              <w:pStyle w:val="ListBullet"/>
            </w:pPr>
            <w:r w:rsidRPr="007714A0">
              <w:t>classifying and indexing items</w:t>
            </w:r>
          </w:p>
          <w:p w:rsidR="00000000" w:rsidRPr="007714A0" w:rsidP="007714A0">
            <w:pPr>
              <w:pStyle w:val="ListBullet"/>
            </w:pPr>
            <w:r w:rsidRPr="007714A0">
              <w:t>generating and allocating unique identifiers to data items</w:t>
            </w:r>
          </w:p>
          <w:p w:rsidR="00000000" w:rsidRPr="007714A0" w:rsidP="007714A0">
            <w:pPr>
              <w:pStyle w:val="ListBullet"/>
            </w:pPr>
            <w:r w:rsidRPr="007714A0">
              <w:t>identifying and recording disposal status items</w:t>
            </w:r>
          </w:p>
          <w:p w:rsidR="00000000" w:rsidRPr="007714A0" w:rsidP="007714A0">
            <w:pPr>
              <w:pStyle w:val="ListBullet"/>
            </w:pPr>
            <w:r w:rsidRPr="007714A0">
              <w:t>identifying technical data and information creators</w:t>
            </w:r>
          </w:p>
          <w:p w:rsidR="00000000" w:rsidRPr="007714A0" w:rsidP="007714A0">
            <w:pPr>
              <w:pStyle w:val="ListBullet"/>
            </w:pPr>
            <w:r w:rsidRPr="007714A0">
              <w:t>links between technic</w:t>
            </w:r>
            <w:r w:rsidRPr="007714A0">
              <w:t>al data and information items</w:t>
            </w:r>
          </w:p>
          <w:p w:rsidR="00000000" w:rsidRPr="007714A0" w:rsidP="007714A0">
            <w:pPr>
              <w:pStyle w:val="ListBullet"/>
            </w:pPr>
            <w:r w:rsidRPr="007714A0">
              <w:t>locating and tracking items</w:t>
            </w:r>
          </w:p>
          <w:p w:rsidR="00000000" w:rsidRPr="007714A0" w:rsidP="007714A0">
            <w:pPr>
              <w:pStyle w:val="ListBullet"/>
            </w:pPr>
            <w:r w:rsidRPr="007714A0">
              <w:t>naming/titling items</w:t>
            </w:r>
          </w:p>
          <w:p w:rsidR="00000000" w:rsidRPr="007714A0" w:rsidP="007714A0">
            <w:pPr>
              <w:pStyle w:val="ListBullet"/>
            </w:pPr>
            <w:r w:rsidRPr="007714A0">
              <w:t>negotiating transfer of custody or ownership</w:t>
            </w:r>
          </w:p>
          <w:p w:rsidR="00000000" w:rsidP="007714A0">
            <w:pPr>
              <w:pStyle w:val="ListBullet"/>
              <w:rPr>
                <w:lang w:val="en-NZ"/>
              </w:rPr>
            </w:pPr>
            <w:r w:rsidRPr="007714A0">
              <w:t>recording the use of history of items</w:t>
            </w:r>
          </w:p>
        </w:tc>
      </w:tr>
      <w:tr w:rsidTr="009A4D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14A0">
            <w:pPr>
              <w:pStyle w:val="BodyText"/>
              <w:rPr>
                <w:lang w:val="en-NZ"/>
              </w:rPr>
            </w:pPr>
            <w:r w:rsidRPr="007714A0">
              <w:t>Measurable performance indicators may include:</w:t>
            </w:r>
          </w:p>
        </w:tc>
        <w:tc>
          <w:tcPr>
            <w:tcW w:w="6154" w:type="dxa"/>
            <w:tcBorders>
              <w:top w:val="nil"/>
              <w:left w:val="nil"/>
              <w:bottom w:val="nil"/>
              <w:right w:val="nil"/>
            </w:tcBorders>
            <w:tcMar>
              <w:top w:w="0" w:type="dxa"/>
              <w:left w:w="62" w:type="dxa"/>
              <w:bottom w:w="0" w:type="dxa"/>
              <w:right w:w="62" w:type="dxa"/>
            </w:tcMar>
          </w:tcPr>
          <w:p w:rsidR="00000000" w:rsidRPr="007714A0" w:rsidP="007714A0">
            <w:pPr>
              <w:pStyle w:val="ListBullet"/>
            </w:pPr>
            <w:r w:rsidRPr="007714A0">
              <w:t>those developed for specific tasks</w:t>
            </w:r>
          </w:p>
          <w:p w:rsidR="00000000" w:rsidRPr="007714A0" w:rsidP="007714A0">
            <w:pPr>
              <w:pStyle w:val="ListBullet"/>
            </w:pPr>
            <w:r w:rsidRPr="007714A0">
              <w:t>those inco</w:t>
            </w:r>
            <w:r w:rsidRPr="007714A0">
              <w:t>rporated in the data management system</w:t>
            </w:r>
          </w:p>
          <w:p w:rsidR="00000000" w:rsidRPr="007714A0" w:rsidP="007714A0">
            <w:pPr>
              <w:pStyle w:val="ListBullet"/>
            </w:pPr>
            <w:r w:rsidRPr="007714A0">
              <w:t>performance indicators that relate to:</w:t>
            </w:r>
          </w:p>
          <w:p w:rsidR="00000000" w:rsidRPr="007714A0" w:rsidP="007714A0">
            <w:pPr>
              <w:pStyle w:val="ListBullet2"/>
            </w:pPr>
            <w:r w:rsidRPr="007714A0">
              <w:t>disposal (percentage of data, unsentenced data, overdue for disposal action, functions/data not covered by disposal schedules)</w:t>
            </w:r>
          </w:p>
          <w:p w:rsidR="00000000" w:rsidRPr="007714A0" w:rsidP="007714A0">
            <w:pPr>
              <w:pStyle w:val="ListBullet2"/>
            </w:pPr>
            <w:r w:rsidRPr="007714A0">
              <w:t>parameters for tracking of technical data and information</w:t>
            </w:r>
          </w:p>
          <w:p w:rsidR="00000000" w:rsidP="007714A0">
            <w:pPr>
              <w:pStyle w:val="ListBullet2"/>
              <w:rPr>
                <w:lang w:val="en-NZ"/>
              </w:rPr>
            </w:pPr>
            <w:r w:rsidRPr="007714A0">
              <w:t>retrieval and access (security and access rules, response to request time limits, service levels for requests)</w:t>
            </w:r>
          </w:p>
        </w:tc>
      </w:tr>
      <w:tr w:rsidTr="009A4D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14A0">
            <w:pPr>
              <w:pStyle w:val="BodyText"/>
              <w:rPr>
                <w:lang w:val="en-NZ"/>
              </w:rPr>
            </w:pPr>
            <w:r w:rsidRPr="007714A0">
              <w:t>Data management responsibilities may include:</w:t>
            </w:r>
          </w:p>
        </w:tc>
        <w:tc>
          <w:tcPr>
            <w:tcW w:w="6154" w:type="dxa"/>
            <w:tcBorders>
              <w:top w:val="nil"/>
              <w:left w:val="nil"/>
              <w:bottom w:val="nil"/>
              <w:right w:val="nil"/>
            </w:tcBorders>
            <w:tcMar>
              <w:top w:w="0" w:type="dxa"/>
              <w:left w:w="62" w:type="dxa"/>
              <w:bottom w:w="0" w:type="dxa"/>
              <w:right w:w="62" w:type="dxa"/>
            </w:tcMar>
          </w:tcPr>
          <w:p w:rsidR="00000000" w:rsidRPr="007714A0" w:rsidP="007714A0">
            <w:pPr>
              <w:pStyle w:val="ListBullet"/>
            </w:pPr>
            <w:r w:rsidRPr="007714A0">
              <w:t>established systems framework</w:t>
            </w:r>
          </w:p>
          <w:p w:rsidR="00000000" w:rsidRPr="007714A0" w:rsidP="007714A0">
            <w:pPr>
              <w:pStyle w:val="ListBullet"/>
            </w:pPr>
            <w:r w:rsidRPr="007714A0">
              <w:t>organisation's responsibility and accountability analysis</w:t>
            </w:r>
          </w:p>
          <w:p w:rsidR="00000000" w:rsidP="007714A0">
            <w:pPr>
              <w:pStyle w:val="ListBullet"/>
              <w:rPr>
                <w:lang w:val="en-NZ"/>
              </w:rPr>
            </w:pPr>
            <w:r w:rsidRPr="007714A0">
              <w:t>system's rules, standards and procedures</w:t>
            </w:r>
          </w:p>
        </w:tc>
      </w:tr>
      <w:tr w:rsidTr="009A4D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14A0">
            <w:pPr>
              <w:pStyle w:val="BodyText"/>
              <w:rPr>
                <w:lang w:val="en-NZ"/>
              </w:rPr>
            </w:pPr>
            <w:r w:rsidRPr="007714A0">
              <w:t>Identified and documented may include:</w:t>
            </w:r>
          </w:p>
        </w:tc>
        <w:tc>
          <w:tcPr>
            <w:tcW w:w="6154" w:type="dxa"/>
            <w:tcBorders>
              <w:top w:val="nil"/>
              <w:left w:val="nil"/>
              <w:bottom w:val="nil"/>
              <w:right w:val="nil"/>
            </w:tcBorders>
            <w:tcMar>
              <w:top w:w="0" w:type="dxa"/>
              <w:left w:w="62" w:type="dxa"/>
              <w:bottom w:w="0" w:type="dxa"/>
              <w:right w:w="62" w:type="dxa"/>
            </w:tcMar>
          </w:tcPr>
          <w:p w:rsidR="00000000" w:rsidRPr="007714A0" w:rsidP="007714A0">
            <w:pPr>
              <w:pStyle w:val="ListBullet"/>
            </w:pPr>
            <w:r w:rsidRPr="007714A0">
              <w:t>established systems framework</w:t>
            </w:r>
          </w:p>
          <w:p w:rsidR="00000000" w:rsidRPr="007714A0" w:rsidP="007714A0">
            <w:pPr>
              <w:pStyle w:val="ListBullet"/>
            </w:pPr>
            <w:r w:rsidRPr="007714A0">
              <w:t>organisation's responsibility and accountability analysis</w:t>
            </w:r>
          </w:p>
          <w:p w:rsidR="00000000" w:rsidP="007714A0">
            <w:pPr>
              <w:pStyle w:val="ListBullet"/>
              <w:rPr>
                <w:lang w:val="en-NZ"/>
              </w:rPr>
            </w:pPr>
            <w:r w:rsidRPr="007714A0">
              <w:t>system's rules, standards an</w:t>
            </w:r>
            <w:r w:rsidRPr="007714A0">
              <w:t>d procedures</w:t>
            </w:r>
          </w:p>
        </w:tc>
      </w:tr>
      <w:tr w:rsidTr="009A4D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14A0">
            <w:pPr>
              <w:pStyle w:val="BodyText"/>
              <w:rPr>
                <w:lang w:val="en-NZ"/>
              </w:rPr>
            </w:pPr>
            <w:r w:rsidRPr="007714A0">
              <w:t>Means of surveillance may include:</w:t>
            </w:r>
          </w:p>
        </w:tc>
        <w:tc>
          <w:tcPr>
            <w:tcW w:w="6154" w:type="dxa"/>
            <w:tcBorders>
              <w:top w:val="nil"/>
              <w:left w:val="nil"/>
              <w:bottom w:val="nil"/>
              <w:right w:val="nil"/>
            </w:tcBorders>
            <w:tcMar>
              <w:top w:w="0" w:type="dxa"/>
              <w:left w:w="62" w:type="dxa"/>
              <w:bottom w:w="0" w:type="dxa"/>
              <w:right w:w="62" w:type="dxa"/>
            </w:tcMar>
          </w:tcPr>
          <w:p w:rsidR="00000000" w:rsidRPr="007714A0" w:rsidP="007714A0">
            <w:pPr>
              <w:pStyle w:val="ListBullet"/>
            </w:pPr>
            <w:r w:rsidRPr="007714A0">
              <w:t>examination of results (technical data and information)</w:t>
            </w:r>
          </w:p>
          <w:p w:rsidR="00000000" w:rsidRPr="007714A0" w:rsidP="007714A0">
            <w:pPr>
              <w:pStyle w:val="ListBullet"/>
            </w:pPr>
            <w:r w:rsidRPr="007714A0">
              <w:t>form/s of reporting</w:t>
            </w:r>
          </w:p>
          <w:p w:rsidR="00000000" w:rsidRPr="007714A0" w:rsidP="007714A0">
            <w:pPr>
              <w:pStyle w:val="ListBullet"/>
            </w:pPr>
            <w:r w:rsidRPr="007714A0">
              <w:t>real-time observation (security of process)</w:t>
            </w:r>
          </w:p>
          <w:p w:rsidR="00000000" w:rsidRPr="007714A0" w:rsidP="007714A0">
            <w:pPr>
              <w:pStyle w:val="ListBullet"/>
            </w:pPr>
            <w:r w:rsidRPr="007714A0">
              <w:t>statistical reports</w:t>
            </w:r>
          </w:p>
          <w:p w:rsidR="00000000" w:rsidP="007714A0">
            <w:pPr>
              <w:pStyle w:val="ListBullet"/>
              <w:rPr>
                <w:lang w:val="en-NZ"/>
              </w:rPr>
            </w:pPr>
            <w:r w:rsidRPr="007714A0">
              <w:t>selected snapshots of the system</w:t>
            </w:r>
          </w:p>
        </w:tc>
      </w:tr>
      <w:tr w:rsidTr="009A4D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14A0">
            <w:pPr>
              <w:pStyle w:val="BodyText"/>
              <w:rPr>
                <w:lang w:val="en-NZ"/>
              </w:rPr>
            </w:pPr>
            <w:r w:rsidRPr="007714A0">
              <w:t>Appropriate authority may include:</w:t>
            </w:r>
          </w:p>
        </w:tc>
        <w:tc>
          <w:tcPr>
            <w:tcW w:w="6154" w:type="dxa"/>
            <w:tcBorders>
              <w:top w:val="nil"/>
              <w:left w:val="nil"/>
              <w:bottom w:val="nil"/>
              <w:right w:val="nil"/>
            </w:tcBorders>
            <w:tcMar>
              <w:top w:w="0" w:type="dxa"/>
              <w:left w:w="62" w:type="dxa"/>
              <w:bottom w:w="0" w:type="dxa"/>
              <w:right w:w="62" w:type="dxa"/>
            </w:tcMar>
          </w:tcPr>
          <w:p w:rsidR="00000000" w:rsidRPr="007714A0" w:rsidP="007714A0">
            <w:pPr>
              <w:pStyle w:val="ListBullet"/>
            </w:pPr>
            <w:r w:rsidRPr="007714A0">
              <w:t>chief executive officer</w:t>
            </w:r>
          </w:p>
          <w:p w:rsidR="00000000" w:rsidRPr="007714A0" w:rsidP="007714A0">
            <w:pPr>
              <w:pStyle w:val="ListBullet"/>
            </w:pPr>
            <w:r w:rsidRPr="007714A0">
              <w:t>delegated individual</w:t>
            </w:r>
          </w:p>
          <w:p w:rsidR="00000000" w:rsidRPr="007714A0" w:rsidP="007714A0">
            <w:pPr>
              <w:pStyle w:val="ListBullet"/>
            </w:pPr>
            <w:r w:rsidRPr="007714A0">
              <w:t>external public authority</w:t>
            </w:r>
          </w:p>
          <w:p w:rsidR="00000000" w:rsidRPr="007714A0" w:rsidP="007714A0">
            <w:pPr>
              <w:pStyle w:val="ListBullet"/>
            </w:pPr>
            <w:r w:rsidRPr="007714A0">
              <w:t>nominated senior management representative</w:t>
            </w:r>
          </w:p>
          <w:p w:rsidR="00000000" w:rsidRPr="007714A0" w:rsidP="007714A0">
            <w:pPr>
              <w:pStyle w:val="ListBullet"/>
            </w:pPr>
            <w:r w:rsidRPr="007714A0">
              <w:t>senior management team</w:t>
            </w:r>
          </w:p>
          <w:p w:rsidR="00000000" w:rsidP="007714A0">
            <w:pPr>
              <w:pStyle w:val="ListBullet"/>
              <w:rPr>
                <w:lang w:val="en-NZ"/>
              </w:rPr>
            </w:pPr>
            <w:r w:rsidRPr="007714A0">
              <w:t>technical/engineering authority</w:t>
            </w:r>
          </w:p>
        </w:tc>
      </w:tr>
      <w:tr w:rsidTr="009A4D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14A0">
            <w:pPr>
              <w:pStyle w:val="BodyText"/>
              <w:rPr>
                <w:lang w:val="en-NZ"/>
              </w:rPr>
            </w:pPr>
            <w:r w:rsidRPr="007714A0">
              <w:t>Monitoring may include:</w:t>
            </w:r>
          </w:p>
        </w:tc>
        <w:tc>
          <w:tcPr>
            <w:tcW w:w="6154" w:type="dxa"/>
            <w:tcBorders>
              <w:top w:val="nil"/>
              <w:left w:val="nil"/>
              <w:bottom w:val="nil"/>
              <w:right w:val="nil"/>
            </w:tcBorders>
            <w:tcMar>
              <w:top w:w="0" w:type="dxa"/>
              <w:left w:w="62" w:type="dxa"/>
              <w:bottom w:w="0" w:type="dxa"/>
              <w:right w:w="62" w:type="dxa"/>
            </w:tcMar>
          </w:tcPr>
          <w:p w:rsidR="00000000" w:rsidRPr="007714A0" w:rsidP="007714A0">
            <w:pPr>
              <w:pStyle w:val="ListBullet"/>
            </w:pPr>
            <w:r w:rsidRPr="007714A0">
              <w:t>number of systems</w:t>
            </w:r>
          </w:p>
          <w:p w:rsidR="00000000" w:rsidP="007714A0">
            <w:pPr>
              <w:pStyle w:val="ListBullet"/>
              <w:rPr>
                <w:lang w:val="en-NZ"/>
              </w:rPr>
            </w:pPr>
            <w:r w:rsidRPr="007714A0">
              <w:t xml:space="preserve">single </w:t>
            </w:r>
            <w:r w:rsidRPr="007714A0">
              <w:t>data management system</w:t>
            </w:r>
          </w:p>
        </w:tc>
      </w:tr>
      <w:tr w:rsidTr="009A4D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14A0">
            <w:pPr>
              <w:pStyle w:val="BodyText"/>
              <w:rPr>
                <w:lang w:val="en-NZ"/>
              </w:rPr>
            </w:pPr>
            <w:r w:rsidRPr="007714A0">
              <w:t>Variation may include:</w:t>
            </w:r>
          </w:p>
        </w:tc>
        <w:tc>
          <w:tcPr>
            <w:tcW w:w="6154" w:type="dxa"/>
            <w:tcBorders>
              <w:top w:val="nil"/>
              <w:left w:val="nil"/>
              <w:bottom w:val="nil"/>
              <w:right w:val="nil"/>
            </w:tcBorders>
            <w:tcMar>
              <w:top w:w="0" w:type="dxa"/>
              <w:left w:w="62" w:type="dxa"/>
              <w:bottom w:w="0" w:type="dxa"/>
              <w:right w:w="62" w:type="dxa"/>
            </w:tcMar>
          </w:tcPr>
          <w:p w:rsidR="00000000" w:rsidRPr="007714A0" w:rsidP="007714A0">
            <w:pPr>
              <w:pStyle w:val="ListBullet"/>
            </w:pPr>
            <w:r w:rsidRPr="007714A0">
              <w:t>increases or decreases in the use of particular technologies/standards</w:t>
            </w:r>
          </w:p>
          <w:p w:rsidR="00000000" w:rsidRPr="007714A0" w:rsidP="007714A0">
            <w:pPr>
              <w:pStyle w:val="ListBullet"/>
            </w:pPr>
            <w:r w:rsidRPr="007714A0">
              <w:t>variations from the data management system's performance or capacity</w:t>
            </w:r>
          </w:p>
          <w:p w:rsidR="00000000" w:rsidP="007714A0">
            <w:pPr>
              <w:pStyle w:val="ListBullet"/>
              <w:rPr>
                <w:lang w:val="en-NZ"/>
              </w:rPr>
            </w:pPr>
            <w:r w:rsidRPr="007714A0">
              <w:t>variations within the agreed limit but which are consistent</w:t>
            </w:r>
          </w:p>
        </w:tc>
      </w:tr>
      <w:tr w:rsidTr="009A4D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14A0">
            <w:pPr>
              <w:pStyle w:val="BodyText"/>
              <w:rPr>
                <w:lang w:val="en-NZ"/>
              </w:rPr>
            </w:pPr>
            <w:r w:rsidRPr="007714A0">
              <w:t>Reports may include:</w:t>
            </w:r>
          </w:p>
        </w:tc>
        <w:tc>
          <w:tcPr>
            <w:tcW w:w="6154" w:type="dxa"/>
            <w:tcBorders>
              <w:top w:val="nil"/>
              <w:left w:val="nil"/>
              <w:bottom w:val="nil"/>
              <w:right w:val="nil"/>
            </w:tcBorders>
            <w:tcMar>
              <w:top w:w="0" w:type="dxa"/>
              <w:left w:w="62" w:type="dxa"/>
              <w:bottom w:w="0" w:type="dxa"/>
              <w:right w:w="62" w:type="dxa"/>
            </w:tcMar>
          </w:tcPr>
          <w:p w:rsidR="00000000" w:rsidRPr="007714A0" w:rsidP="007714A0">
            <w:pPr>
              <w:pStyle w:val="ListBullet"/>
            </w:pPr>
            <w:r w:rsidRPr="007714A0">
              <w:t>technical data and information capture</w:t>
            </w:r>
          </w:p>
          <w:p w:rsidR="00000000" w:rsidRPr="007714A0" w:rsidP="007714A0">
            <w:pPr>
              <w:pStyle w:val="ListBullet"/>
            </w:pPr>
            <w:r w:rsidRPr="007714A0">
              <w:t>technical data and information compliance</w:t>
            </w:r>
          </w:p>
          <w:p w:rsidR="00000000" w:rsidRPr="007714A0" w:rsidP="007714A0">
            <w:pPr>
              <w:pStyle w:val="ListBullet"/>
            </w:pPr>
            <w:r w:rsidRPr="007714A0">
              <w:t>technical data and information creation</w:t>
            </w:r>
          </w:p>
          <w:p w:rsidR="00000000" w:rsidRPr="007714A0" w:rsidP="007714A0">
            <w:pPr>
              <w:pStyle w:val="ListBullet"/>
            </w:pPr>
            <w:r w:rsidRPr="007714A0">
              <w:t>technical data and information maintenance</w:t>
            </w:r>
          </w:p>
          <w:p w:rsidR="00000000" w:rsidP="007714A0">
            <w:pPr>
              <w:pStyle w:val="ListBullet"/>
              <w:rPr>
                <w:lang w:val="en-NZ"/>
              </w:rPr>
            </w:pPr>
            <w:r w:rsidRPr="007714A0">
              <w:t>technical data and information use</w:t>
            </w:r>
          </w:p>
        </w:tc>
      </w:tr>
      <w:tr w:rsidTr="009A4D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14A0">
            <w:pPr>
              <w:pStyle w:val="BodyText"/>
              <w:rPr>
                <w:lang w:val="en-NZ"/>
              </w:rPr>
            </w:pPr>
            <w:r w:rsidRPr="007714A0">
              <w:t>Problems and changes may include:</w:t>
            </w:r>
          </w:p>
        </w:tc>
        <w:tc>
          <w:tcPr>
            <w:tcW w:w="6154" w:type="dxa"/>
            <w:tcBorders>
              <w:top w:val="nil"/>
              <w:left w:val="nil"/>
              <w:bottom w:val="nil"/>
              <w:right w:val="nil"/>
            </w:tcBorders>
            <w:tcMar>
              <w:top w:w="0" w:type="dxa"/>
              <w:left w:w="62" w:type="dxa"/>
              <w:bottom w:w="0" w:type="dxa"/>
              <w:right w:w="62" w:type="dxa"/>
            </w:tcMar>
          </w:tcPr>
          <w:p w:rsidR="00000000" w:rsidRPr="007714A0" w:rsidP="007714A0">
            <w:pPr>
              <w:pStyle w:val="ListBullet"/>
            </w:pPr>
            <w:r w:rsidRPr="007714A0">
              <w:t>changes in administrative changes to functions/activities</w:t>
            </w:r>
          </w:p>
          <w:p w:rsidR="00000000" w:rsidRPr="007714A0" w:rsidP="007714A0">
            <w:pPr>
              <w:pStyle w:val="ListBullet"/>
            </w:pPr>
            <w:r w:rsidRPr="007714A0">
              <w:t>changes to organisational structures</w:t>
            </w:r>
          </w:p>
          <w:p w:rsidR="00000000" w:rsidRPr="007714A0" w:rsidP="007714A0">
            <w:pPr>
              <w:pStyle w:val="ListBullet"/>
            </w:pPr>
            <w:r w:rsidRPr="007714A0">
              <w:t>legislative or technical regulatory changes</w:t>
            </w:r>
          </w:p>
          <w:p w:rsidR="00000000" w:rsidP="007714A0">
            <w:pPr>
              <w:pStyle w:val="ListBullet"/>
              <w:rPr>
                <w:lang w:val="en-NZ"/>
              </w:rPr>
            </w:pPr>
            <w:r w:rsidRPr="007714A0">
              <w:t>technological change and implementation</w:t>
            </w:r>
          </w:p>
        </w:tc>
      </w:tr>
      <w:tr w:rsidTr="009A4D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14A0">
            <w:pPr>
              <w:pStyle w:val="BodyText"/>
              <w:rPr>
                <w:lang w:val="en-NZ"/>
              </w:rPr>
            </w:pPr>
            <w:r w:rsidRPr="007714A0">
              <w:t>Systemic may include:</w:t>
            </w:r>
          </w:p>
        </w:tc>
        <w:tc>
          <w:tcPr>
            <w:tcW w:w="6154" w:type="dxa"/>
            <w:tcBorders>
              <w:top w:val="nil"/>
              <w:left w:val="nil"/>
              <w:bottom w:val="nil"/>
              <w:right w:val="nil"/>
            </w:tcBorders>
            <w:tcMar>
              <w:top w:w="0" w:type="dxa"/>
              <w:left w:w="62" w:type="dxa"/>
              <w:bottom w:w="0" w:type="dxa"/>
              <w:right w:w="62" w:type="dxa"/>
            </w:tcMar>
          </w:tcPr>
          <w:p w:rsidR="00000000" w:rsidRPr="007714A0" w:rsidP="007714A0">
            <w:pPr>
              <w:pStyle w:val="ListBullet"/>
            </w:pPr>
            <w:r w:rsidRPr="007714A0">
              <w:t>current technical data management systems</w:t>
            </w:r>
          </w:p>
          <w:p w:rsidR="00000000" w:rsidRPr="007714A0" w:rsidP="007714A0">
            <w:pPr>
              <w:pStyle w:val="ListBullet"/>
            </w:pPr>
            <w:r w:rsidRPr="007714A0">
              <w:t>technical systems (which generate technical data and information)</w:t>
            </w:r>
          </w:p>
          <w:p w:rsidR="00000000" w:rsidRPr="007714A0" w:rsidP="007714A0">
            <w:pPr>
              <w:pStyle w:val="ListBullet"/>
            </w:pPr>
            <w:r w:rsidRPr="007714A0">
              <w:t>storage facilities systems</w:t>
            </w:r>
          </w:p>
          <w:p w:rsidR="00000000" w:rsidRPr="007714A0" w:rsidP="007714A0">
            <w:pPr>
              <w:pStyle w:val="ListBullet"/>
            </w:pPr>
            <w:r w:rsidRPr="007714A0">
              <w:t>systemic changes which may include:</w:t>
            </w:r>
          </w:p>
          <w:p w:rsidR="00000000" w:rsidRPr="007714A0" w:rsidP="007714A0">
            <w:pPr>
              <w:pStyle w:val="ListBullet2"/>
            </w:pPr>
            <w:r w:rsidRPr="007714A0">
              <w:t>amendment to the classification system</w:t>
            </w:r>
          </w:p>
          <w:p w:rsidR="00000000" w:rsidRPr="007714A0" w:rsidP="007714A0">
            <w:pPr>
              <w:pStyle w:val="ListBullet2"/>
            </w:pPr>
            <w:r w:rsidRPr="007714A0">
              <w:t>bulk movement of technical data and information to control</w:t>
            </w:r>
          </w:p>
          <w:p w:rsidR="00000000" w:rsidRPr="007714A0" w:rsidP="007714A0">
            <w:pPr>
              <w:pStyle w:val="ListBullet2"/>
            </w:pPr>
            <w:r w:rsidRPr="007714A0">
              <w:t>migration of systems</w:t>
            </w:r>
          </w:p>
          <w:p w:rsidR="00000000" w:rsidRPr="007714A0" w:rsidP="007714A0">
            <w:pPr>
              <w:pStyle w:val="ListBullet2"/>
            </w:pPr>
            <w:r w:rsidRPr="007714A0">
              <w:t>new classification and control language</w:t>
            </w:r>
          </w:p>
          <w:p w:rsidR="00000000" w:rsidRPr="007714A0" w:rsidP="007714A0">
            <w:pPr>
              <w:pStyle w:val="ListBullet2"/>
            </w:pPr>
            <w:r w:rsidRPr="007714A0">
              <w:t>new disposal classes or retention periods</w:t>
            </w:r>
          </w:p>
          <w:p w:rsidR="00000000" w:rsidP="007714A0">
            <w:pPr>
              <w:pStyle w:val="ListBullet2"/>
              <w:rPr>
                <w:lang w:val="en-NZ"/>
              </w:rPr>
            </w:pPr>
            <w:r w:rsidRPr="007714A0">
              <w:t>new organisational or business unit functions</w:t>
            </w:r>
          </w:p>
        </w:tc>
      </w:tr>
      <w:tr w:rsidTr="009A4D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14A0">
            <w:pPr>
              <w:pStyle w:val="BodyText"/>
              <w:rPr>
                <w:lang w:val="en-NZ"/>
              </w:rPr>
            </w:pPr>
            <w:r w:rsidRPr="007714A0">
              <w:t>Revisions may include:</w:t>
            </w:r>
          </w:p>
        </w:tc>
        <w:tc>
          <w:tcPr>
            <w:tcW w:w="6154" w:type="dxa"/>
            <w:tcBorders>
              <w:top w:val="nil"/>
              <w:left w:val="nil"/>
              <w:bottom w:val="nil"/>
              <w:right w:val="nil"/>
            </w:tcBorders>
            <w:tcMar>
              <w:top w:w="0" w:type="dxa"/>
              <w:left w:w="62" w:type="dxa"/>
              <w:bottom w:w="0" w:type="dxa"/>
              <w:right w:w="62" w:type="dxa"/>
            </w:tcMar>
          </w:tcPr>
          <w:p w:rsidR="00000000" w:rsidRPr="007714A0" w:rsidP="007714A0">
            <w:pPr>
              <w:pStyle w:val="ListBullet"/>
            </w:pPr>
            <w:r w:rsidRPr="007714A0">
              <w:t>access rules and procedures</w:t>
            </w:r>
          </w:p>
          <w:p w:rsidR="00000000" w:rsidRPr="007714A0" w:rsidP="007714A0">
            <w:pPr>
              <w:pStyle w:val="ListBullet"/>
            </w:pPr>
            <w:r w:rsidRPr="007714A0">
              <w:t>classification and indexing schemes</w:t>
            </w:r>
          </w:p>
          <w:p w:rsidR="00000000" w:rsidRPr="007714A0" w:rsidP="007714A0">
            <w:pPr>
              <w:pStyle w:val="ListBullet"/>
            </w:pPr>
            <w:r w:rsidRPr="007714A0">
              <w:t>disposal schedules</w:t>
            </w:r>
          </w:p>
          <w:p w:rsidR="00000000" w:rsidRPr="007714A0" w:rsidP="007714A0">
            <w:pPr>
              <w:pStyle w:val="ListBullet"/>
            </w:pPr>
            <w:r w:rsidRPr="007714A0">
              <w:t>storage projections and requirements</w:t>
            </w:r>
          </w:p>
          <w:p w:rsidR="00000000" w:rsidP="007714A0">
            <w:pPr>
              <w:pStyle w:val="ListBullet"/>
              <w:rPr>
                <w:lang w:val="en-NZ"/>
              </w:rPr>
            </w:pPr>
            <w:r w:rsidRPr="007714A0">
              <w:t>technical data and information specifications</w:t>
            </w:r>
          </w:p>
        </w:tc>
      </w:tr>
      <w:tr w:rsidTr="009A4D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14A0">
            <w:pPr>
              <w:pStyle w:val="BodyText"/>
              <w:rPr>
                <w:lang w:val="en-NZ"/>
              </w:rPr>
            </w:pPr>
            <w:r w:rsidRPr="007714A0">
              <w:t>Recommendations for system amendments may include:</w:t>
            </w:r>
          </w:p>
        </w:tc>
        <w:tc>
          <w:tcPr>
            <w:tcW w:w="6154" w:type="dxa"/>
            <w:tcBorders>
              <w:top w:val="nil"/>
              <w:left w:val="nil"/>
              <w:bottom w:val="nil"/>
              <w:right w:val="nil"/>
            </w:tcBorders>
            <w:tcMar>
              <w:top w:w="0" w:type="dxa"/>
              <w:left w:w="62" w:type="dxa"/>
              <w:bottom w:w="0" w:type="dxa"/>
              <w:right w:w="62" w:type="dxa"/>
            </w:tcMar>
          </w:tcPr>
          <w:p w:rsidR="00000000" w:rsidRPr="007714A0" w:rsidP="007714A0">
            <w:pPr>
              <w:pStyle w:val="ListBullet"/>
            </w:pPr>
            <w:r w:rsidRPr="007714A0">
              <w:t>changes to/enforcement of procedures</w:t>
            </w:r>
          </w:p>
          <w:p w:rsidR="00000000" w:rsidRPr="007714A0" w:rsidP="007714A0">
            <w:pPr>
              <w:pStyle w:val="ListBullet"/>
            </w:pPr>
            <w:r w:rsidRPr="007714A0">
              <w:t>counselling of non-conforming individuals/business units</w:t>
            </w:r>
          </w:p>
          <w:p w:rsidR="00000000" w:rsidRPr="007714A0" w:rsidP="007714A0">
            <w:pPr>
              <w:pStyle w:val="ListBullet"/>
            </w:pPr>
            <w:r w:rsidRPr="007714A0">
              <w:t>disciplinary action</w:t>
            </w:r>
          </w:p>
        </w:tc>
      </w:tr>
    </w:tbl>
    <w:p w:rsidR="009A4D9B" w:rsidP="007714A0">
      <w:pPr>
        <w:pStyle w:val="BodyText"/>
      </w:pPr>
    </w:p>
    <w:p w:rsidR="009A4D9B" w:rsidP="007714A0">
      <w:pPr>
        <w:pStyle w:val="BodyText"/>
      </w:pPr>
    </w:p>
    <w:p w:rsidR="00000000" w:rsidRPr="007714A0" w:rsidP="007714A0">
      <w:pPr>
        <w:pStyle w:val="Heading1"/>
      </w:pPr>
      <w:bookmarkStart w:id="12" w:name="O_296103"/>
      <w:bookmarkEnd w:id="12"/>
      <w:r w:rsidRPr="007714A0">
        <w:t>Unit Sector(s)</w:t>
      </w:r>
    </w:p>
    <w:p w:rsidR="00000000" w:rsidRPr="007714A0" w:rsidP="007714A0">
      <w:pPr>
        <w:pStyle w:val="BodyText"/>
      </w:pPr>
      <w:r w:rsidRPr="007714A0">
        <w:t>Not Applicable</w:t>
      </w:r>
    </w:p>
    <w:p w:rsidR="00000000" w:rsidRPr="007714A0" w:rsidP="007714A0">
      <w:pPr>
        <w:pStyle w:val="AllowPageBreak"/>
      </w:pPr>
    </w:p>
    <w:p w:rsidR="00000000" w:rsidRPr="007714A0" w:rsidP="007714A0">
      <w:pPr>
        <w:pStyle w:val="Heading1"/>
      </w:pPr>
      <w:bookmarkStart w:id="13" w:name="O_224701"/>
      <w:bookmarkEnd w:id="13"/>
      <w:r w:rsidRPr="007714A0">
        <w:t>Competency Field</w:t>
      </w:r>
    </w:p>
    <w:tbl>
      <w:tblPr>
        <w:tblW w:w="9640" w:type="dxa"/>
        <w:tblLayout w:type="fixed"/>
        <w:tblCellMar>
          <w:left w:w="62" w:type="dxa"/>
          <w:right w:w="62" w:type="dxa"/>
        </w:tblCellMar>
        <w:tblLook w:val="0000"/>
      </w:tblPr>
      <w:tblGrid>
        <w:gridCol w:w="2978"/>
        <w:gridCol w:w="6662"/>
      </w:tblGrid>
      <w:tr w:rsidTr="009A4D9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714A0">
            <w:pPr>
              <w:pStyle w:val="BodyText"/>
              <w:rPr>
                <w:lang w:val="en-NZ"/>
              </w:rPr>
            </w:pPr>
            <w:r w:rsidRPr="007714A0">
              <w:rPr>
                <w:rStyle w:val="SpecialBold"/>
              </w:rPr>
              <w:t>Competency Field</w:t>
            </w:r>
            <w:r w:rsidRPr="007714A0">
              <w:t xml:space="preserve"> </w:t>
            </w:r>
          </w:p>
        </w:tc>
        <w:tc>
          <w:tcPr>
            <w:tcW w:w="6662" w:type="dxa"/>
            <w:tcBorders>
              <w:top w:val="nil"/>
              <w:left w:val="nil"/>
              <w:bottom w:val="nil"/>
              <w:right w:val="nil"/>
            </w:tcBorders>
            <w:tcMar>
              <w:top w:w="0" w:type="dxa"/>
              <w:left w:w="62" w:type="dxa"/>
              <w:bottom w:w="0" w:type="dxa"/>
              <w:right w:w="62" w:type="dxa"/>
            </w:tcMar>
          </w:tcPr>
          <w:p w:rsidR="00000000" w:rsidRPr="007714A0" w:rsidP="007714A0">
            <w:pPr>
              <w:pStyle w:val="BodyText"/>
            </w:pPr>
            <w:r w:rsidRPr="007714A0">
              <w:t>X - Logistics</w:t>
            </w:r>
          </w:p>
        </w:tc>
      </w:tr>
    </w:tbl>
    <w:p w:rsidR="009A4D9B" w:rsidP="007714A0">
      <w:pPr>
        <w:pStyle w:val="BodyText"/>
      </w:pPr>
    </w:p>
    <w:p w:rsidR="009A4D9B" w:rsidP="007714A0">
      <w:pPr>
        <w:pStyle w:val="BodyText"/>
      </w:pPr>
    </w:p>
    <w:p w:rsidR="00000000" w:rsidRPr="007714A0" w:rsidP="007714A0"/>
    <w:sectPr w:rsidSect="007714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4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4D9B" w:rsidP="009A4D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4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D9B" w:rsidP="007714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A4D9B" w:rsidP="007714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A4D9B" w:rsidP="007714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4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4D9B" w:rsidP="009A4D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4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D9B" w:rsidP="007714A0">
    <w:pPr>
      <w:pStyle w:val="Header"/>
      <w:framePr w:wrap="around"/>
    </w:pPr>
    <w:r>
      <w:fldChar w:fldCharType="begin"/>
    </w:r>
    <w:r>
      <w:instrText xml:space="preserve"> TITLE   \* MERGEFORMAT </w:instrText>
    </w:r>
    <w:r>
      <w:fldChar w:fldCharType="separate"/>
    </w:r>
    <w:r>
      <w:t>TLIX5036A Manage and monitor technical data and information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4D9B" w:rsidP="007714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129A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E8F3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AA9C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14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14A0"/>
    <w:pPr>
      <w:spacing w:before="360" w:after="60"/>
      <w:outlineLvl w:val="0"/>
    </w:pPr>
    <w:rPr>
      <w:sz w:val="32"/>
    </w:rPr>
  </w:style>
  <w:style w:type="paragraph" w:styleId="Heading2">
    <w:name w:val="heading 2"/>
    <w:basedOn w:val="HeadingBase"/>
    <w:next w:val="BodyText"/>
    <w:link w:val="Heading2Char"/>
    <w:qFormat/>
    <w:rsid w:val="007714A0"/>
    <w:pPr>
      <w:keepLines/>
      <w:spacing w:before="240" w:after="120"/>
      <w:outlineLvl w:val="1"/>
    </w:pPr>
    <w:rPr>
      <w:sz w:val="28"/>
      <w:szCs w:val="40"/>
    </w:rPr>
  </w:style>
  <w:style w:type="paragraph" w:styleId="Heading3">
    <w:name w:val="heading 3"/>
    <w:basedOn w:val="HeadingBase"/>
    <w:next w:val="BodyText"/>
    <w:link w:val="Heading3Char"/>
    <w:qFormat/>
    <w:rsid w:val="007714A0"/>
    <w:pPr>
      <w:spacing w:before="180" w:after="120"/>
      <w:outlineLvl w:val="2"/>
    </w:pPr>
    <w:rPr>
      <w:spacing w:val="-10"/>
      <w:kern w:val="32"/>
    </w:rPr>
  </w:style>
  <w:style w:type="paragraph" w:styleId="Heading4">
    <w:name w:val="heading 4"/>
    <w:basedOn w:val="HeadingBase"/>
    <w:next w:val="BodyText"/>
    <w:link w:val="Heading4Char"/>
    <w:qFormat/>
    <w:rsid w:val="007714A0"/>
    <w:pPr>
      <w:spacing w:before="160" w:after="120"/>
      <w:outlineLvl w:val="3"/>
    </w:pPr>
    <w:rPr>
      <w:sz w:val="22"/>
    </w:rPr>
  </w:style>
  <w:style w:type="paragraph" w:styleId="Heading5">
    <w:name w:val="heading 5"/>
    <w:basedOn w:val="HeadingBase"/>
    <w:next w:val="Normal"/>
    <w:link w:val="Heading5Char"/>
    <w:qFormat/>
    <w:rsid w:val="007714A0"/>
    <w:pPr>
      <w:spacing w:before="80"/>
      <w:outlineLvl w:val="4"/>
    </w:pPr>
    <w:rPr>
      <w:color w:val="918585"/>
      <w:sz w:val="20"/>
    </w:rPr>
  </w:style>
  <w:style w:type="paragraph" w:styleId="Heading6">
    <w:name w:val="heading 6"/>
    <w:basedOn w:val="HeadingBase"/>
    <w:next w:val="Normal"/>
    <w:link w:val="Heading6Char"/>
    <w:qFormat/>
    <w:rsid w:val="007714A0"/>
    <w:pPr>
      <w:spacing w:before="60"/>
      <w:outlineLvl w:val="5"/>
    </w:pPr>
    <w:rPr>
      <w:color w:val="918585"/>
      <w:sz w:val="20"/>
    </w:rPr>
  </w:style>
  <w:style w:type="paragraph" w:styleId="Heading7">
    <w:name w:val="heading 7"/>
    <w:basedOn w:val="Normal"/>
    <w:next w:val="Normal"/>
    <w:link w:val="Heading7Char"/>
    <w:qFormat/>
    <w:rsid w:val="007714A0"/>
    <w:pPr>
      <w:ind w:left="720"/>
      <w:outlineLvl w:val="6"/>
    </w:pPr>
    <w:rPr>
      <w:i/>
    </w:rPr>
  </w:style>
  <w:style w:type="paragraph" w:styleId="Heading8">
    <w:name w:val="heading 8"/>
    <w:basedOn w:val="Normal"/>
    <w:next w:val="Normal"/>
    <w:link w:val="Heading8Char"/>
    <w:qFormat/>
    <w:rsid w:val="007714A0"/>
    <w:pPr>
      <w:ind w:left="720"/>
      <w:outlineLvl w:val="7"/>
    </w:pPr>
    <w:rPr>
      <w:i/>
    </w:rPr>
  </w:style>
  <w:style w:type="paragraph" w:styleId="Heading9">
    <w:name w:val="heading 9"/>
    <w:basedOn w:val="Normal"/>
    <w:next w:val="Normal"/>
    <w:link w:val="Heading9Char"/>
    <w:qFormat/>
    <w:rsid w:val="007714A0"/>
    <w:pPr>
      <w:ind w:left="720"/>
      <w:outlineLvl w:val="8"/>
    </w:pPr>
    <w:rPr>
      <w:i/>
    </w:rPr>
  </w:style>
  <w:style w:type="character" w:default="1" w:styleId="DefaultParagraphFont">
    <w:name w:val="Default Paragraph Font"/>
    <w:uiPriority w:val="1"/>
    <w:unhideWhenUsed/>
    <w:rsid w:val="007714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14A0"/>
  </w:style>
  <w:style w:type="character" w:customStyle="1" w:styleId="Heading1Char">
    <w:name w:val="Heading 1 Char"/>
    <w:basedOn w:val="DefaultParagraphFont"/>
    <w:link w:val="Heading1"/>
    <w:rsid w:val="007714A0"/>
    <w:rPr>
      <w:rFonts w:ascii="Times New Roman" w:eastAsia="Times New Roman" w:hAnsi="Times New Roman" w:cs="Times New Roman"/>
      <w:b/>
      <w:sz w:val="32"/>
      <w:szCs w:val="20"/>
      <w:lang w:eastAsia="en-US"/>
    </w:rPr>
  </w:style>
  <w:style w:type="paragraph" w:styleId="BodyText">
    <w:name w:val="Body Text"/>
    <w:basedOn w:val="Normal"/>
    <w:link w:val="BodyTextChar"/>
    <w:rsid w:val="007714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14A0"/>
    <w:rPr>
      <w:rFonts w:ascii="Times New Roman" w:eastAsia="Times New Roman" w:hAnsi="Times New Roman" w:cs="Times New Roman"/>
      <w:sz w:val="24"/>
      <w:lang w:val="en-US" w:eastAsia="en-US"/>
    </w:rPr>
  </w:style>
  <w:style w:type="paragraph" w:styleId="Footer">
    <w:name w:val="footer"/>
    <w:basedOn w:val="Normal"/>
    <w:link w:val="FooterChar"/>
    <w:rsid w:val="007714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14A0"/>
    <w:rPr>
      <w:rFonts w:ascii="Times New Roman" w:eastAsia="Times New Roman" w:hAnsi="Times New Roman" w:cs="Times New Roman"/>
      <w:sz w:val="16"/>
      <w:lang w:val="en-US" w:eastAsia="en-US"/>
    </w:rPr>
  </w:style>
  <w:style w:type="paragraph" w:styleId="List">
    <w:name w:val="List"/>
    <w:basedOn w:val="BodyText"/>
    <w:next w:val="BodyText"/>
    <w:rsid w:val="007714A0"/>
    <w:pPr>
      <w:tabs>
        <w:tab w:val="left" w:pos="340"/>
      </w:tabs>
      <w:spacing w:before="60" w:after="60"/>
      <w:ind w:left="340" w:hanging="340"/>
    </w:pPr>
  </w:style>
  <w:style w:type="paragraph" w:styleId="ListBullet">
    <w:name w:val="List Bullet"/>
    <w:basedOn w:val="List"/>
    <w:rsid w:val="007714A0"/>
    <w:pPr>
      <w:numPr>
        <w:numId w:val="13"/>
      </w:numPr>
      <w:tabs>
        <w:tab w:val="clear" w:pos="340"/>
      </w:tabs>
      <w:spacing w:before="40" w:after="40"/>
    </w:pPr>
  </w:style>
  <w:style w:type="character" w:customStyle="1" w:styleId="SpecialBold">
    <w:name w:val="Special Bold"/>
    <w:basedOn w:val="DefaultParagraphFont"/>
    <w:rsid w:val="007714A0"/>
    <w:rPr>
      <w:b/>
      <w:spacing w:val="0"/>
    </w:rPr>
  </w:style>
  <w:style w:type="paragraph" w:styleId="ListBullet2">
    <w:name w:val="List Bullet 2"/>
    <w:basedOn w:val="List2"/>
    <w:rsid w:val="007714A0"/>
    <w:pPr>
      <w:numPr>
        <w:numId w:val="14"/>
      </w:numPr>
      <w:tabs>
        <w:tab w:val="clear" w:pos="680"/>
      </w:tabs>
    </w:pPr>
  </w:style>
  <w:style w:type="paragraph" w:styleId="Header">
    <w:name w:val="header"/>
    <w:basedOn w:val="Normal"/>
    <w:link w:val="HeaderChar"/>
    <w:rsid w:val="007714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14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14A0"/>
    <w:pPr>
      <w:spacing w:before="240" w:after="120"/>
      <w:outlineLvl w:val="0"/>
    </w:pPr>
    <w:rPr>
      <w:rFonts w:ascii="Times New Roman" w:hAnsi="Times New Roman"/>
      <w:b/>
      <w:sz w:val="28"/>
    </w:rPr>
  </w:style>
  <w:style w:type="paragraph" w:customStyle="1" w:styleId="AllowPageBreak">
    <w:name w:val="AllowPageBreak"/>
    <w:rsid w:val="007714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14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14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14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14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14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14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14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14A0"/>
    <w:rPr>
      <w:rFonts w:ascii="Courier New" w:eastAsia="Times New Roman" w:hAnsi="Courier New" w:cs="Times New Roman"/>
      <w:i/>
      <w:szCs w:val="20"/>
      <w:lang w:val="en-US" w:eastAsia="en-US"/>
    </w:rPr>
  </w:style>
  <w:style w:type="paragraph" w:customStyle="1" w:styleId="HeadingBase">
    <w:name w:val="Heading Base"/>
    <w:rsid w:val="007714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14A0"/>
    <w:pPr>
      <w:tabs>
        <w:tab w:val="right" w:leader="dot" w:pos="9072"/>
      </w:tabs>
      <w:ind w:left="567"/>
    </w:pPr>
    <w:rPr>
      <w:szCs w:val="22"/>
    </w:rPr>
  </w:style>
  <w:style w:type="paragraph" w:customStyle="1" w:styleId="TOCBase">
    <w:name w:val="TOC Base"/>
    <w:rsid w:val="007714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14A0"/>
    <w:pPr>
      <w:tabs>
        <w:tab w:val="right" w:leader="dot" w:pos="9072"/>
      </w:tabs>
      <w:spacing w:before="40" w:after="40"/>
      <w:ind w:left="284"/>
    </w:pPr>
    <w:rPr>
      <w:rFonts w:ascii="Times New Roman" w:hAnsi="Times New Roman"/>
    </w:rPr>
  </w:style>
  <w:style w:type="paragraph" w:styleId="TOC1">
    <w:name w:val="toc 1"/>
    <w:basedOn w:val="TOCBase"/>
    <w:next w:val="Normal"/>
    <w:rsid w:val="007714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14A0"/>
    <w:pPr>
      <w:spacing w:before="5040"/>
      <w:jc w:val="center"/>
    </w:pPr>
    <w:rPr>
      <w:sz w:val="48"/>
      <w:szCs w:val="72"/>
      <w:lang w:val="en-US"/>
    </w:rPr>
  </w:style>
  <w:style w:type="character" w:customStyle="1" w:styleId="TitleChar">
    <w:name w:val="Title Char"/>
    <w:basedOn w:val="DefaultParagraphFont"/>
    <w:link w:val="Title"/>
    <w:rsid w:val="007714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14A0"/>
    <w:pPr>
      <w:tabs>
        <w:tab w:val="left" w:pos="3600"/>
        <w:tab w:val="left" w:pos="3958"/>
      </w:tabs>
    </w:pPr>
  </w:style>
  <w:style w:type="paragraph" w:customStyle="1" w:styleId="Note">
    <w:name w:val="Note"/>
    <w:basedOn w:val="BodyText"/>
    <w:rsid w:val="007714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14A0"/>
    <w:pPr>
      <w:framePr w:wrap="auto" w:hAnchor="text" w:y="6049"/>
    </w:pPr>
    <w:rPr>
      <w:color w:val="000000"/>
      <w:sz w:val="40"/>
    </w:rPr>
  </w:style>
  <w:style w:type="paragraph" w:customStyle="1" w:styleId="TOCTitle">
    <w:name w:val="TOCTitle"/>
    <w:basedOn w:val="Heading1"/>
    <w:rsid w:val="007714A0"/>
    <w:pPr>
      <w:spacing w:after="240"/>
      <w:jc w:val="center"/>
      <w:outlineLvl w:val="9"/>
    </w:pPr>
    <w:rPr>
      <w:caps/>
    </w:rPr>
  </w:style>
  <w:style w:type="paragraph" w:customStyle="1" w:styleId="Version">
    <w:name w:val="Version"/>
    <w:rsid w:val="007714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14A0"/>
    <w:pPr>
      <w:keepNext w:val="0"/>
      <w:tabs>
        <w:tab w:val="right" w:pos="4176"/>
      </w:tabs>
      <w:ind w:left="198" w:hanging="198"/>
    </w:pPr>
    <w:rPr>
      <w:rFonts w:ascii="Garamond" w:hAnsi="Garamond"/>
    </w:rPr>
  </w:style>
  <w:style w:type="paragraph" w:styleId="IndexHeading">
    <w:name w:val="index heading"/>
    <w:basedOn w:val="Normal"/>
    <w:next w:val="Index1"/>
    <w:semiHidden/>
    <w:rsid w:val="007714A0"/>
    <w:pPr>
      <w:spacing w:before="120" w:after="120"/>
    </w:pPr>
    <w:rPr>
      <w:rFonts w:ascii="Arial" w:hAnsi="Arial"/>
      <w:b/>
      <w:color w:val="918585"/>
      <w:sz w:val="24"/>
    </w:rPr>
  </w:style>
  <w:style w:type="paragraph" w:customStyle="1" w:styleId="Chapter">
    <w:name w:val="Chapter"/>
    <w:basedOn w:val="Normal"/>
    <w:rsid w:val="007714A0"/>
    <w:pPr>
      <w:spacing w:before="240"/>
    </w:pPr>
    <w:rPr>
      <w:rFonts w:ascii="Times New Roman" w:hAnsi="Times New Roman"/>
      <w:smallCaps/>
      <w:spacing w:val="80"/>
      <w:sz w:val="28"/>
    </w:rPr>
  </w:style>
  <w:style w:type="paragraph" w:customStyle="1" w:styleId="InChapter">
    <w:name w:val="InChapter"/>
    <w:basedOn w:val="Heading3"/>
    <w:rsid w:val="007714A0"/>
    <w:pPr>
      <w:spacing w:after="240"/>
      <w:outlineLvl w:val="9"/>
    </w:pPr>
    <w:rPr>
      <w:noProof/>
    </w:rPr>
  </w:style>
  <w:style w:type="paragraph" w:styleId="Index2">
    <w:name w:val="index 2"/>
    <w:basedOn w:val="Normal"/>
    <w:next w:val="Normal"/>
    <w:semiHidden/>
    <w:rsid w:val="007714A0"/>
    <w:pPr>
      <w:tabs>
        <w:tab w:val="right" w:pos="4176"/>
      </w:tabs>
      <w:ind w:left="568" w:hanging="284"/>
    </w:pPr>
    <w:rPr>
      <w:rFonts w:ascii="Garamond" w:hAnsi="Garamond"/>
    </w:rPr>
  </w:style>
  <w:style w:type="paragraph" w:customStyle="1" w:styleId="Byline">
    <w:name w:val="Byline"/>
    <w:rsid w:val="007714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14A0"/>
    <w:pPr>
      <w:tabs>
        <w:tab w:val="clear" w:pos="3600"/>
        <w:tab w:val="clear" w:pos="3958"/>
      </w:tabs>
      <w:jc w:val="right"/>
    </w:pPr>
  </w:style>
  <w:style w:type="character" w:styleId="Emphasis">
    <w:name w:val="Emphasis"/>
    <w:basedOn w:val="DefaultParagraphFont"/>
    <w:qFormat/>
    <w:rsid w:val="007714A0"/>
    <w:rPr>
      <w:i/>
    </w:rPr>
  </w:style>
  <w:style w:type="paragraph" w:styleId="Caption">
    <w:name w:val="caption"/>
    <w:basedOn w:val="BodyText"/>
    <w:next w:val="Normal"/>
    <w:qFormat/>
    <w:rsid w:val="007714A0"/>
    <w:pPr>
      <w:framePr w:w="2268" w:hSpace="181" w:vSpace="181" w:wrap="around" w:vAnchor="text" w:hAnchor="page" w:x="1135" w:y="285" w:anchorLock="1"/>
    </w:pPr>
    <w:rPr>
      <w:i/>
    </w:rPr>
  </w:style>
  <w:style w:type="paragraph" w:customStyle="1" w:styleId="MiniTOCTitle">
    <w:name w:val="MiniTOCTitle"/>
    <w:basedOn w:val="Heading4"/>
    <w:rsid w:val="007714A0"/>
    <w:pPr>
      <w:spacing w:before="240"/>
      <w:outlineLvl w:val="9"/>
    </w:pPr>
    <w:rPr>
      <w:noProof/>
      <w:sz w:val="24"/>
    </w:rPr>
  </w:style>
  <w:style w:type="paragraph" w:customStyle="1" w:styleId="MiniTOCItem">
    <w:name w:val="MiniTOCItem"/>
    <w:basedOn w:val="ListBullet"/>
    <w:rsid w:val="007714A0"/>
    <w:pPr>
      <w:numPr>
        <w:numId w:val="0"/>
      </w:numPr>
      <w:tabs>
        <w:tab w:val="right" w:leader="dot" w:pos="6521"/>
      </w:tabs>
      <w:spacing w:before="0" w:after="0"/>
    </w:pPr>
  </w:style>
  <w:style w:type="paragraph" w:customStyle="1" w:styleId="TOFTitle">
    <w:name w:val="TOFTitle"/>
    <w:basedOn w:val="TOCTitle"/>
    <w:rsid w:val="007714A0"/>
  </w:style>
  <w:style w:type="paragraph" w:styleId="TableofFigures">
    <w:name w:val="table of figures"/>
    <w:basedOn w:val="Normal"/>
    <w:next w:val="Normal"/>
    <w:semiHidden/>
    <w:rsid w:val="007714A0"/>
    <w:pPr>
      <w:tabs>
        <w:tab w:val="right" w:leader="dot" w:pos="9072"/>
      </w:tabs>
      <w:ind w:left="970" w:hanging="403"/>
    </w:pPr>
    <w:rPr>
      <w:rFonts w:ascii="Times New Roman" w:hAnsi="Times New Roman"/>
      <w:b/>
    </w:rPr>
  </w:style>
  <w:style w:type="paragraph" w:styleId="ListNumber">
    <w:name w:val="List Number"/>
    <w:basedOn w:val="List"/>
    <w:rsid w:val="007714A0"/>
    <w:pPr>
      <w:numPr>
        <w:numId w:val="11"/>
      </w:numPr>
    </w:pPr>
  </w:style>
  <w:style w:type="character" w:customStyle="1" w:styleId="WingdingSymbols">
    <w:name w:val="Wingding Symbols"/>
    <w:rsid w:val="007714A0"/>
    <w:rPr>
      <w:rFonts w:ascii="Wingdings" w:hAnsi="Wingdings"/>
    </w:rPr>
  </w:style>
  <w:style w:type="paragraph" w:customStyle="1" w:styleId="TableHeading">
    <w:name w:val="Table Heading"/>
    <w:basedOn w:val="HeadingBase"/>
    <w:rsid w:val="007714A0"/>
    <w:pPr>
      <w:keepLines/>
      <w:pBdr>
        <w:bottom w:val="single" w:sz="6" w:space="1" w:color="918585"/>
      </w:pBdr>
      <w:spacing w:before="240"/>
    </w:pPr>
  </w:style>
  <w:style w:type="character" w:customStyle="1" w:styleId="HotSpot">
    <w:name w:val="HotSpot"/>
    <w:rsid w:val="007714A0"/>
    <w:rPr>
      <w:color w:val="0033CC"/>
      <w:u w:val="none"/>
    </w:rPr>
  </w:style>
  <w:style w:type="paragraph" w:customStyle="1" w:styleId="BodyTextRight">
    <w:name w:val="Body Text Right"/>
    <w:basedOn w:val="BodyText"/>
    <w:rsid w:val="007714A0"/>
    <w:pPr>
      <w:spacing w:before="0" w:after="0"/>
      <w:jc w:val="right"/>
    </w:pPr>
  </w:style>
  <w:style w:type="paragraph" w:styleId="Index3">
    <w:name w:val="index 3"/>
    <w:basedOn w:val="ListNumber2"/>
    <w:next w:val="Normal"/>
    <w:semiHidden/>
    <w:rsid w:val="007714A0"/>
    <w:pPr>
      <w:numPr>
        <w:numId w:val="0"/>
      </w:numPr>
      <w:tabs>
        <w:tab w:val="right" w:leader="dot" w:pos="4176"/>
      </w:tabs>
    </w:pPr>
  </w:style>
  <w:style w:type="paragraph" w:styleId="ListNumber2">
    <w:name w:val="List Number 2"/>
    <w:basedOn w:val="List2"/>
    <w:rsid w:val="007714A0"/>
    <w:pPr>
      <w:numPr>
        <w:numId w:val="10"/>
      </w:numPr>
      <w:tabs>
        <w:tab w:val="clear" w:pos="1060"/>
      </w:tabs>
    </w:pPr>
  </w:style>
  <w:style w:type="paragraph" w:customStyle="1" w:styleId="MarginNote">
    <w:name w:val="Margin Note"/>
    <w:basedOn w:val="BodyText"/>
    <w:rsid w:val="007714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14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14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14A0"/>
    <w:rPr>
      <w:sz w:val="32"/>
    </w:rPr>
  </w:style>
  <w:style w:type="paragraph" w:customStyle="1" w:styleId="HeadingProcedure">
    <w:name w:val="Heading Procedure"/>
    <w:basedOn w:val="HeadingBase"/>
    <w:next w:val="Normal"/>
    <w:rsid w:val="007714A0"/>
    <w:pPr>
      <w:tabs>
        <w:tab w:val="left" w:pos="0"/>
      </w:tabs>
      <w:spacing w:before="120" w:after="60"/>
    </w:pPr>
    <w:rPr>
      <w:i/>
      <w:color w:val="918585"/>
      <w:sz w:val="22"/>
    </w:rPr>
  </w:style>
  <w:style w:type="paragraph" w:customStyle="1" w:styleId="TableBodyText">
    <w:name w:val="Table Body Text"/>
    <w:basedOn w:val="BodyText"/>
    <w:rsid w:val="007714A0"/>
    <w:pPr>
      <w:spacing w:before="60" w:after="60"/>
    </w:pPr>
  </w:style>
  <w:style w:type="paragraph" w:styleId="ListContinue">
    <w:name w:val="List Continue"/>
    <w:basedOn w:val="List"/>
    <w:rsid w:val="007714A0"/>
    <w:pPr>
      <w:ind w:firstLine="0"/>
    </w:pPr>
  </w:style>
  <w:style w:type="paragraph" w:customStyle="1" w:styleId="ListNote">
    <w:name w:val="List Note"/>
    <w:basedOn w:val="List"/>
    <w:rsid w:val="007714A0"/>
    <w:pPr>
      <w:pBdr>
        <w:top w:val="single" w:sz="6" w:space="2" w:color="918585"/>
        <w:bottom w:val="single" w:sz="6" w:space="2" w:color="918585"/>
      </w:pBdr>
      <w:tabs>
        <w:tab w:val="left" w:pos="1021"/>
      </w:tabs>
      <w:ind w:firstLine="0"/>
    </w:pPr>
  </w:style>
  <w:style w:type="paragraph" w:customStyle="1" w:styleId="Warning">
    <w:name w:val="Warning"/>
    <w:basedOn w:val="BodyText"/>
    <w:rsid w:val="007714A0"/>
    <w:pPr>
      <w:shd w:val="clear" w:color="auto" w:fill="D9D9D9"/>
      <w:tabs>
        <w:tab w:val="left" w:pos="992"/>
      </w:tabs>
      <w:ind w:left="119" w:right="119"/>
    </w:pPr>
    <w:rPr>
      <w:sz w:val="20"/>
    </w:rPr>
  </w:style>
  <w:style w:type="paragraph" w:customStyle="1" w:styleId="MarginIcons">
    <w:name w:val="Margin Icons"/>
    <w:basedOn w:val="BodyText"/>
    <w:rsid w:val="007714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14A0"/>
    <w:rPr>
      <w:rFonts w:ascii="Courier New" w:hAnsi="Courier New"/>
    </w:rPr>
  </w:style>
  <w:style w:type="paragraph" w:customStyle="1" w:styleId="NoteBullet">
    <w:name w:val="Note Bullet"/>
    <w:basedOn w:val="Note"/>
    <w:rsid w:val="007714A0"/>
    <w:pPr>
      <w:tabs>
        <w:tab w:val="clear" w:pos="680"/>
      </w:tabs>
      <w:spacing w:before="60" w:after="60"/>
    </w:pPr>
  </w:style>
  <w:style w:type="paragraph" w:customStyle="1" w:styleId="SubHeading2">
    <w:name w:val="SubHeading2"/>
    <w:basedOn w:val="HeadingBase"/>
    <w:rsid w:val="007714A0"/>
    <w:pPr>
      <w:spacing w:before="240" w:after="60"/>
    </w:pPr>
    <w:rPr>
      <w:sz w:val="20"/>
    </w:rPr>
  </w:style>
  <w:style w:type="paragraph" w:customStyle="1" w:styleId="SubHeading1">
    <w:name w:val="SubHeading1"/>
    <w:basedOn w:val="HeadingBase"/>
    <w:rsid w:val="007714A0"/>
    <w:pPr>
      <w:spacing w:before="240" w:after="60"/>
    </w:pPr>
    <w:rPr>
      <w:color w:val="918585"/>
      <w:sz w:val="22"/>
    </w:rPr>
  </w:style>
  <w:style w:type="paragraph" w:customStyle="1" w:styleId="SideHeading">
    <w:name w:val="Side Heading"/>
    <w:basedOn w:val="HeadingBase"/>
    <w:rsid w:val="007714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14A0"/>
    <w:pPr>
      <w:numPr>
        <w:numId w:val="12"/>
      </w:numPr>
    </w:pPr>
  </w:style>
  <w:style w:type="paragraph" w:styleId="PlainText">
    <w:name w:val="Plain Text"/>
    <w:basedOn w:val="Normal"/>
    <w:link w:val="PlainTextChar"/>
    <w:rsid w:val="007714A0"/>
    <w:rPr>
      <w:sz w:val="20"/>
    </w:rPr>
  </w:style>
  <w:style w:type="character" w:customStyle="1" w:styleId="PlainTextChar">
    <w:name w:val="Plain Text Char"/>
    <w:basedOn w:val="DefaultParagraphFont"/>
    <w:link w:val="PlainText"/>
    <w:rsid w:val="007714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14A0"/>
    <w:rPr>
      <w:b/>
      <w:smallCaps/>
    </w:rPr>
  </w:style>
  <w:style w:type="paragraph" w:customStyle="1" w:styleId="TableListNumber">
    <w:name w:val="Table List Number"/>
    <w:basedOn w:val="ListNumber"/>
    <w:rsid w:val="007714A0"/>
    <w:pPr>
      <w:numPr>
        <w:numId w:val="0"/>
      </w:numPr>
    </w:pPr>
  </w:style>
  <w:style w:type="paragraph" w:styleId="TOC4">
    <w:name w:val="toc 4"/>
    <w:basedOn w:val="TOCBase"/>
    <w:next w:val="Normal"/>
    <w:semiHidden/>
    <w:rsid w:val="007714A0"/>
    <w:pPr>
      <w:tabs>
        <w:tab w:val="right" w:leader="dot" w:pos="9071"/>
      </w:tabs>
      <w:ind w:left="1701"/>
    </w:pPr>
  </w:style>
  <w:style w:type="paragraph" w:customStyle="1" w:styleId="ListAlpha">
    <w:name w:val="List Alpha"/>
    <w:basedOn w:val="List"/>
    <w:rsid w:val="007714A0"/>
    <w:pPr>
      <w:numPr>
        <w:numId w:val="9"/>
      </w:numPr>
    </w:pPr>
  </w:style>
  <w:style w:type="paragraph" w:customStyle="1" w:styleId="ListAlpha2">
    <w:name w:val="List Alpha 2"/>
    <w:basedOn w:val="List2"/>
    <w:rsid w:val="007714A0"/>
    <w:pPr>
      <w:numPr>
        <w:numId w:val="8"/>
      </w:numPr>
    </w:pPr>
  </w:style>
  <w:style w:type="paragraph" w:styleId="List2">
    <w:name w:val="List 2"/>
    <w:basedOn w:val="BodyText"/>
    <w:rsid w:val="007714A0"/>
    <w:pPr>
      <w:tabs>
        <w:tab w:val="left" w:pos="680"/>
      </w:tabs>
      <w:spacing w:before="60" w:after="60"/>
      <w:ind w:left="680" w:hanging="340"/>
    </w:pPr>
  </w:style>
  <w:style w:type="paragraph" w:styleId="List3">
    <w:name w:val="List 3"/>
    <w:basedOn w:val="BodyText"/>
    <w:rsid w:val="007714A0"/>
    <w:pPr>
      <w:tabs>
        <w:tab w:val="left" w:pos="1021"/>
      </w:tabs>
      <w:spacing w:before="60" w:after="60"/>
      <w:ind w:left="1020" w:hanging="340"/>
    </w:pPr>
  </w:style>
  <w:style w:type="paragraph" w:styleId="List4">
    <w:name w:val="List 4"/>
    <w:basedOn w:val="BodyText"/>
    <w:rsid w:val="007714A0"/>
    <w:pPr>
      <w:tabs>
        <w:tab w:val="left" w:pos="1361"/>
      </w:tabs>
      <w:spacing w:before="60" w:after="60"/>
      <w:ind w:left="1361" w:hanging="340"/>
    </w:pPr>
  </w:style>
  <w:style w:type="paragraph" w:styleId="List5">
    <w:name w:val="List 5"/>
    <w:basedOn w:val="BodyText"/>
    <w:rsid w:val="007714A0"/>
    <w:pPr>
      <w:tabs>
        <w:tab w:val="left" w:pos="1701"/>
      </w:tabs>
      <w:spacing w:before="60" w:after="60"/>
      <w:ind w:left="1701" w:hanging="340"/>
    </w:pPr>
  </w:style>
  <w:style w:type="paragraph" w:styleId="ListBullet3">
    <w:name w:val="List Bullet 3"/>
    <w:basedOn w:val="List3"/>
    <w:rsid w:val="007714A0"/>
    <w:pPr>
      <w:numPr>
        <w:numId w:val="15"/>
      </w:numPr>
      <w:tabs>
        <w:tab w:val="clear" w:pos="1021"/>
      </w:tabs>
      <w:ind w:left="1037" w:hanging="357"/>
    </w:pPr>
  </w:style>
  <w:style w:type="paragraph" w:styleId="ListBullet4">
    <w:name w:val="List Bullet 4"/>
    <w:basedOn w:val="List4"/>
    <w:rsid w:val="007714A0"/>
    <w:pPr>
      <w:numPr>
        <w:numId w:val="3"/>
      </w:numPr>
    </w:pPr>
  </w:style>
  <w:style w:type="paragraph" w:styleId="ListBullet5">
    <w:name w:val="List Bullet 5"/>
    <w:basedOn w:val="List5"/>
    <w:rsid w:val="007714A0"/>
    <w:pPr>
      <w:numPr>
        <w:numId w:val="4"/>
      </w:numPr>
    </w:pPr>
  </w:style>
  <w:style w:type="paragraph" w:styleId="ListContinue2">
    <w:name w:val="List Continue 2"/>
    <w:basedOn w:val="List2"/>
    <w:rsid w:val="007714A0"/>
    <w:pPr>
      <w:ind w:firstLine="0"/>
    </w:pPr>
  </w:style>
  <w:style w:type="paragraph" w:styleId="ListContinue3">
    <w:name w:val="List Continue 3"/>
    <w:basedOn w:val="List3"/>
    <w:rsid w:val="007714A0"/>
    <w:pPr>
      <w:ind w:left="1021" w:firstLine="0"/>
    </w:pPr>
  </w:style>
  <w:style w:type="paragraph" w:styleId="ListContinue4">
    <w:name w:val="List Continue 4"/>
    <w:basedOn w:val="List4"/>
    <w:rsid w:val="007714A0"/>
    <w:pPr>
      <w:ind w:firstLine="0"/>
    </w:pPr>
  </w:style>
  <w:style w:type="paragraph" w:styleId="ListContinue5">
    <w:name w:val="List Continue 5"/>
    <w:basedOn w:val="List5"/>
    <w:rsid w:val="007714A0"/>
    <w:pPr>
      <w:ind w:firstLine="0"/>
    </w:pPr>
  </w:style>
  <w:style w:type="paragraph" w:styleId="ListNumber3">
    <w:name w:val="List Number 3"/>
    <w:basedOn w:val="List3"/>
    <w:rsid w:val="007714A0"/>
    <w:pPr>
      <w:numPr>
        <w:numId w:val="5"/>
      </w:numPr>
    </w:pPr>
  </w:style>
  <w:style w:type="paragraph" w:styleId="ListNumber4">
    <w:name w:val="List Number 4"/>
    <w:basedOn w:val="List4"/>
    <w:rsid w:val="007714A0"/>
    <w:pPr>
      <w:numPr>
        <w:numId w:val="6"/>
      </w:numPr>
    </w:pPr>
  </w:style>
  <w:style w:type="paragraph" w:styleId="ListNumber5">
    <w:name w:val="List Number 5"/>
    <w:basedOn w:val="List5"/>
    <w:rsid w:val="007714A0"/>
    <w:pPr>
      <w:numPr>
        <w:numId w:val="7"/>
      </w:numPr>
    </w:pPr>
  </w:style>
  <w:style w:type="paragraph" w:styleId="BlockText">
    <w:name w:val="Block Text"/>
    <w:basedOn w:val="Normal"/>
    <w:rsid w:val="007714A0"/>
    <w:pPr>
      <w:spacing w:after="120"/>
      <w:ind w:left="1440" w:right="1440"/>
    </w:pPr>
  </w:style>
  <w:style w:type="character" w:customStyle="1" w:styleId="Subscript">
    <w:name w:val="Subscript"/>
    <w:basedOn w:val="DefaultParagraphFont"/>
    <w:rsid w:val="007714A0"/>
    <w:rPr>
      <w:sz w:val="16"/>
      <w:vertAlign w:val="subscript"/>
    </w:rPr>
  </w:style>
  <w:style w:type="character" w:customStyle="1" w:styleId="Superscript">
    <w:name w:val="Superscript"/>
    <w:basedOn w:val="DefaultParagraphFont"/>
    <w:rsid w:val="007714A0"/>
    <w:rPr>
      <w:sz w:val="16"/>
      <w:vertAlign w:val="superscript"/>
    </w:rPr>
  </w:style>
  <w:style w:type="character" w:customStyle="1" w:styleId="Symbols">
    <w:name w:val="Symbols"/>
    <w:basedOn w:val="DefaultParagraphFont"/>
    <w:rsid w:val="007714A0"/>
    <w:rPr>
      <w:rFonts w:ascii="Symbol" w:hAnsi="Symbol"/>
    </w:rPr>
  </w:style>
  <w:style w:type="character" w:customStyle="1" w:styleId="MenuOptions">
    <w:name w:val="Menu Options"/>
    <w:basedOn w:val="DefaultParagraphFont"/>
    <w:rsid w:val="007714A0"/>
    <w:rPr>
      <w:rFonts w:ascii="Arial Narrow" w:hAnsi="Arial Narrow"/>
      <w:smallCaps/>
    </w:rPr>
  </w:style>
  <w:style w:type="character" w:customStyle="1" w:styleId="Buttons">
    <w:name w:val="Buttons"/>
    <w:basedOn w:val="DefaultParagraphFont"/>
    <w:rsid w:val="007714A0"/>
    <w:rPr>
      <w:b/>
    </w:rPr>
  </w:style>
  <w:style w:type="character" w:customStyle="1" w:styleId="Underlined">
    <w:name w:val="Underlined"/>
    <w:basedOn w:val="DefaultParagraphFont"/>
    <w:rsid w:val="007714A0"/>
    <w:rPr>
      <w:u w:val="single"/>
    </w:rPr>
  </w:style>
  <w:style w:type="paragraph" w:customStyle="1" w:styleId="TableBodyTextRight">
    <w:name w:val="Table Body Text Right"/>
    <w:basedOn w:val="TableBodyText"/>
    <w:rsid w:val="007714A0"/>
    <w:pPr>
      <w:widowControl w:val="0"/>
      <w:autoSpaceDE w:val="0"/>
      <w:autoSpaceDN w:val="0"/>
      <w:adjustRightInd w:val="0"/>
      <w:jc w:val="right"/>
    </w:pPr>
    <w:rPr>
      <w:rFonts w:cs="Arial"/>
      <w:szCs w:val="18"/>
    </w:rPr>
  </w:style>
  <w:style w:type="paragraph" w:customStyle="1" w:styleId="CopyrightText">
    <w:name w:val="Copyright Text"/>
    <w:basedOn w:val="BodyText"/>
    <w:rsid w:val="007714A0"/>
    <w:rPr>
      <w:sz w:val="18"/>
    </w:rPr>
  </w:style>
  <w:style w:type="paragraph" w:customStyle="1" w:styleId="BodySmallRight">
    <w:name w:val="Body Small Right"/>
    <w:basedOn w:val="BodyTextRight"/>
    <w:rsid w:val="007714A0"/>
    <w:rPr>
      <w:sz w:val="18"/>
      <w:szCs w:val="18"/>
    </w:rPr>
  </w:style>
  <w:style w:type="paragraph" w:customStyle="1" w:styleId="MarginEdition">
    <w:name w:val="Margin Edition"/>
    <w:basedOn w:val="MarginNote"/>
    <w:rsid w:val="007714A0"/>
    <w:pPr>
      <w:spacing w:before="0" w:after="0"/>
    </w:pPr>
    <w:rPr>
      <w:rFonts w:ascii="Times New Roman" w:hAnsi="Times New Roman"/>
      <w:color w:val="999999"/>
    </w:rPr>
  </w:style>
  <w:style w:type="paragraph" w:customStyle="1" w:styleId="Spacer">
    <w:name w:val="Spacer"/>
    <w:basedOn w:val="Normal"/>
    <w:rsid w:val="007714A0"/>
    <w:rPr>
      <w:sz w:val="2"/>
      <w:szCs w:val="2"/>
    </w:rPr>
  </w:style>
  <w:style w:type="character" w:customStyle="1" w:styleId="Small">
    <w:name w:val="Small"/>
    <w:basedOn w:val="DefaultParagraphFont"/>
    <w:rsid w:val="007714A0"/>
    <w:rPr>
      <w:sz w:val="16"/>
    </w:rPr>
  </w:style>
  <w:style w:type="paragraph" w:customStyle="1" w:styleId="WideTable">
    <w:name w:val="Wide Table"/>
    <w:basedOn w:val="Normal"/>
    <w:rsid w:val="007714A0"/>
    <w:pPr>
      <w:ind w:left="-1418"/>
    </w:pPr>
    <w:rPr>
      <w:sz w:val="2"/>
      <w:szCs w:val="2"/>
    </w:rPr>
  </w:style>
  <w:style w:type="character" w:styleId="PageNumber">
    <w:name w:val="page number"/>
    <w:basedOn w:val="DefaultParagraphFont"/>
    <w:rsid w:val="007714A0"/>
  </w:style>
  <w:style w:type="paragraph" w:styleId="Quote">
    <w:name w:val="Quote"/>
    <w:basedOn w:val="Heading1"/>
    <w:link w:val="QuoteChar"/>
    <w:qFormat/>
    <w:rsid w:val="007714A0"/>
    <w:rPr>
      <w:b w:val="0"/>
      <w:sz w:val="72"/>
      <w:szCs w:val="72"/>
      <w:lang w:val="en-NZ"/>
    </w:rPr>
  </w:style>
  <w:style w:type="character" w:customStyle="1" w:styleId="QuoteChar">
    <w:name w:val="Quote Char"/>
    <w:basedOn w:val="DefaultParagraphFont"/>
    <w:link w:val="Quote"/>
    <w:rsid w:val="007714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14A0"/>
    <w:pPr>
      <w:pageBreakBefore/>
    </w:pPr>
  </w:style>
  <w:style w:type="paragraph" w:customStyle="1" w:styleId="Border">
    <w:name w:val="Border"/>
    <w:basedOn w:val="Normal"/>
    <w:qFormat/>
    <w:rsid w:val="007714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14A0"/>
    <w:rPr>
      <w:b/>
      <w:bCs/>
      <w:i/>
      <w:iCs/>
      <w:color w:val="auto"/>
    </w:rPr>
  </w:style>
  <w:style w:type="paragraph" w:styleId="IntenseQuote">
    <w:name w:val="Intense Quote"/>
    <w:basedOn w:val="Normal"/>
    <w:next w:val="Normal"/>
    <w:link w:val="IntenseQuoteChar"/>
    <w:uiPriority w:val="30"/>
    <w:qFormat/>
    <w:rsid w:val="007714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14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14A0"/>
    <w:rPr>
      <w:smallCaps/>
      <w:color w:val="auto"/>
      <w:u w:val="single"/>
    </w:rPr>
  </w:style>
  <w:style w:type="character" w:styleId="IntenseReference">
    <w:name w:val="Intense Reference"/>
    <w:basedOn w:val="DefaultParagraphFont"/>
    <w:uiPriority w:val="32"/>
    <w:qFormat/>
    <w:rsid w:val="007714A0"/>
    <w:rPr>
      <w:b/>
      <w:bCs/>
      <w:smallCaps/>
      <w:color w:val="auto"/>
      <w:spacing w:val="5"/>
      <w:u w:val="single"/>
    </w:rPr>
  </w:style>
  <w:style w:type="paragraph" w:customStyle="1" w:styleId="2ColumnHeading">
    <w:name w:val="2Column Heading"/>
    <w:basedOn w:val="BodyText"/>
    <w:qFormat/>
    <w:rsid w:val="007714A0"/>
    <w:pPr>
      <w:spacing w:after="60"/>
      <w:ind w:left="-2268"/>
    </w:pPr>
    <w:rPr>
      <w:b/>
    </w:rPr>
  </w:style>
  <w:style w:type="paragraph" w:customStyle="1" w:styleId="Heading1TOC">
    <w:name w:val="Heading1 TOC"/>
    <w:basedOn w:val="Normal"/>
    <w:qFormat/>
    <w:rsid w:val="007714A0"/>
    <w:pPr>
      <w:spacing w:before="240" w:after="120"/>
    </w:pPr>
    <w:rPr>
      <w:rFonts w:ascii="Times New Roman" w:hAnsi="Times New Roman"/>
      <w:b/>
      <w:sz w:val="32"/>
    </w:rPr>
  </w:style>
  <w:style w:type="paragraph" w:customStyle="1" w:styleId="Heading2TOC">
    <w:name w:val="Heading2 TOC"/>
    <w:basedOn w:val="Normal"/>
    <w:qFormat/>
    <w:rsid w:val="007714A0"/>
    <w:pPr>
      <w:spacing w:before="240" w:after="60"/>
    </w:pPr>
    <w:rPr>
      <w:rFonts w:ascii="Times New Roman" w:hAnsi="Times New Roman"/>
      <w:b/>
      <w:sz w:val="28"/>
    </w:rPr>
  </w:style>
  <w:style w:type="character" w:customStyle="1" w:styleId="Underline">
    <w:name w:val="Underline"/>
    <w:basedOn w:val="DefaultParagraphFont"/>
    <w:qFormat/>
    <w:rsid w:val="007714A0"/>
    <w:rPr>
      <w:u w:val="single"/>
    </w:rPr>
  </w:style>
  <w:style w:type="character" w:customStyle="1" w:styleId="BoldandItalics">
    <w:name w:val="Bold and Italics"/>
    <w:qFormat/>
    <w:rsid w:val="007714A0"/>
    <w:rPr>
      <w:b/>
      <w:i/>
      <w:u w:val="none"/>
    </w:rPr>
  </w:style>
  <w:style w:type="paragraph" w:styleId="BalloonText">
    <w:name w:val="Balloon Text"/>
    <w:basedOn w:val="Normal"/>
    <w:link w:val="BalloonTextChar"/>
    <w:rsid w:val="007714A0"/>
    <w:rPr>
      <w:rFonts w:ascii="Tahoma" w:hAnsi="Tahoma" w:cs="Tahoma"/>
      <w:sz w:val="16"/>
      <w:szCs w:val="16"/>
    </w:rPr>
  </w:style>
  <w:style w:type="character" w:customStyle="1" w:styleId="BalloonTextChar">
    <w:name w:val="Balloon Text Char"/>
    <w:basedOn w:val="DefaultParagraphFont"/>
    <w:link w:val="BalloonText"/>
    <w:rsid w:val="007714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14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14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1751</Words>
  <Characters>11587</Characters>
  <Application>Microsoft Office Word</Application>
  <DocSecurity>0</DocSecurity>
  <Lines>357</Lines>
  <Paragraphs>210</Paragraphs>
  <ScaleCrop>false</ScaleCrop>
  <Company>Author-it Software Corporation Ltd.</Company>
  <LinksUpToDate>false</LinksUpToDate>
  <CharactersWithSpaces>13253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TLIX5036A Manage and monitor technical data and information systems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2012-05-27T04:15:00Z</dcterms:created>
  <dcterms:modified xsi:type="dcterms:W3CDTF">2012-05-27T04:15:00Z</dcterms:modified>
</cp:coreProperties>
</file>