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272A" w:rsidP="008C272A">
      <w:pPr>
        <w:pStyle w:val="Title"/>
      </w:pPr>
      <w:r>
        <w:fldChar w:fldCharType="begin"/>
      </w:r>
      <w:r>
        <w:instrText xml:space="preserve"> TITLE   \* MERGEFORMAT </w:instrText>
      </w:r>
      <w:r>
        <w:fldChar w:fldCharType="separate"/>
      </w:r>
      <w:r>
        <w:t>TLIX5014A Manage materiel sustainment operations</w:t>
      </w:r>
      <w:r>
        <w:fldChar w:fldCharType="end"/>
      </w:r>
    </w:p>
    <w:p w:rsidR="008C272A" w:rsidP="008C272A">
      <w:pPr>
        <w:pStyle w:val="Version"/>
        <w:sectPr w:rsidSect="00ED44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44A6" w:rsidP="00ED44A6">
      <w:pPr>
        <w:pStyle w:val="SuperHeading"/>
      </w:pPr>
      <w:r w:rsidRPr="00ED44A6">
        <w:t>TLIX5014A Manage materiel sustainment operations</w:t>
      </w:r>
    </w:p>
    <w:p w:rsidR="00000000" w:rsidRPr="00ED44A6" w:rsidP="00ED44A6">
      <w:pPr>
        <w:pStyle w:val="Heading1"/>
      </w:pPr>
      <w:bookmarkStart w:id="1" w:name="O_274403"/>
      <w:bookmarkEnd w:id="1"/>
      <w:r w:rsidRPr="00ED44A6">
        <w:t>Modification History</w:t>
      </w:r>
    </w:p>
    <w:p w:rsidR="00000000" w:rsidRPr="00ED44A6" w:rsidP="00ED44A6">
      <w:pPr>
        <w:pStyle w:val="BodyText"/>
      </w:pPr>
      <w:r w:rsidRPr="00ED44A6">
        <w:t>Not Applicable</w:t>
      </w:r>
    </w:p>
    <w:p w:rsidR="00000000" w:rsidRPr="00ED44A6" w:rsidP="00ED44A6">
      <w:pPr>
        <w:pStyle w:val="AllowPageBreak"/>
      </w:pPr>
    </w:p>
    <w:p w:rsidR="00000000" w:rsidRPr="00ED44A6" w:rsidP="00ED44A6">
      <w:pPr>
        <w:pStyle w:val="Heading1"/>
      </w:pPr>
      <w:bookmarkStart w:id="2" w:name="O_224674"/>
      <w:bookmarkEnd w:id="2"/>
      <w:r w:rsidRPr="00ED44A6">
        <w:t>Unit Descriptor</w:t>
      </w:r>
    </w:p>
    <w:tbl>
      <w:tblPr>
        <w:tblW w:w="9640" w:type="dxa"/>
        <w:tblLayout w:type="fixed"/>
        <w:tblCellMar>
          <w:left w:w="62" w:type="dxa"/>
          <w:right w:w="62" w:type="dxa"/>
        </w:tblCellMar>
        <w:tblLook w:val="0000"/>
      </w:tblPr>
      <w:tblGrid>
        <w:gridCol w:w="2978"/>
        <w:gridCol w:w="6662"/>
      </w:tblGrid>
      <w:tr w:rsidTr="008C27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D44A6" w:rsidP="00ED44A6">
            <w:pPr>
              <w:pStyle w:val="BodyText"/>
            </w:pPr>
            <w:r w:rsidRPr="00ED44A6">
              <w:t>This unit involves the skills and knowledge required to prepare for materiel sustainment operations, t</w:t>
            </w:r>
            <w:r w:rsidRPr="00ED44A6">
              <w:t xml:space="preserve">o manage those operations throughout the materiel life cycle and to report on those operations in the organisational environment. Materiel systems are a composite of equipment, skills and techniques capable of performing or supporting an operational role, </w:t>
            </w:r>
            <w:r w:rsidRPr="00ED44A6">
              <w:t>or both. A complete materiel system includes all equipment, related facilities, materiel, software, services and personnel required for its operation and support, to the degree that it can be considered self-sufficient in its intended operational environme</w:t>
            </w:r>
            <w:r w:rsidRPr="00ED44A6">
              <w:t>nt. There are no specific licensing or certification requirements applicable to this unit.</w:t>
            </w:r>
          </w:p>
        </w:tc>
      </w:tr>
    </w:tbl>
    <w:p w:rsidR="008C272A" w:rsidP="00ED44A6">
      <w:pPr>
        <w:pStyle w:val="BodyText"/>
      </w:pPr>
    </w:p>
    <w:p w:rsidR="008C272A" w:rsidP="00ED44A6">
      <w:pPr>
        <w:pStyle w:val="BodyText"/>
      </w:pPr>
    </w:p>
    <w:p w:rsidR="00000000" w:rsidRPr="00ED44A6" w:rsidP="00ED44A6">
      <w:pPr>
        <w:pStyle w:val="Heading1"/>
      </w:pPr>
      <w:bookmarkStart w:id="3" w:name="O_224676"/>
      <w:bookmarkEnd w:id="3"/>
      <w:r w:rsidRPr="00ED44A6">
        <w:t>Application of the Unit</w:t>
      </w:r>
    </w:p>
    <w:tbl>
      <w:tblPr>
        <w:tblW w:w="9640" w:type="dxa"/>
        <w:tblLayout w:type="fixed"/>
        <w:tblCellMar>
          <w:left w:w="62" w:type="dxa"/>
          <w:right w:w="62" w:type="dxa"/>
        </w:tblCellMar>
        <w:tblLook w:val="0000"/>
      </w:tblPr>
      <w:tblGrid>
        <w:gridCol w:w="2978"/>
        <w:gridCol w:w="6662"/>
      </w:tblGrid>
      <w:tr w:rsidTr="008C27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D44A6" w:rsidP="00ED44A6">
            <w:pPr>
              <w:pStyle w:val="BodyText"/>
            </w:pPr>
            <w:r w:rsidRPr="00ED44A6">
              <w:t>This unit was developed for materiel sustainment specialists working within materiel logistics but is applicable to any individual in broader logistic roles.</w:t>
            </w:r>
          </w:p>
          <w:p w:rsidR="00000000" w:rsidRPr="00ED44A6" w:rsidP="00ED44A6">
            <w:pPr>
              <w:pStyle w:val="BodyText"/>
            </w:pPr>
            <w:r w:rsidRPr="00ED44A6">
              <w:t>Typically these individuals must demonstrate the ability to work independently or as part of a tea</w:t>
            </w:r>
            <w:r w:rsidRPr="00ED44A6">
              <w:t>m under direct and/or indirect supervision, use discretion and judgement, and take responsibility for the quality of their outputs. All activities are carried out in accordance with relevant organisational policy and procedures.</w:t>
            </w:r>
          </w:p>
        </w:tc>
      </w:tr>
    </w:tbl>
    <w:p w:rsidR="008C272A" w:rsidP="00ED44A6">
      <w:pPr>
        <w:pStyle w:val="BodyText"/>
      </w:pPr>
    </w:p>
    <w:p w:rsidR="008C272A" w:rsidP="00ED44A6">
      <w:pPr>
        <w:pStyle w:val="BodyText"/>
      </w:pPr>
    </w:p>
    <w:p w:rsidR="00000000" w:rsidRPr="00ED44A6" w:rsidP="00ED44A6">
      <w:pPr>
        <w:pStyle w:val="Heading1"/>
      </w:pPr>
      <w:bookmarkStart w:id="4" w:name="O_282663"/>
      <w:bookmarkEnd w:id="4"/>
      <w:r w:rsidRPr="00ED44A6">
        <w:t>Licensi</w:t>
      </w:r>
      <w:r w:rsidRPr="00ED44A6">
        <w:t>ng/Regulatory Information</w:t>
      </w:r>
    </w:p>
    <w:p w:rsidR="00000000" w:rsidRPr="00ED44A6" w:rsidP="00ED44A6">
      <w:pPr>
        <w:pStyle w:val="BodyText"/>
      </w:pPr>
      <w:r w:rsidRPr="00ED44A6">
        <w:t>Refer to Unit Descriptor</w:t>
      </w:r>
    </w:p>
    <w:p w:rsidR="00000000" w:rsidRPr="00ED44A6" w:rsidP="00ED44A6">
      <w:pPr>
        <w:pStyle w:val="AllowPageBreak"/>
      </w:pPr>
    </w:p>
    <w:p w:rsidR="00000000" w:rsidRPr="00ED44A6" w:rsidP="00ED44A6">
      <w:pPr>
        <w:pStyle w:val="Heading1"/>
      </w:pPr>
      <w:bookmarkStart w:id="5" w:name="O_285113"/>
      <w:bookmarkEnd w:id="5"/>
      <w:r w:rsidRPr="00ED44A6">
        <w:t>Pre-Requisites</w:t>
      </w:r>
    </w:p>
    <w:p w:rsidR="00000000" w:rsidRPr="00ED44A6" w:rsidP="00ED44A6">
      <w:pPr>
        <w:pStyle w:val="BodyText"/>
      </w:pPr>
      <w:r w:rsidRPr="00ED44A6">
        <w:t>Not Applicable</w:t>
      </w:r>
    </w:p>
    <w:p w:rsidR="00000000" w:rsidRPr="00ED44A6" w:rsidP="00ED44A6">
      <w:pPr>
        <w:pStyle w:val="AllowPageBreak"/>
      </w:pPr>
    </w:p>
    <w:p w:rsidR="00000000" w:rsidRPr="00ED44A6" w:rsidP="00ED44A6">
      <w:pPr>
        <w:pStyle w:val="Heading1"/>
      </w:pPr>
      <w:bookmarkStart w:id="6" w:name="O_224675"/>
      <w:bookmarkEnd w:id="6"/>
      <w:r w:rsidRPr="00ED44A6">
        <w:t>Employability Skills Information</w:t>
      </w:r>
    </w:p>
    <w:tbl>
      <w:tblPr>
        <w:tblW w:w="9640" w:type="dxa"/>
        <w:tblLayout w:type="fixed"/>
        <w:tblCellMar>
          <w:left w:w="62" w:type="dxa"/>
          <w:right w:w="62" w:type="dxa"/>
        </w:tblCellMar>
        <w:tblLook w:val="0000"/>
      </w:tblPr>
      <w:tblGrid>
        <w:gridCol w:w="2978"/>
        <w:gridCol w:w="6662"/>
      </w:tblGrid>
      <w:tr w:rsidTr="008C272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D44A6" w:rsidP="00ED44A6">
            <w:pPr>
              <w:pStyle w:val="BodyText"/>
            </w:pPr>
            <w:r w:rsidRPr="00ED44A6">
              <w:t>This unit contains employability skills.</w:t>
            </w:r>
          </w:p>
        </w:tc>
      </w:tr>
    </w:tbl>
    <w:p w:rsidR="008C272A" w:rsidP="00ED44A6">
      <w:pPr>
        <w:pStyle w:val="BodyText"/>
      </w:pPr>
    </w:p>
    <w:p w:rsidR="008C272A" w:rsidP="00ED44A6">
      <w:pPr>
        <w:pStyle w:val="BodyText"/>
      </w:pPr>
    </w:p>
    <w:p w:rsidR="00000000" w:rsidRPr="00ED44A6" w:rsidP="00ED44A6">
      <w:pPr>
        <w:pStyle w:val="Heading1"/>
      </w:pPr>
      <w:bookmarkStart w:id="7" w:name="O_292449"/>
      <w:bookmarkEnd w:id="7"/>
      <w:r w:rsidRPr="00ED44A6">
        <w:t>Elements and Performance Criteria Pre-Content</w:t>
      </w:r>
    </w:p>
    <w:tbl>
      <w:tblPr>
        <w:tblW w:w="9640" w:type="dxa"/>
        <w:tblLayout w:type="fixed"/>
        <w:tblCellMar>
          <w:left w:w="62" w:type="dxa"/>
          <w:right w:w="62" w:type="dxa"/>
        </w:tblCellMar>
        <w:tblLook w:val="0000"/>
      </w:tblPr>
      <w:tblGrid>
        <w:gridCol w:w="2978"/>
        <w:gridCol w:w="6662"/>
      </w:tblGrid>
      <w:tr w:rsidTr="008C27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D44A6" w:rsidP="00ED44A6">
            <w:pPr>
              <w:pStyle w:val="BodyText"/>
            </w:pPr>
            <w:r w:rsidRPr="00ED44A6">
              <w:t>Performance criteria describe the required performance needed to demonstrate achievement of the element. Assessment of performance is to be cons</w:t>
            </w:r>
            <w:r w:rsidRPr="00ED44A6">
              <w:t>istent with the evidence guide.</w:t>
            </w:r>
          </w:p>
        </w:tc>
      </w:tr>
    </w:tbl>
    <w:p w:rsidR="00000000" w:rsidRPr="00ED44A6" w:rsidP="00ED44A6">
      <w:pPr>
        <w:pStyle w:val="BodyText"/>
      </w:pPr>
    </w:p>
    <w:p w:rsidR="00000000" w:rsidRPr="00ED44A6" w:rsidP="00ED44A6">
      <w:pPr>
        <w:pStyle w:val="AllowPageBreak"/>
      </w:pPr>
    </w:p>
    <w:p w:rsidR="00000000" w:rsidRPr="00ED44A6" w:rsidP="00ED44A6">
      <w:pPr>
        <w:pStyle w:val="Heading1"/>
      </w:pPr>
      <w:bookmarkStart w:id="8" w:name="O_239117"/>
      <w:bookmarkEnd w:id="8"/>
      <w:r w:rsidRPr="00ED44A6">
        <w:t>Elements and Performance Criteria</w:t>
      </w:r>
    </w:p>
    <w:tbl>
      <w:tblPr>
        <w:tblW w:w="9640" w:type="dxa"/>
        <w:tblLayout w:type="fixed"/>
        <w:tblCellMar>
          <w:left w:w="62" w:type="dxa"/>
          <w:right w:w="62" w:type="dxa"/>
        </w:tblCellMar>
        <w:tblLook w:val="0000"/>
      </w:tblPr>
      <w:tblGrid>
        <w:gridCol w:w="2978"/>
        <w:gridCol w:w="6662"/>
      </w:tblGrid>
      <w:tr w:rsidTr="008C272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D44A6" w:rsidP="00ED44A6">
            <w:pPr>
              <w:pStyle w:val="List"/>
            </w:pPr>
            <w:r w:rsidRPr="00ED44A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D44A6">
            <w:pPr>
              <w:pStyle w:val="List"/>
              <w:rPr>
                <w:lang w:val="en-NZ"/>
              </w:rPr>
            </w:pPr>
            <w:r w:rsidRPr="00ED44A6">
              <w:rPr>
                <w:rStyle w:val="SpecialBold"/>
              </w:rPr>
              <w:t>PERFORMANCE CRITERIA</w:t>
            </w:r>
          </w:p>
        </w:tc>
      </w:tr>
      <w:tr w:rsidTr="008C27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D44A6">
            <w:pPr>
              <w:pStyle w:val="List"/>
              <w:rPr>
                <w:lang w:val="en-NZ"/>
              </w:rPr>
            </w:pPr>
            <w:r w:rsidRPr="00ED44A6">
              <w:rPr>
                <w:rStyle w:val="SpecialBold"/>
              </w:rPr>
              <w:t>1</w:t>
            </w:r>
            <w:r w:rsidRPr="00ED44A6">
              <w:tab/>
            </w:r>
            <w:r w:rsidRPr="00ED44A6">
              <w:rPr>
                <w:rStyle w:val="SpecialBold"/>
              </w:rPr>
              <w:t>Identify materiel sustainment management requirements</w:t>
            </w:r>
          </w:p>
        </w:tc>
        <w:tc>
          <w:tcPr>
            <w:tcW w:w="6662" w:type="dxa"/>
            <w:tcBorders>
              <w:top w:val="nil"/>
              <w:left w:val="nil"/>
              <w:bottom w:val="nil"/>
              <w:right w:val="nil"/>
            </w:tcBorders>
            <w:tcMar>
              <w:top w:w="0" w:type="dxa"/>
              <w:left w:w="62" w:type="dxa"/>
              <w:bottom w:w="0" w:type="dxa"/>
              <w:right w:w="62" w:type="dxa"/>
            </w:tcMar>
          </w:tcPr>
          <w:p w:rsidR="00000000" w:rsidRPr="00ED44A6" w:rsidP="00ED44A6">
            <w:pPr>
              <w:pStyle w:val="List"/>
            </w:pPr>
            <w:r w:rsidRPr="00ED44A6">
              <w:t>1.1</w:t>
            </w:r>
            <w:r w:rsidRPr="00ED44A6">
              <w:tab/>
            </w:r>
            <w:r w:rsidRPr="00ED44A6">
              <w:t>Sources of information relevant to materiel sustainment are identified and obtained in accordance with organisational policy and procedures</w:t>
            </w:r>
          </w:p>
          <w:p w:rsidR="00000000" w:rsidRPr="00ED44A6" w:rsidP="00ED44A6">
            <w:pPr>
              <w:pStyle w:val="List"/>
            </w:pPr>
            <w:r w:rsidRPr="00ED44A6">
              <w:t>1.2</w:t>
            </w:r>
            <w:r w:rsidRPr="00ED44A6">
              <w:tab/>
              <w:t>Currency of information is reviewed and documented in accordance with organisational policy and procedures</w:t>
            </w:r>
          </w:p>
          <w:p w:rsidR="00000000" w:rsidP="00ED44A6">
            <w:pPr>
              <w:pStyle w:val="List"/>
              <w:rPr>
                <w:lang w:val="en-NZ"/>
              </w:rPr>
            </w:pPr>
            <w:r w:rsidRPr="00ED44A6">
              <w:t>1.3</w:t>
            </w:r>
            <w:r w:rsidRPr="00ED44A6">
              <w:tab/>
              <w:t>M</w:t>
            </w:r>
            <w:r w:rsidRPr="00ED44A6">
              <w:t>ateriel sustainment management requirements are defined and documented in accordance with organisational policy and procedures</w:t>
            </w:r>
          </w:p>
        </w:tc>
      </w:tr>
      <w:tr w:rsidTr="008C27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D44A6">
            <w:pPr>
              <w:pStyle w:val="List"/>
              <w:rPr>
                <w:lang w:val="en-NZ"/>
              </w:rPr>
            </w:pPr>
            <w:r w:rsidRPr="00ED44A6">
              <w:rPr>
                <w:rStyle w:val="SpecialBold"/>
              </w:rPr>
              <w:t>2</w:t>
            </w:r>
            <w:r w:rsidRPr="00ED44A6">
              <w:tab/>
            </w:r>
            <w:r w:rsidRPr="00ED44A6">
              <w:rPr>
                <w:rStyle w:val="SpecialBold"/>
              </w:rPr>
              <w:t>Develop materiel sustainment management operations</w:t>
            </w:r>
          </w:p>
        </w:tc>
        <w:tc>
          <w:tcPr>
            <w:tcW w:w="6662" w:type="dxa"/>
            <w:tcBorders>
              <w:top w:val="nil"/>
              <w:left w:val="nil"/>
              <w:bottom w:val="nil"/>
              <w:right w:val="nil"/>
            </w:tcBorders>
            <w:tcMar>
              <w:top w:w="0" w:type="dxa"/>
              <w:left w:w="62" w:type="dxa"/>
              <w:bottom w:w="0" w:type="dxa"/>
              <w:right w:w="62" w:type="dxa"/>
            </w:tcMar>
          </w:tcPr>
          <w:p w:rsidR="00000000" w:rsidRPr="00ED44A6" w:rsidP="00ED44A6">
            <w:pPr>
              <w:pStyle w:val="List"/>
            </w:pPr>
            <w:r w:rsidRPr="00ED44A6">
              <w:t>2.1</w:t>
            </w:r>
            <w:r w:rsidRPr="00ED44A6">
              <w:tab/>
              <w:t>Consultation with stakeholders is conducted in accordance with organisa</w:t>
            </w:r>
            <w:r w:rsidRPr="00ED44A6">
              <w:t>tional policy and procedures</w:t>
            </w:r>
          </w:p>
          <w:p w:rsidR="00000000" w:rsidRPr="00ED44A6" w:rsidP="00ED44A6">
            <w:pPr>
              <w:pStyle w:val="List"/>
            </w:pPr>
            <w:r w:rsidRPr="00ED44A6">
              <w:t>2.2</w:t>
            </w:r>
            <w:r w:rsidRPr="00ED44A6">
              <w:tab/>
              <w:t>Materiel sustainment operations are developed and recorded taking into account materiel and/or materiel system in accordance with organisational policy and procedures</w:t>
            </w:r>
          </w:p>
          <w:p w:rsidR="00000000" w:rsidRPr="00ED44A6" w:rsidP="00ED44A6">
            <w:pPr>
              <w:pStyle w:val="List"/>
            </w:pPr>
            <w:r w:rsidRPr="00ED44A6">
              <w:t>2.3</w:t>
            </w:r>
            <w:r w:rsidRPr="00ED44A6">
              <w:tab/>
              <w:t>Key performance indicators are developed and documen</w:t>
            </w:r>
            <w:r w:rsidRPr="00ED44A6">
              <w:t>ted in accordance with organisational policy and procedures</w:t>
            </w:r>
          </w:p>
          <w:p w:rsidR="00000000" w:rsidP="00ED44A6">
            <w:pPr>
              <w:pStyle w:val="List"/>
              <w:rPr>
                <w:lang w:val="en-NZ"/>
              </w:rPr>
            </w:pPr>
            <w:r w:rsidRPr="00ED44A6">
              <w:t>2.4</w:t>
            </w:r>
            <w:r w:rsidRPr="00ED44A6">
              <w:tab/>
              <w:t>Costing analysis processes are developed and documented in accordance with organisational policy and procedures</w:t>
            </w:r>
          </w:p>
        </w:tc>
      </w:tr>
      <w:tr w:rsidTr="008C27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D44A6">
            <w:pPr>
              <w:pStyle w:val="List"/>
              <w:rPr>
                <w:lang w:val="en-NZ"/>
              </w:rPr>
            </w:pPr>
            <w:r w:rsidRPr="00ED44A6">
              <w:rPr>
                <w:rStyle w:val="SpecialBold"/>
              </w:rPr>
              <w:t>3</w:t>
            </w:r>
            <w:r w:rsidRPr="00ED44A6">
              <w:tab/>
            </w:r>
            <w:r w:rsidRPr="00ED44A6">
              <w:rPr>
                <w:rStyle w:val="SpecialBold"/>
              </w:rPr>
              <w:t>Apply materiel sustainment management operations</w:t>
            </w:r>
          </w:p>
        </w:tc>
        <w:tc>
          <w:tcPr>
            <w:tcW w:w="6662" w:type="dxa"/>
            <w:tcBorders>
              <w:top w:val="nil"/>
              <w:left w:val="nil"/>
              <w:bottom w:val="nil"/>
              <w:right w:val="nil"/>
            </w:tcBorders>
            <w:tcMar>
              <w:top w:w="0" w:type="dxa"/>
              <w:left w:w="62" w:type="dxa"/>
              <w:bottom w:w="0" w:type="dxa"/>
              <w:right w:w="62" w:type="dxa"/>
            </w:tcMar>
          </w:tcPr>
          <w:p w:rsidR="00000000" w:rsidRPr="00ED44A6" w:rsidP="00ED44A6">
            <w:pPr>
              <w:pStyle w:val="List"/>
            </w:pPr>
            <w:r w:rsidRPr="00ED44A6">
              <w:t>3.1</w:t>
            </w:r>
            <w:r w:rsidRPr="00ED44A6">
              <w:tab/>
              <w:t>Materiel sustainment ris</w:t>
            </w:r>
            <w:r w:rsidRPr="00ED44A6">
              <w:t>ks and impacts are identified, recorded and managed</w:t>
            </w:r>
          </w:p>
          <w:p w:rsidR="00000000" w:rsidRPr="00ED44A6" w:rsidP="00ED44A6">
            <w:pPr>
              <w:pStyle w:val="List"/>
            </w:pPr>
            <w:r w:rsidRPr="00ED44A6">
              <w:t>3.2</w:t>
            </w:r>
            <w:r w:rsidRPr="00ED44A6">
              <w:tab/>
              <w:t>Materiel sustainment procedures are applied in accordance with legislative requirements</w:t>
            </w:r>
          </w:p>
          <w:p w:rsidR="00000000" w:rsidRPr="00ED44A6" w:rsidP="00ED44A6">
            <w:pPr>
              <w:pStyle w:val="List"/>
            </w:pPr>
            <w:r w:rsidRPr="00ED44A6">
              <w:t>3.3</w:t>
            </w:r>
            <w:r w:rsidRPr="00ED44A6">
              <w:tab/>
              <w:t>Management operations are carried out in accordance with organisational policy and procedures</w:t>
            </w:r>
          </w:p>
          <w:p w:rsidR="00000000" w:rsidRPr="00ED44A6" w:rsidP="00ED44A6">
            <w:pPr>
              <w:pStyle w:val="List"/>
            </w:pPr>
            <w:r w:rsidRPr="00ED44A6">
              <w:t>3.4</w:t>
            </w:r>
            <w:r w:rsidRPr="00ED44A6">
              <w:tab/>
              <w:t>Failures a</w:t>
            </w:r>
            <w:r w:rsidRPr="00ED44A6">
              <w:t>nd variances are documented, reported and managed in accordance with organisational policy and procedures</w:t>
            </w:r>
          </w:p>
          <w:p w:rsidR="00000000" w:rsidP="00ED44A6">
            <w:pPr>
              <w:pStyle w:val="List"/>
              <w:rPr>
                <w:lang w:val="en-NZ"/>
              </w:rPr>
            </w:pPr>
            <w:r w:rsidRPr="00ED44A6">
              <w:t>3.5</w:t>
            </w:r>
            <w:r w:rsidRPr="00ED44A6">
              <w:tab/>
              <w:t>Participation and contribution to materiel sustainment activities are established and maintained</w:t>
            </w:r>
          </w:p>
        </w:tc>
      </w:tr>
      <w:tr w:rsidTr="008C27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D44A6">
            <w:pPr>
              <w:pStyle w:val="List"/>
              <w:rPr>
                <w:lang w:val="en-NZ"/>
              </w:rPr>
            </w:pPr>
            <w:r w:rsidRPr="00ED44A6">
              <w:rPr>
                <w:rStyle w:val="SpecialBold"/>
              </w:rPr>
              <w:t>4</w:t>
            </w:r>
            <w:r w:rsidRPr="00ED44A6">
              <w:tab/>
            </w:r>
            <w:r w:rsidRPr="00ED44A6">
              <w:rPr>
                <w:rStyle w:val="SpecialBold"/>
              </w:rPr>
              <w:t>Review materiel sustainment operations</w:t>
            </w:r>
          </w:p>
        </w:tc>
        <w:tc>
          <w:tcPr>
            <w:tcW w:w="6662" w:type="dxa"/>
            <w:tcBorders>
              <w:top w:val="nil"/>
              <w:left w:val="nil"/>
              <w:bottom w:val="nil"/>
              <w:right w:val="nil"/>
            </w:tcBorders>
            <w:tcMar>
              <w:top w:w="0" w:type="dxa"/>
              <w:left w:w="62" w:type="dxa"/>
              <w:bottom w:w="0" w:type="dxa"/>
              <w:right w:w="62" w:type="dxa"/>
            </w:tcMar>
          </w:tcPr>
          <w:p w:rsidR="00000000" w:rsidRPr="00ED44A6" w:rsidP="00ED44A6">
            <w:pPr>
              <w:pStyle w:val="List"/>
            </w:pPr>
            <w:r w:rsidRPr="00ED44A6">
              <w:t>4.1</w:t>
            </w:r>
            <w:r w:rsidRPr="00ED44A6">
              <w:tab/>
            </w:r>
            <w:r w:rsidRPr="00ED44A6">
              <w:t>Performance systems and processes are monitored and analysed to assess progress in achieving plans and targets</w:t>
            </w:r>
          </w:p>
          <w:p w:rsidR="00000000" w:rsidRPr="00ED44A6" w:rsidP="00ED44A6">
            <w:pPr>
              <w:pStyle w:val="List"/>
            </w:pPr>
            <w:r w:rsidRPr="00ED44A6">
              <w:t>4.2</w:t>
            </w:r>
            <w:r w:rsidRPr="00ED44A6">
              <w:tab/>
              <w:t>Systems, procedures and records associated with documenting performance are managed in accordance with the organisation's requirements</w:t>
            </w:r>
          </w:p>
          <w:p w:rsidR="00000000" w:rsidRPr="00ED44A6" w:rsidP="00ED44A6">
            <w:pPr>
              <w:pStyle w:val="List"/>
            </w:pPr>
            <w:r w:rsidRPr="00ED44A6">
              <w:t>4.3</w:t>
            </w:r>
            <w:r w:rsidRPr="00ED44A6">
              <w:tab/>
              <w:t>Ma</w:t>
            </w:r>
            <w:r w:rsidRPr="00ED44A6">
              <w:t>teriel sustainment operations are reviewed in accordance with organisational policy and procedures</w:t>
            </w:r>
          </w:p>
          <w:p w:rsidR="00000000" w:rsidRPr="00ED44A6" w:rsidP="00ED44A6">
            <w:pPr>
              <w:pStyle w:val="List"/>
            </w:pPr>
            <w:r w:rsidRPr="00ED44A6">
              <w:t>4.4</w:t>
            </w:r>
            <w:r w:rsidRPr="00ED44A6">
              <w:tab/>
              <w:t>Changes required are identified and prepared in accordance with organisational policy and procedures</w:t>
            </w:r>
          </w:p>
          <w:p w:rsidR="00000000" w:rsidRPr="00ED44A6" w:rsidP="00ED44A6">
            <w:pPr>
              <w:pStyle w:val="List"/>
            </w:pPr>
            <w:r w:rsidRPr="00ED44A6">
              <w:t>4.5</w:t>
            </w:r>
            <w:r w:rsidRPr="00ED44A6">
              <w:tab/>
              <w:t>Amendments to materiel sustainment operations ar</w:t>
            </w:r>
            <w:r w:rsidRPr="00ED44A6">
              <w:t>e incorporated into plans and promulgated to relevant stakeholders, in accordance with organisational policy and procedures</w:t>
            </w:r>
          </w:p>
        </w:tc>
      </w:tr>
    </w:tbl>
    <w:p w:rsidR="008C272A" w:rsidP="00ED44A6">
      <w:pPr>
        <w:pStyle w:val="BodyText"/>
      </w:pPr>
    </w:p>
    <w:p w:rsidR="008C272A" w:rsidP="00ED44A6">
      <w:pPr>
        <w:pStyle w:val="BodyText"/>
      </w:pPr>
    </w:p>
    <w:p w:rsidR="00000000" w:rsidRPr="00ED44A6" w:rsidP="00ED44A6">
      <w:pPr>
        <w:pStyle w:val="Heading1"/>
      </w:pPr>
      <w:bookmarkStart w:id="9" w:name="O_262908"/>
      <w:bookmarkEnd w:id="9"/>
      <w:r w:rsidRPr="00ED44A6">
        <w:t>Required Skills and Knowledge</w:t>
      </w:r>
    </w:p>
    <w:tbl>
      <w:tblPr>
        <w:tblW w:w="9640" w:type="dxa"/>
        <w:tblLayout w:type="fixed"/>
        <w:tblCellMar>
          <w:left w:w="62" w:type="dxa"/>
          <w:right w:w="62" w:type="dxa"/>
        </w:tblCellMar>
        <w:tblLook w:val="0000"/>
      </w:tblPr>
      <w:tblGrid>
        <w:gridCol w:w="9640"/>
      </w:tblGrid>
      <w:tr w:rsidTr="008C272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rPr>
                <w:rStyle w:val="SpecialBold"/>
              </w:rPr>
              <w:t>REQUIRED KNOWLEDGE AND SKILLS</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t>This describes the essential knowledge and skills and their level required for this unit.</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rPr>
                <w:rStyle w:val="SpecialBold"/>
              </w:rPr>
              <w:t>Required knowledge</w:t>
            </w:r>
            <w:r w:rsidRPr="00ED44A6">
              <w:t>:</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Codification and cataloguing processes</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Industrial base capability</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Legislative and regulatory environment as it pertains to materiel logisti</w:t>
            </w:r>
            <w:r w:rsidRPr="00ED44A6">
              <w:t>cs, including environmental, sustainability issues</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Logistics governance</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Logistics support analysis principles and processes</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Management processes</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Materiel sustainment</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Organisational policy and procedures</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Organisational role relevant to materiel sustainment</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Performance measurement</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Product knowledge related to systems and/or equipment in service in the organisation</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D44A6" w:rsidP="00ED44A6">
            <w:pPr>
              <w:pStyle w:val="ListBullet"/>
            </w:pPr>
            <w:r w:rsidRPr="00ED44A6">
              <w:t xml:space="preserve">Safety, legislative and statutory requirements, including environmental, sustainability </w:t>
            </w:r>
            <w:r w:rsidRPr="00ED44A6">
              <w:t>issues relevant to materiel sustainment</w:t>
            </w:r>
          </w:p>
        </w:tc>
      </w:tr>
    </w:tbl>
    <w:p w:rsidR="00000000" w:rsidRPr="00ED44A6" w:rsidP="00ED44A6">
      <w:pPr>
        <w:pStyle w:val="BodyText"/>
      </w:pPr>
    </w:p>
    <w:tbl>
      <w:tblPr>
        <w:tblW w:w="9640" w:type="dxa"/>
        <w:tblLayout w:type="fixed"/>
        <w:tblCellMar>
          <w:left w:w="62" w:type="dxa"/>
          <w:right w:w="62" w:type="dxa"/>
        </w:tblCellMar>
        <w:tblLook w:val="0000"/>
      </w:tblPr>
      <w:tblGrid>
        <w:gridCol w:w="9640"/>
      </w:tblGrid>
      <w:tr w:rsidTr="008C272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rPr>
                <w:rStyle w:val="SpecialBold"/>
              </w:rPr>
              <w:t>Required skills</w:t>
            </w:r>
            <w:r w:rsidRPr="00ED44A6">
              <w:t>:</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Apply materiel sustainment and project management knowledge to relevant materiel sustainment operations</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Consult and negotiate with stakeholders (both internal and external) and resolve any pote</w:t>
            </w:r>
            <w:r w:rsidRPr="00ED44A6">
              <w:t>ntial areas of conflict or concern to ensure that overall objectives are achieved</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 xml:space="preserve">Demonstrate an understanding of the strategic objectives of the organisation, and </w:t>
            </w:r>
            <w:r w:rsidRPr="00ED44A6">
              <w:t>identify long-term factors and external considerations that need to be taken into consideration when managing materiel sustainment operations</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Display resilience by continuing to move forward despite criticism or setbacks</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Identify the relationship betwe</w:t>
            </w:r>
            <w:r w:rsidRPr="00ED44A6">
              <w:t>en organisational goals and recognise how own work contributes to the achievement of those goals</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Manage obsolescence by ensuring implications of obsolescence are taken into consideration, and determining and implementing an obsolescence management strate</w:t>
            </w:r>
            <w:r w:rsidRPr="00ED44A6">
              <w:t>gy in accordance with policy and procedures</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Manage procurement activities occurring in the materiel sustainment environment</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Undertake performance measurement to enable objectives to be measured against defined parameters</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Undertake research and analys</w:t>
            </w:r>
            <w:r w:rsidRPr="00ED44A6">
              <w:t>is to investigate internal and external factors that impact on the materiel sustainment program</w:t>
            </w:r>
          </w:p>
        </w:tc>
      </w:tr>
      <w:tr w:rsidTr="008C27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D44A6" w:rsidP="00ED44A6">
            <w:pPr>
              <w:pStyle w:val="ListBullet"/>
            </w:pPr>
            <w:r w:rsidRPr="00ED44A6">
              <w:t>Use appropriate information technology and software</w:t>
            </w:r>
          </w:p>
        </w:tc>
      </w:tr>
    </w:tbl>
    <w:p w:rsidR="008C272A" w:rsidP="00ED44A6">
      <w:pPr>
        <w:pStyle w:val="BodyText"/>
      </w:pPr>
    </w:p>
    <w:p w:rsidR="008C272A" w:rsidP="00ED44A6">
      <w:pPr>
        <w:pStyle w:val="BodyText"/>
      </w:pPr>
    </w:p>
    <w:p w:rsidR="00000000" w:rsidRPr="00ED44A6" w:rsidP="00ED44A6">
      <w:pPr>
        <w:pStyle w:val="Heading1"/>
      </w:pPr>
      <w:bookmarkStart w:id="10" w:name="O_247101"/>
      <w:bookmarkEnd w:id="10"/>
      <w:r w:rsidRPr="00ED44A6">
        <w:t>Evidence Guide</w:t>
      </w:r>
    </w:p>
    <w:tbl>
      <w:tblPr>
        <w:tblW w:w="9499" w:type="dxa"/>
        <w:tblLayout w:type="fixed"/>
        <w:tblCellMar>
          <w:left w:w="62" w:type="dxa"/>
          <w:right w:w="62" w:type="dxa"/>
        </w:tblCellMar>
        <w:tblLook w:val="0000"/>
      </w:tblPr>
      <w:tblGrid>
        <w:gridCol w:w="3524"/>
        <w:gridCol w:w="5975"/>
      </w:tblGrid>
      <w:tr w:rsidTr="008C272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rPr>
                <w:rStyle w:val="SpecialBold"/>
              </w:rPr>
              <w:t>EVIDENCE GUIDE</w:t>
            </w:r>
          </w:p>
        </w:tc>
      </w:tr>
      <w:tr w:rsidTr="008C272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t>The ev</w:t>
            </w:r>
            <w:r w:rsidRPr="00ED44A6">
              <w:t>idence guide provides advice on assessment and must be read in conjunction with the performance criteria, required knowledge and skills, the range statement and the assessment guidelines for this Training Package.</w:t>
            </w:r>
          </w:p>
        </w:tc>
      </w:tr>
      <w:tr w:rsidTr="008C272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D44A6" w:rsidP="00ED44A6">
            <w:pPr>
              <w:pStyle w:val="ListBullet"/>
            </w:pPr>
            <w:r w:rsidRPr="00ED44A6">
              <w:t>Assessment must confirm the ability to:</w:t>
            </w:r>
          </w:p>
          <w:p w:rsidR="00000000" w:rsidRPr="00ED44A6" w:rsidP="00ED44A6">
            <w:pPr>
              <w:pStyle w:val="ListBullet2"/>
            </w:pPr>
            <w:r w:rsidRPr="00ED44A6">
              <w:t>adhere to relevant occupational health and safety requirements</w:t>
            </w:r>
          </w:p>
          <w:p w:rsidR="00000000" w:rsidRPr="00ED44A6" w:rsidP="00ED44A6">
            <w:pPr>
              <w:pStyle w:val="ListBullet2"/>
            </w:pPr>
            <w:r w:rsidRPr="00ED44A6">
              <w:t>identify and establish materiel sustainment operation proc</w:t>
            </w:r>
            <w:r w:rsidRPr="00ED44A6">
              <w:t>esses</w:t>
            </w:r>
          </w:p>
          <w:p w:rsidR="00000000" w:rsidRPr="00ED44A6" w:rsidP="00ED44A6">
            <w:pPr>
              <w:pStyle w:val="ListBullet2"/>
            </w:pPr>
            <w:r w:rsidRPr="00ED44A6">
              <w:t>identify, acquire and adjust resources as necessary to ensure effective and efficient performance of the processes</w:t>
            </w:r>
          </w:p>
          <w:p w:rsidR="00000000" w:rsidRPr="00ED44A6" w:rsidP="00ED44A6">
            <w:pPr>
              <w:pStyle w:val="ListBullet2"/>
            </w:pPr>
            <w:r w:rsidRPr="00ED44A6">
              <w:t>initiate and efficiently monitor processes</w:t>
            </w:r>
          </w:p>
          <w:p w:rsidR="00000000" w:rsidRPr="00ED44A6" w:rsidP="00ED44A6">
            <w:pPr>
              <w:pStyle w:val="ListBullet2"/>
            </w:pPr>
            <w:r w:rsidRPr="00ED44A6">
              <w:t>initiate any remedial action required</w:t>
            </w:r>
          </w:p>
          <w:p w:rsidR="00000000" w:rsidP="00ED44A6">
            <w:pPr>
              <w:pStyle w:val="ListBullet"/>
              <w:rPr>
                <w:lang w:val="en-NZ"/>
              </w:rPr>
            </w:pPr>
            <w:r w:rsidRPr="00ED44A6">
              <w:t>Competency should be demonstrated over time and should be observed in a range of actual or simulated work contexts</w:t>
            </w:r>
          </w:p>
        </w:tc>
      </w:tr>
      <w:tr w:rsidTr="008C272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D44A6" w:rsidP="00ED44A6">
            <w:pPr>
              <w:pStyle w:val="ListBullet"/>
            </w:pPr>
            <w:r w:rsidRPr="00ED44A6">
              <w:t>Competency should be assessed in the workplace or in a simulated workplace environment</w:t>
            </w:r>
          </w:p>
          <w:p w:rsidR="00000000" w:rsidRPr="00ED44A6" w:rsidP="00ED44A6">
            <w:pPr>
              <w:pStyle w:val="ListBullet"/>
            </w:pPr>
            <w:r w:rsidRPr="00ED44A6">
              <w:t>Acc</w:t>
            </w:r>
            <w:r w:rsidRPr="00ED44A6">
              <w:t>ess is required to:</w:t>
            </w:r>
          </w:p>
          <w:p w:rsidR="00000000" w:rsidRPr="00ED44A6" w:rsidP="00ED44A6">
            <w:pPr>
              <w:pStyle w:val="ListBullet2"/>
            </w:pPr>
            <w:r w:rsidRPr="00ED44A6">
              <w:t>computer and relevant software</w:t>
            </w:r>
          </w:p>
          <w:p w:rsidR="00000000" w:rsidRPr="00ED44A6" w:rsidP="00ED44A6">
            <w:pPr>
              <w:pStyle w:val="ListBullet2"/>
            </w:pPr>
            <w:r w:rsidRPr="00ED44A6">
              <w:t>legislation, guidelines, procedures and protocols relating to materiel sustainment</w:t>
            </w:r>
          </w:p>
          <w:p w:rsidR="00000000" w:rsidRPr="00ED44A6" w:rsidP="00ED44A6">
            <w:pPr>
              <w:pStyle w:val="ListBullet2"/>
            </w:pPr>
            <w:r w:rsidRPr="00ED44A6">
              <w:t>plans</w:t>
            </w:r>
          </w:p>
          <w:p w:rsidR="00000000" w:rsidP="00ED44A6">
            <w:pPr>
              <w:pStyle w:val="ListBullet2"/>
              <w:rPr>
                <w:lang w:val="en-NZ"/>
              </w:rPr>
            </w:pPr>
            <w:r w:rsidRPr="00ED44A6">
              <w:t>workplace documentation</w:t>
            </w:r>
          </w:p>
        </w:tc>
      </w:tr>
      <w:tr w:rsidTr="008C272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D44A6" w:rsidP="00ED44A6">
            <w:pPr>
              <w:pStyle w:val="ListBullet"/>
            </w:pPr>
            <w:r w:rsidRPr="00ED44A6">
              <w:t>Assessment of this unit must be undertaken by a registered</w:t>
            </w:r>
            <w:r w:rsidRPr="00ED44A6">
              <w:t xml:space="preserve"> training organisation</w:t>
            </w:r>
          </w:p>
          <w:p w:rsidR="00000000" w:rsidRPr="00ED44A6" w:rsidP="00ED44A6">
            <w:pPr>
              <w:pStyle w:val="ListBullet"/>
            </w:pPr>
            <w:r w:rsidRPr="00ED44A6">
              <w:t>Where possible, assessment should be supported by questions to assess required knowledge. Questioning techniques should suit the language and literacy levels of the candidate</w:t>
            </w:r>
          </w:p>
          <w:p w:rsidR="00000000" w:rsidRPr="00ED44A6" w:rsidP="00ED44A6">
            <w:pPr>
              <w:pStyle w:val="ListBullet"/>
            </w:pPr>
            <w:r w:rsidRPr="00ED44A6">
              <w:t>Assessment methods should reflect workplace demands such a</w:t>
            </w:r>
            <w:r w:rsidRPr="00ED44A6">
              <w:t>s literacy and the needs of particular groups</w:t>
            </w:r>
          </w:p>
          <w:p w:rsidR="00000000" w:rsidRPr="00ED44A6" w:rsidP="00ED44A6">
            <w:pPr>
              <w:pStyle w:val="ListBullet"/>
            </w:pPr>
            <w:r w:rsidRPr="00ED44A6">
              <w:t>Assessment methods suitable for valid and reliable assessment of this unit of competency may include a combination of methods such as:</w:t>
            </w:r>
          </w:p>
          <w:p w:rsidR="00000000" w:rsidRPr="00ED44A6" w:rsidP="00ED44A6">
            <w:pPr>
              <w:pStyle w:val="ListBullet2"/>
            </w:pPr>
            <w:r w:rsidRPr="00ED44A6">
              <w:t>authenticated evidence from the workplace and/or training programs</w:t>
            </w:r>
          </w:p>
          <w:p w:rsidR="00000000" w:rsidRPr="00ED44A6" w:rsidP="00ED44A6">
            <w:pPr>
              <w:pStyle w:val="ListBullet2"/>
            </w:pPr>
            <w:r w:rsidRPr="00ED44A6">
              <w:t>case st</w:t>
            </w:r>
            <w:r w:rsidRPr="00ED44A6">
              <w:t>udies</w:t>
            </w:r>
          </w:p>
          <w:p w:rsidR="00000000" w:rsidRPr="00ED44A6" w:rsidP="00ED44A6">
            <w:pPr>
              <w:pStyle w:val="ListBullet2"/>
            </w:pPr>
            <w:r w:rsidRPr="00ED44A6">
              <w:t>demonstration</w:t>
            </w:r>
          </w:p>
          <w:p w:rsidR="00000000" w:rsidRPr="00ED44A6" w:rsidP="00ED44A6">
            <w:pPr>
              <w:pStyle w:val="ListBullet2"/>
            </w:pPr>
            <w:r w:rsidRPr="00ED44A6">
              <w:t>feedback from supervisors and peers regarding the candidate's ability</w:t>
            </w:r>
          </w:p>
          <w:p w:rsidR="00000000" w:rsidRPr="00ED44A6" w:rsidP="00ED44A6">
            <w:pPr>
              <w:pStyle w:val="ListBullet2"/>
            </w:pPr>
            <w:r w:rsidRPr="00ED44A6">
              <w:t>observation</w:t>
            </w:r>
          </w:p>
          <w:p w:rsidR="00000000" w:rsidRPr="00ED44A6" w:rsidP="00ED44A6">
            <w:pPr>
              <w:pStyle w:val="ListBullet2"/>
            </w:pPr>
            <w:r w:rsidRPr="00ED44A6">
              <w:t>portfolios</w:t>
            </w:r>
          </w:p>
          <w:p w:rsidR="00000000" w:rsidRPr="00ED44A6" w:rsidP="00ED44A6">
            <w:pPr>
              <w:pStyle w:val="ListBullet2"/>
            </w:pPr>
            <w:r w:rsidRPr="00ED44A6">
              <w:t>projects</w:t>
            </w:r>
          </w:p>
          <w:p w:rsidR="00000000" w:rsidRPr="00ED44A6" w:rsidP="00ED44A6">
            <w:pPr>
              <w:pStyle w:val="ListBullet2"/>
            </w:pPr>
            <w:r w:rsidRPr="00ED44A6">
              <w:t>questioning</w:t>
            </w:r>
          </w:p>
          <w:p w:rsidR="00000000" w:rsidRPr="00ED44A6" w:rsidP="00ED44A6">
            <w:pPr>
              <w:pStyle w:val="ListBullet2"/>
            </w:pPr>
            <w:r w:rsidRPr="00ED44A6">
              <w:t>reviews or reports prepared by the candidate</w:t>
            </w:r>
          </w:p>
          <w:p w:rsidR="00000000" w:rsidRPr="00ED44A6" w:rsidP="00ED44A6">
            <w:pPr>
              <w:pStyle w:val="ListBullet2"/>
            </w:pPr>
            <w:r w:rsidRPr="00ED44A6">
              <w:t>scenarios</w:t>
            </w:r>
          </w:p>
          <w:p w:rsidR="00000000" w:rsidRPr="00ED44A6" w:rsidP="00ED44A6">
            <w:pPr>
              <w:pStyle w:val="ListBullet2"/>
            </w:pPr>
            <w:r w:rsidRPr="00ED44A6">
              <w:t>simulation or role plays</w:t>
            </w:r>
          </w:p>
        </w:tc>
      </w:tr>
    </w:tbl>
    <w:p w:rsidR="008C272A" w:rsidP="00ED44A6">
      <w:pPr>
        <w:pStyle w:val="BodyText"/>
      </w:pPr>
    </w:p>
    <w:p w:rsidR="008C272A" w:rsidP="00ED44A6">
      <w:pPr>
        <w:pStyle w:val="BodyText"/>
      </w:pPr>
    </w:p>
    <w:p w:rsidR="00000000" w:rsidRPr="00ED44A6" w:rsidP="00ED44A6">
      <w:pPr>
        <w:pStyle w:val="Heading1"/>
      </w:pPr>
      <w:bookmarkStart w:id="11" w:name="O_255084"/>
      <w:bookmarkEnd w:id="11"/>
      <w:r w:rsidRPr="00ED44A6">
        <w:t>Range Statement</w:t>
      </w:r>
    </w:p>
    <w:tbl>
      <w:tblPr>
        <w:tblW w:w="9640" w:type="dxa"/>
        <w:tblLayout w:type="fixed"/>
        <w:tblCellMar>
          <w:left w:w="62" w:type="dxa"/>
          <w:right w:w="62" w:type="dxa"/>
        </w:tblCellMar>
        <w:tblLook w:val="0000"/>
      </w:tblPr>
      <w:tblGrid>
        <w:gridCol w:w="3486"/>
        <w:gridCol w:w="6154"/>
      </w:tblGrid>
      <w:tr w:rsidTr="008C272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rPr>
                <w:rStyle w:val="SpecialBold"/>
              </w:rPr>
              <w:t>RANGE STATEMENT</w:t>
            </w:r>
            <w:r w:rsidRPr="00ED44A6">
              <w:t xml:space="preserve"> </w:t>
            </w:r>
          </w:p>
        </w:tc>
      </w:tr>
      <w:tr w:rsidTr="008C272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t>The range statement relates to the unit of competency as a whole. It allows for different work environments and situations that may affect performance.</w:t>
            </w:r>
          </w:p>
        </w:tc>
      </w:tr>
      <w:tr w:rsidTr="008C27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t>Sources of information may include:</w:t>
            </w:r>
          </w:p>
        </w:tc>
        <w:tc>
          <w:tcPr>
            <w:tcW w:w="6154" w:type="dxa"/>
            <w:tcBorders>
              <w:top w:val="nil"/>
              <w:left w:val="nil"/>
              <w:bottom w:val="nil"/>
              <w:right w:val="nil"/>
            </w:tcBorders>
            <w:tcMar>
              <w:top w:w="0" w:type="dxa"/>
              <w:left w:w="62" w:type="dxa"/>
              <w:bottom w:w="0" w:type="dxa"/>
              <w:right w:w="62" w:type="dxa"/>
            </w:tcMar>
          </w:tcPr>
          <w:p w:rsidR="00000000" w:rsidRPr="00ED44A6" w:rsidP="00ED44A6">
            <w:pPr>
              <w:pStyle w:val="ListBullet"/>
            </w:pPr>
            <w:r w:rsidRPr="00ED44A6">
              <w:t>conceptual documents</w:t>
            </w:r>
          </w:p>
          <w:p w:rsidR="00000000" w:rsidRPr="00ED44A6" w:rsidP="00ED44A6">
            <w:pPr>
              <w:pStyle w:val="ListBullet"/>
            </w:pPr>
            <w:r w:rsidRPr="00ED44A6">
              <w:t>contractors</w:t>
            </w:r>
          </w:p>
          <w:p w:rsidR="00000000" w:rsidRPr="00ED44A6" w:rsidP="00ED44A6">
            <w:pPr>
              <w:pStyle w:val="ListBullet"/>
            </w:pPr>
            <w:r w:rsidRPr="00ED44A6">
              <w:t>legislation</w:t>
            </w:r>
          </w:p>
          <w:p w:rsidR="00000000" w:rsidRPr="00ED44A6" w:rsidP="00ED44A6">
            <w:pPr>
              <w:pStyle w:val="ListBullet"/>
            </w:pPr>
            <w:r w:rsidRPr="00ED44A6">
              <w:t>managers</w:t>
            </w:r>
          </w:p>
          <w:p w:rsidR="00000000" w:rsidRPr="00ED44A6" w:rsidP="00ED44A6">
            <w:pPr>
              <w:pStyle w:val="ListBullet"/>
            </w:pPr>
            <w:r w:rsidRPr="00ED44A6">
              <w:t>peers</w:t>
            </w:r>
          </w:p>
          <w:p w:rsidR="00000000" w:rsidRPr="00ED44A6" w:rsidP="00ED44A6">
            <w:pPr>
              <w:pStyle w:val="ListBullet"/>
            </w:pPr>
            <w:r w:rsidRPr="00ED44A6">
              <w:t>plans</w:t>
            </w:r>
          </w:p>
          <w:p w:rsidR="00000000" w:rsidRPr="00ED44A6" w:rsidP="00ED44A6">
            <w:pPr>
              <w:pStyle w:val="ListBullet"/>
            </w:pPr>
            <w:r w:rsidRPr="00ED44A6">
              <w:t>policies</w:t>
            </w:r>
          </w:p>
          <w:p w:rsidR="00000000" w:rsidRPr="00ED44A6" w:rsidP="00ED44A6">
            <w:pPr>
              <w:pStyle w:val="ListBullet"/>
            </w:pPr>
            <w:r w:rsidRPr="00ED44A6">
              <w:t>publications</w:t>
            </w:r>
          </w:p>
          <w:p w:rsidR="00000000" w:rsidRPr="00ED44A6" w:rsidP="00ED44A6">
            <w:pPr>
              <w:pStyle w:val="ListBullet"/>
            </w:pPr>
            <w:r w:rsidRPr="00ED44A6">
              <w:t>reference material</w:t>
            </w:r>
          </w:p>
          <w:p w:rsidR="00000000" w:rsidRPr="00ED44A6" w:rsidP="00ED44A6">
            <w:pPr>
              <w:pStyle w:val="ListBullet"/>
            </w:pPr>
            <w:r w:rsidRPr="00ED44A6">
              <w:t>standards</w:t>
            </w:r>
          </w:p>
          <w:p w:rsidR="00000000" w:rsidRPr="00ED44A6" w:rsidP="00ED44A6">
            <w:pPr>
              <w:pStyle w:val="ListBullet"/>
            </w:pPr>
            <w:r w:rsidRPr="00ED44A6">
              <w:t>supervisors</w:t>
            </w:r>
          </w:p>
          <w:p w:rsidR="00000000" w:rsidP="00ED44A6">
            <w:pPr>
              <w:pStyle w:val="ListBullet"/>
              <w:rPr>
                <w:lang w:val="en-NZ"/>
              </w:rPr>
            </w:pPr>
            <w:r w:rsidRPr="00ED44A6">
              <w:t>suppliers</w:t>
            </w:r>
          </w:p>
        </w:tc>
      </w:tr>
      <w:tr w:rsidTr="008C27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t>Materiel sustainment may include:</w:t>
            </w:r>
          </w:p>
        </w:tc>
        <w:tc>
          <w:tcPr>
            <w:tcW w:w="6154"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 xml:space="preserve">the management and provision of products and services needed to meet the preparedness </w:t>
            </w:r>
            <w:r w:rsidRPr="00ED44A6">
              <w:t>and performance requirements of a materiel system from the time of acceptance into operational service until disposal at minimised life cycle cost. Material sustainment may also be referred to as asset management and includes components of: sustainment man</w:t>
            </w:r>
            <w:r w:rsidRPr="00ED44A6">
              <w:t>agement, engineering support, maintenance support, supply support and planning for disposal and/or carrying out end of life tasks</w:t>
            </w:r>
          </w:p>
        </w:tc>
      </w:tr>
      <w:tr w:rsidTr="008C27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ED44A6" w:rsidP="00ED44A6">
            <w:pPr>
              <w:pStyle w:val="ListBullet"/>
            </w:pPr>
            <w:r w:rsidRPr="00ED44A6">
              <w:t>Australian Standards</w:t>
            </w:r>
          </w:p>
          <w:p w:rsidR="00000000" w:rsidRPr="00ED44A6" w:rsidP="00ED44A6">
            <w:pPr>
              <w:pStyle w:val="ListBullet"/>
            </w:pPr>
            <w:r w:rsidRPr="00ED44A6">
              <w:t>international standards</w:t>
            </w:r>
          </w:p>
          <w:p w:rsidR="00000000" w:rsidRPr="00ED44A6" w:rsidP="00ED44A6">
            <w:pPr>
              <w:pStyle w:val="ListBullet"/>
            </w:pPr>
            <w:r w:rsidRPr="00ED44A6">
              <w:t>logistics support analysis</w:t>
            </w:r>
          </w:p>
          <w:p w:rsidR="00000000" w:rsidRPr="00ED44A6" w:rsidP="00ED44A6">
            <w:pPr>
              <w:pStyle w:val="ListBullet"/>
            </w:pPr>
            <w:r w:rsidRPr="00ED44A6">
              <w:t>organisational instructions and standards</w:t>
            </w:r>
          </w:p>
          <w:p w:rsidR="00000000" w:rsidP="00ED44A6">
            <w:pPr>
              <w:pStyle w:val="ListBullet"/>
              <w:rPr>
                <w:lang w:val="en-NZ"/>
              </w:rPr>
            </w:pPr>
            <w:r w:rsidRPr="00ED44A6">
              <w:t>through life support</w:t>
            </w:r>
          </w:p>
        </w:tc>
      </w:tr>
      <w:tr w:rsidTr="008C27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t>Stakeholders may include:</w:t>
            </w:r>
          </w:p>
        </w:tc>
        <w:tc>
          <w:tcPr>
            <w:tcW w:w="6154" w:type="dxa"/>
            <w:tcBorders>
              <w:top w:val="nil"/>
              <w:left w:val="nil"/>
              <w:bottom w:val="nil"/>
              <w:right w:val="nil"/>
            </w:tcBorders>
            <w:tcMar>
              <w:top w:w="0" w:type="dxa"/>
              <w:left w:w="62" w:type="dxa"/>
              <w:bottom w:w="0" w:type="dxa"/>
              <w:right w:w="62" w:type="dxa"/>
            </w:tcMar>
          </w:tcPr>
          <w:p w:rsidR="00000000" w:rsidRPr="00ED44A6" w:rsidP="00ED44A6">
            <w:pPr>
              <w:pStyle w:val="ListBullet"/>
            </w:pPr>
            <w:r w:rsidRPr="00ED44A6">
              <w:t>capability manager</w:t>
            </w:r>
          </w:p>
          <w:p w:rsidR="00000000" w:rsidRPr="00ED44A6" w:rsidP="00ED44A6">
            <w:pPr>
              <w:pStyle w:val="ListBullet"/>
            </w:pPr>
            <w:r w:rsidRPr="00ED44A6">
              <w:t>contractors</w:t>
            </w:r>
          </w:p>
          <w:p w:rsidR="00000000" w:rsidRPr="00ED44A6" w:rsidP="00ED44A6">
            <w:pPr>
              <w:pStyle w:val="ListBullet"/>
            </w:pPr>
            <w:r w:rsidRPr="00ED44A6">
              <w:t>customers</w:t>
            </w:r>
          </w:p>
          <w:p w:rsidR="00000000" w:rsidRPr="00ED44A6" w:rsidP="00ED44A6">
            <w:pPr>
              <w:pStyle w:val="ListBullet"/>
            </w:pPr>
            <w:r w:rsidRPr="00ED44A6">
              <w:t>project managers</w:t>
            </w:r>
          </w:p>
          <w:p w:rsidR="00000000" w:rsidRPr="00ED44A6" w:rsidP="00ED44A6">
            <w:pPr>
              <w:pStyle w:val="ListBullet"/>
            </w:pPr>
            <w:r w:rsidRPr="00ED44A6">
              <w:t>regulators</w:t>
            </w:r>
          </w:p>
          <w:p w:rsidR="00000000" w:rsidRPr="00ED44A6" w:rsidP="00ED44A6">
            <w:pPr>
              <w:pStyle w:val="ListBullet"/>
            </w:pPr>
            <w:r w:rsidRPr="00ED44A6">
              <w:t>regulatory authorities</w:t>
            </w:r>
          </w:p>
          <w:p w:rsidR="00000000" w:rsidRPr="00ED44A6" w:rsidP="00ED44A6">
            <w:pPr>
              <w:pStyle w:val="ListBullet"/>
            </w:pPr>
            <w:r w:rsidRPr="00ED44A6">
              <w:t>subordinates</w:t>
            </w:r>
          </w:p>
          <w:p w:rsidR="00000000" w:rsidRPr="00ED44A6" w:rsidP="00ED44A6">
            <w:pPr>
              <w:pStyle w:val="ListBullet"/>
            </w:pPr>
            <w:r w:rsidRPr="00ED44A6">
              <w:t>supervisors</w:t>
            </w:r>
          </w:p>
          <w:p w:rsidR="00000000" w:rsidRPr="00ED44A6" w:rsidP="00ED44A6">
            <w:pPr>
              <w:pStyle w:val="ListBullet"/>
            </w:pPr>
            <w:r w:rsidRPr="00ED44A6">
              <w:t>suppliers</w:t>
            </w:r>
          </w:p>
          <w:p w:rsidR="00000000" w:rsidP="00ED44A6">
            <w:pPr>
              <w:pStyle w:val="ListBullet"/>
              <w:rPr>
                <w:lang w:val="en-NZ"/>
              </w:rPr>
            </w:pPr>
            <w:r w:rsidRPr="00ED44A6">
              <w:t>team members</w:t>
            </w:r>
          </w:p>
        </w:tc>
      </w:tr>
      <w:tr w:rsidTr="008C27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t>Materiel may include:</w:t>
            </w:r>
          </w:p>
        </w:tc>
        <w:tc>
          <w:tcPr>
            <w:tcW w:w="6154"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all items (including ships, tanks, self-propelled weapon, aircraft etc. and related spares, repair parts and support equipment but excluding real property, installations and utilities) necessary to equip, operate, maintain and support designated activities</w:t>
            </w:r>
            <w:r w:rsidRPr="00ED44A6">
              <w:t xml:space="preserve"> without distinction as to its application for administrative or operational purposes</w:t>
            </w:r>
          </w:p>
        </w:tc>
      </w:tr>
      <w:tr w:rsidTr="008C27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t>Logistics support analysis is:</w:t>
            </w:r>
          </w:p>
        </w:tc>
        <w:tc>
          <w:tcPr>
            <w:tcW w:w="6154" w:type="dxa"/>
            <w:tcBorders>
              <w:top w:val="nil"/>
              <w:left w:val="nil"/>
              <w:bottom w:val="nil"/>
              <w:right w:val="nil"/>
            </w:tcBorders>
            <w:tcMar>
              <w:top w:w="0" w:type="dxa"/>
              <w:left w:w="62" w:type="dxa"/>
              <w:bottom w:w="0" w:type="dxa"/>
              <w:right w:w="62" w:type="dxa"/>
            </w:tcMar>
          </w:tcPr>
          <w:p w:rsidR="00000000" w:rsidP="00ED44A6">
            <w:pPr>
              <w:pStyle w:val="ListBullet"/>
              <w:rPr>
                <w:lang w:val="en-NZ"/>
              </w:rPr>
            </w:pPr>
            <w:r w:rsidRPr="00ED44A6">
              <w:t>the process for identifying and analysing the functional supportability requirements consistent with the goals of the integrated logistic</w:t>
            </w:r>
            <w:r w:rsidRPr="00ED44A6">
              <w:t xml:space="preserve"> support program. Logistics support analysis also describes the process for the coordinated development of logistics related task data, and the processing of that data to define logistics resource requirements. Logistics support analysis defines the analyt</w:t>
            </w:r>
            <w:r w:rsidRPr="00ED44A6">
              <w:t>ical process for the preparation for in-service support and disposal, and the interface with Supportability Assessments (Supportability Test and Evaluation)</w:t>
            </w:r>
          </w:p>
        </w:tc>
      </w:tr>
      <w:tr w:rsidTr="008C27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t>Key performance indicators may include:</w:t>
            </w:r>
          </w:p>
        </w:tc>
        <w:tc>
          <w:tcPr>
            <w:tcW w:w="6154" w:type="dxa"/>
            <w:tcBorders>
              <w:top w:val="nil"/>
              <w:left w:val="nil"/>
              <w:bottom w:val="nil"/>
              <w:right w:val="nil"/>
            </w:tcBorders>
            <w:tcMar>
              <w:top w:w="0" w:type="dxa"/>
              <w:left w:w="62" w:type="dxa"/>
              <w:bottom w:w="0" w:type="dxa"/>
              <w:right w:w="62" w:type="dxa"/>
            </w:tcMar>
          </w:tcPr>
          <w:p w:rsidR="00000000" w:rsidRPr="00ED44A6" w:rsidP="00ED44A6">
            <w:pPr>
              <w:pStyle w:val="ListBullet"/>
            </w:pPr>
            <w:r w:rsidRPr="00ED44A6">
              <w:t>costs</w:t>
            </w:r>
          </w:p>
          <w:p w:rsidR="00000000" w:rsidRPr="00ED44A6" w:rsidP="00ED44A6">
            <w:pPr>
              <w:pStyle w:val="ListBullet"/>
            </w:pPr>
            <w:r w:rsidRPr="00ED44A6">
              <w:t>milestones</w:t>
            </w:r>
          </w:p>
          <w:p w:rsidR="00000000" w:rsidRPr="00ED44A6" w:rsidP="00ED44A6">
            <w:pPr>
              <w:pStyle w:val="ListBullet"/>
            </w:pPr>
            <w:r w:rsidRPr="00ED44A6">
              <w:t>production</w:t>
            </w:r>
          </w:p>
          <w:p w:rsidR="00000000" w:rsidRPr="00ED44A6" w:rsidP="00ED44A6">
            <w:pPr>
              <w:pStyle w:val="ListBullet"/>
            </w:pPr>
            <w:r w:rsidRPr="00ED44A6">
              <w:t>resources</w:t>
            </w:r>
          </w:p>
          <w:p w:rsidR="00000000" w:rsidRPr="00ED44A6" w:rsidP="00ED44A6">
            <w:pPr>
              <w:pStyle w:val="ListBullet"/>
            </w:pPr>
            <w:r w:rsidRPr="00ED44A6">
              <w:t>scheduling</w:t>
            </w:r>
          </w:p>
          <w:p w:rsidR="00000000" w:rsidP="00ED44A6">
            <w:pPr>
              <w:pStyle w:val="ListBullet"/>
              <w:rPr>
                <w:lang w:val="en-NZ"/>
              </w:rPr>
            </w:pPr>
            <w:r w:rsidRPr="00ED44A6">
              <w:t>timings</w:t>
            </w:r>
          </w:p>
        </w:tc>
      </w:tr>
      <w:tr w:rsidTr="008C27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t>Costing may include:</w:t>
            </w:r>
          </w:p>
        </w:tc>
        <w:tc>
          <w:tcPr>
            <w:tcW w:w="6154" w:type="dxa"/>
            <w:tcBorders>
              <w:top w:val="nil"/>
              <w:left w:val="nil"/>
              <w:bottom w:val="nil"/>
              <w:right w:val="nil"/>
            </w:tcBorders>
            <w:tcMar>
              <w:top w:w="0" w:type="dxa"/>
              <w:left w:w="62" w:type="dxa"/>
              <w:bottom w:w="0" w:type="dxa"/>
              <w:right w:w="62" w:type="dxa"/>
            </w:tcMar>
          </w:tcPr>
          <w:p w:rsidR="00000000" w:rsidRPr="00ED44A6" w:rsidP="00ED44A6">
            <w:pPr>
              <w:pStyle w:val="ListBullet"/>
            </w:pPr>
            <w:r w:rsidRPr="00ED44A6">
              <w:t>labour</w:t>
            </w:r>
          </w:p>
          <w:p w:rsidR="00000000" w:rsidRPr="00ED44A6" w:rsidP="00ED44A6">
            <w:pPr>
              <w:pStyle w:val="ListBullet"/>
            </w:pPr>
            <w:r w:rsidRPr="00ED44A6">
              <w:t>life cycle costs</w:t>
            </w:r>
          </w:p>
          <w:p w:rsidR="00000000" w:rsidRPr="00ED44A6" w:rsidP="00ED44A6">
            <w:pPr>
              <w:pStyle w:val="ListBullet"/>
            </w:pPr>
            <w:r w:rsidRPr="00ED44A6">
              <w:t>money</w:t>
            </w:r>
          </w:p>
          <w:p w:rsidR="00000000" w:rsidRPr="00ED44A6" w:rsidP="00ED44A6">
            <w:pPr>
              <w:pStyle w:val="ListBullet"/>
            </w:pPr>
            <w:r w:rsidRPr="00ED44A6">
              <w:t>outlay of expenditure</w:t>
            </w:r>
          </w:p>
          <w:p w:rsidR="00000000" w:rsidRPr="00ED44A6" w:rsidP="00ED44A6">
            <w:pPr>
              <w:pStyle w:val="ListBullet"/>
            </w:pPr>
            <w:r w:rsidRPr="00ED44A6">
              <w:t>resources</w:t>
            </w:r>
          </w:p>
          <w:p w:rsidR="00000000" w:rsidP="00ED44A6">
            <w:pPr>
              <w:pStyle w:val="ListBullet"/>
              <w:rPr>
                <w:lang w:val="en-NZ"/>
              </w:rPr>
            </w:pPr>
            <w:r w:rsidRPr="00ED44A6">
              <w:t>time</w:t>
            </w:r>
          </w:p>
        </w:tc>
      </w:tr>
      <w:tr w:rsidTr="008C27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t>Legislative requirements may include:</w:t>
            </w:r>
          </w:p>
        </w:tc>
        <w:tc>
          <w:tcPr>
            <w:tcW w:w="6154" w:type="dxa"/>
            <w:tcBorders>
              <w:top w:val="nil"/>
              <w:left w:val="nil"/>
              <w:bottom w:val="nil"/>
              <w:right w:val="nil"/>
            </w:tcBorders>
            <w:tcMar>
              <w:top w:w="0" w:type="dxa"/>
              <w:left w:w="62" w:type="dxa"/>
              <w:bottom w:w="0" w:type="dxa"/>
              <w:right w:w="62" w:type="dxa"/>
            </w:tcMar>
          </w:tcPr>
          <w:p w:rsidR="00000000" w:rsidRPr="00ED44A6" w:rsidP="00ED44A6">
            <w:pPr>
              <w:pStyle w:val="ListBullet"/>
            </w:pPr>
            <w:r w:rsidRPr="00ED44A6">
              <w:t>regulations related to such matters as export and import licensing, taxes and duties</w:t>
            </w:r>
          </w:p>
          <w:p w:rsidR="00000000" w:rsidP="00ED44A6">
            <w:pPr>
              <w:pStyle w:val="ListBullet"/>
              <w:rPr>
                <w:lang w:val="en-NZ"/>
              </w:rPr>
            </w:pPr>
            <w:r w:rsidRPr="00ED44A6">
              <w:t>relevant federal, state and local government legislation and regulations including certification requirements</w:t>
            </w:r>
          </w:p>
        </w:tc>
      </w:tr>
      <w:tr w:rsidTr="008C27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t>Promulgated may include:</w:t>
            </w:r>
          </w:p>
        </w:tc>
        <w:tc>
          <w:tcPr>
            <w:tcW w:w="6154" w:type="dxa"/>
            <w:tcBorders>
              <w:top w:val="nil"/>
              <w:left w:val="nil"/>
              <w:bottom w:val="nil"/>
              <w:right w:val="nil"/>
            </w:tcBorders>
            <w:tcMar>
              <w:top w:w="0" w:type="dxa"/>
              <w:left w:w="62" w:type="dxa"/>
              <w:bottom w:w="0" w:type="dxa"/>
              <w:right w:w="62" w:type="dxa"/>
            </w:tcMar>
          </w:tcPr>
          <w:p w:rsidR="00000000" w:rsidRPr="00ED44A6" w:rsidP="00ED44A6">
            <w:pPr>
              <w:pStyle w:val="ListBullet"/>
            </w:pPr>
            <w:r w:rsidRPr="00ED44A6">
              <w:t>authorised</w:t>
            </w:r>
          </w:p>
          <w:p w:rsidR="00000000" w:rsidRPr="00ED44A6" w:rsidP="00ED44A6">
            <w:pPr>
              <w:pStyle w:val="ListBullet"/>
            </w:pPr>
            <w:r w:rsidRPr="00ED44A6">
              <w:t>documented</w:t>
            </w:r>
          </w:p>
          <w:p w:rsidR="00000000" w:rsidRPr="00ED44A6" w:rsidP="00ED44A6">
            <w:pPr>
              <w:pStyle w:val="ListBullet"/>
            </w:pPr>
            <w:r w:rsidRPr="00ED44A6">
              <w:t>endorsed</w:t>
            </w:r>
          </w:p>
          <w:p w:rsidR="00000000" w:rsidRPr="00ED44A6" w:rsidP="00ED44A6">
            <w:pPr>
              <w:pStyle w:val="ListBullet"/>
            </w:pPr>
            <w:r w:rsidRPr="00ED44A6">
              <w:t>issued</w:t>
            </w:r>
          </w:p>
          <w:p w:rsidR="00000000" w:rsidRPr="00ED44A6" w:rsidP="00ED44A6">
            <w:pPr>
              <w:pStyle w:val="ListBullet"/>
            </w:pPr>
            <w:r w:rsidRPr="00ED44A6">
              <w:t>published</w:t>
            </w:r>
          </w:p>
        </w:tc>
      </w:tr>
    </w:tbl>
    <w:p w:rsidR="008C272A" w:rsidP="00ED44A6">
      <w:pPr>
        <w:pStyle w:val="BodyText"/>
      </w:pPr>
    </w:p>
    <w:p w:rsidR="008C272A" w:rsidP="00ED44A6">
      <w:pPr>
        <w:pStyle w:val="BodyText"/>
      </w:pPr>
    </w:p>
    <w:p w:rsidR="00000000" w:rsidRPr="00ED44A6" w:rsidP="00ED44A6">
      <w:pPr>
        <w:pStyle w:val="Heading1"/>
      </w:pPr>
      <w:bookmarkStart w:id="12" w:name="O_296097"/>
      <w:bookmarkEnd w:id="12"/>
      <w:r w:rsidRPr="00ED44A6">
        <w:t>Unit Sector(s)</w:t>
      </w:r>
    </w:p>
    <w:p w:rsidR="00000000" w:rsidRPr="00ED44A6" w:rsidP="00ED44A6">
      <w:pPr>
        <w:pStyle w:val="BodyText"/>
      </w:pPr>
      <w:r w:rsidRPr="00ED44A6">
        <w:t>Not Applicable</w:t>
      </w:r>
    </w:p>
    <w:p w:rsidR="00000000" w:rsidRPr="00ED44A6" w:rsidP="00ED44A6">
      <w:pPr>
        <w:pStyle w:val="AllowPageBreak"/>
      </w:pPr>
    </w:p>
    <w:p w:rsidR="00000000" w:rsidRPr="00ED44A6" w:rsidP="00ED44A6">
      <w:pPr>
        <w:pStyle w:val="Heading1"/>
      </w:pPr>
      <w:bookmarkStart w:id="13" w:name="O_224677"/>
      <w:bookmarkEnd w:id="13"/>
      <w:r w:rsidRPr="00ED44A6">
        <w:t>Competency Field</w:t>
      </w:r>
    </w:p>
    <w:tbl>
      <w:tblPr>
        <w:tblW w:w="9640" w:type="dxa"/>
        <w:tblLayout w:type="fixed"/>
        <w:tblCellMar>
          <w:left w:w="62" w:type="dxa"/>
          <w:right w:w="62" w:type="dxa"/>
        </w:tblCellMar>
        <w:tblLook w:val="0000"/>
      </w:tblPr>
      <w:tblGrid>
        <w:gridCol w:w="2978"/>
        <w:gridCol w:w="6662"/>
      </w:tblGrid>
      <w:tr w:rsidTr="008C272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D44A6">
            <w:pPr>
              <w:pStyle w:val="BodyText"/>
              <w:rPr>
                <w:lang w:val="en-NZ"/>
              </w:rPr>
            </w:pPr>
            <w:r w:rsidRPr="00ED44A6">
              <w:rPr>
                <w:rStyle w:val="SpecialBold"/>
              </w:rPr>
              <w:t>Competency Field</w:t>
            </w:r>
            <w:r w:rsidRPr="00ED44A6">
              <w:t xml:space="preserve"> </w:t>
            </w:r>
          </w:p>
        </w:tc>
        <w:tc>
          <w:tcPr>
            <w:tcW w:w="6662" w:type="dxa"/>
            <w:tcBorders>
              <w:top w:val="nil"/>
              <w:left w:val="nil"/>
              <w:bottom w:val="nil"/>
              <w:right w:val="nil"/>
            </w:tcBorders>
            <w:tcMar>
              <w:top w:w="0" w:type="dxa"/>
              <w:left w:w="62" w:type="dxa"/>
              <w:bottom w:w="0" w:type="dxa"/>
              <w:right w:w="62" w:type="dxa"/>
            </w:tcMar>
          </w:tcPr>
          <w:p w:rsidR="00000000" w:rsidRPr="00ED44A6" w:rsidP="00ED44A6">
            <w:pPr>
              <w:pStyle w:val="BodyText"/>
            </w:pPr>
            <w:r w:rsidRPr="00ED44A6">
              <w:t>X - Logistics</w:t>
            </w:r>
          </w:p>
        </w:tc>
      </w:tr>
    </w:tbl>
    <w:p w:rsidR="008C272A" w:rsidP="00ED44A6">
      <w:pPr>
        <w:pStyle w:val="BodyText"/>
      </w:pPr>
    </w:p>
    <w:p w:rsidR="008C272A" w:rsidP="00ED44A6">
      <w:pPr>
        <w:pStyle w:val="BodyText"/>
      </w:pPr>
    </w:p>
    <w:p w:rsidR="00000000" w:rsidRPr="00ED44A6" w:rsidP="00ED44A6"/>
    <w:sectPr w:rsidSect="00ED44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272A" w:rsidP="008C27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2A" w:rsidP="00ED44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C272A" w:rsidP="00ED44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C272A" w:rsidP="00ED44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272A" w:rsidP="008C27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2A" w:rsidP="00ED44A6">
    <w:pPr>
      <w:pStyle w:val="Header"/>
      <w:framePr w:wrap="around"/>
    </w:pPr>
    <w:r>
      <w:fldChar w:fldCharType="begin"/>
    </w:r>
    <w:r>
      <w:instrText xml:space="preserve"> TITLE   \* MERGEFORMAT </w:instrText>
    </w:r>
    <w:r>
      <w:fldChar w:fldCharType="separate"/>
    </w:r>
    <w:r>
      <w:t>TLIX5014A Manage materiel sustainment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272A" w:rsidP="00ED44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BA5F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E611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226B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4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44A6"/>
    <w:pPr>
      <w:spacing w:before="360" w:after="60"/>
      <w:outlineLvl w:val="0"/>
    </w:pPr>
    <w:rPr>
      <w:sz w:val="32"/>
    </w:rPr>
  </w:style>
  <w:style w:type="paragraph" w:styleId="Heading2">
    <w:name w:val="heading 2"/>
    <w:basedOn w:val="HeadingBase"/>
    <w:next w:val="BodyText"/>
    <w:link w:val="Heading2Char"/>
    <w:qFormat/>
    <w:rsid w:val="00ED44A6"/>
    <w:pPr>
      <w:keepLines/>
      <w:spacing w:before="240" w:after="120"/>
      <w:outlineLvl w:val="1"/>
    </w:pPr>
    <w:rPr>
      <w:sz w:val="28"/>
      <w:szCs w:val="40"/>
    </w:rPr>
  </w:style>
  <w:style w:type="paragraph" w:styleId="Heading3">
    <w:name w:val="heading 3"/>
    <w:basedOn w:val="HeadingBase"/>
    <w:next w:val="BodyText"/>
    <w:link w:val="Heading3Char"/>
    <w:qFormat/>
    <w:rsid w:val="00ED44A6"/>
    <w:pPr>
      <w:spacing w:before="180" w:after="120"/>
      <w:outlineLvl w:val="2"/>
    </w:pPr>
    <w:rPr>
      <w:spacing w:val="-10"/>
      <w:kern w:val="32"/>
    </w:rPr>
  </w:style>
  <w:style w:type="paragraph" w:styleId="Heading4">
    <w:name w:val="heading 4"/>
    <w:basedOn w:val="HeadingBase"/>
    <w:next w:val="BodyText"/>
    <w:link w:val="Heading4Char"/>
    <w:qFormat/>
    <w:rsid w:val="00ED44A6"/>
    <w:pPr>
      <w:spacing w:before="160" w:after="120"/>
      <w:outlineLvl w:val="3"/>
    </w:pPr>
    <w:rPr>
      <w:sz w:val="22"/>
    </w:rPr>
  </w:style>
  <w:style w:type="paragraph" w:styleId="Heading5">
    <w:name w:val="heading 5"/>
    <w:basedOn w:val="HeadingBase"/>
    <w:next w:val="Normal"/>
    <w:link w:val="Heading5Char"/>
    <w:qFormat/>
    <w:rsid w:val="00ED44A6"/>
    <w:pPr>
      <w:spacing w:before="80"/>
      <w:outlineLvl w:val="4"/>
    </w:pPr>
    <w:rPr>
      <w:color w:val="918585"/>
      <w:sz w:val="20"/>
    </w:rPr>
  </w:style>
  <w:style w:type="paragraph" w:styleId="Heading6">
    <w:name w:val="heading 6"/>
    <w:basedOn w:val="HeadingBase"/>
    <w:next w:val="Normal"/>
    <w:link w:val="Heading6Char"/>
    <w:qFormat/>
    <w:rsid w:val="00ED44A6"/>
    <w:pPr>
      <w:spacing w:before="60"/>
      <w:outlineLvl w:val="5"/>
    </w:pPr>
    <w:rPr>
      <w:color w:val="918585"/>
      <w:sz w:val="20"/>
    </w:rPr>
  </w:style>
  <w:style w:type="paragraph" w:styleId="Heading7">
    <w:name w:val="heading 7"/>
    <w:basedOn w:val="Normal"/>
    <w:next w:val="Normal"/>
    <w:link w:val="Heading7Char"/>
    <w:qFormat/>
    <w:rsid w:val="00ED44A6"/>
    <w:pPr>
      <w:ind w:left="720"/>
      <w:outlineLvl w:val="6"/>
    </w:pPr>
    <w:rPr>
      <w:i/>
    </w:rPr>
  </w:style>
  <w:style w:type="paragraph" w:styleId="Heading8">
    <w:name w:val="heading 8"/>
    <w:basedOn w:val="Normal"/>
    <w:next w:val="Normal"/>
    <w:link w:val="Heading8Char"/>
    <w:qFormat/>
    <w:rsid w:val="00ED44A6"/>
    <w:pPr>
      <w:ind w:left="720"/>
      <w:outlineLvl w:val="7"/>
    </w:pPr>
    <w:rPr>
      <w:i/>
    </w:rPr>
  </w:style>
  <w:style w:type="paragraph" w:styleId="Heading9">
    <w:name w:val="heading 9"/>
    <w:basedOn w:val="Normal"/>
    <w:next w:val="Normal"/>
    <w:link w:val="Heading9Char"/>
    <w:qFormat/>
    <w:rsid w:val="00ED44A6"/>
    <w:pPr>
      <w:ind w:left="720"/>
      <w:outlineLvl w:val="8"/>
    </w:pPr>
    <w:rPr>
      <w:i/>
    </w:rPr>
  </w:style>
  <w:style w:type="character" w:default="1" w:styleId="DefaultParagraphFont">
    <w:name w:val="Default Paragraph Font"/>
    <w:uiPriority w:val="1"/>
    <w:unhideWhenUsed/>
    <w:rsid w:val="00ED4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44A6"/>
  </w:style>
  <w:style w:type="character" w:customStyle="1" w:styleId="Heading1Char">
    <w:name w:val="Heading 1 Char"/>
    <w:basedOn w:val="DefaultParagraphFont"/>
    <w:link w:val="Heading1"/>
    <w:rsid w:val="00ED44A6"/>
    <w:rPr>
      <w:rFonts w:ascii="Times New Roman" w:eastAsia="Times New Roman" w:hAnsi="Times New Roman" w:cs="Times New Roman"/>
      <w:b/>
      <w:sz w:val="32"/>
      <w:szCs w:val="20"/>
      <w:lang w:eastAsia="en-US"/>
    </w:rPr>
  </w:style>
  <w:style w:type="paragraph" w:styleId="BodyText">
    <w:name w:val="Body Text"/>
    <w:basedOn w:val="Normal"/>
    <w:link w:val="BodyTextChar"/>
    <w:rsid w:val="00ED44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44A6"/>
    <w:rPr>
      <w:rFonts w:ascii="Times New Roman" w:eastAsia="Times New Roman" w:hAnsi="Times New Roman" w:cs="Times New Roman"/>
      <w:sz w:val="24"/>
      <w:lang w:val="en-US" w:eastAsia="en-US"/>
    </w:rPr>
  </w:style>
  <w:style w:type="paragraph" w:styleId="Footer">
    <w:name w:val="footer"/>
    <w:basedOn w:val="Normal"/>
    <w:link w:val="FooterChar"/>
    <w:rsid w:val="00ED4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44A6"/>
    <w:rPr>
      <w:rFonts w:ascii="Times New Roman" w:eastAsia="Times New Roman" w:hAnsi="Times New Roman" w:cs="Times New Roman"/>
      <w:sz w:val="16"/>
      <w:lang w:val="en-US" w:eastAsia="en-US"/>
    </w:rPr>
  </w:style>
  <w:style w:type="paragraph" w:styleId="List">
    <w:name w:val="List"/>
    <w:basedOn w:val="BodyText"/>
    <w:next w:val="BodyText"/>
    <w:rsid w:val="00ED44A6"/>
    <w:pPr>
      <w:tabs>
        <w:tab w:val="left" w:pos="340"/>
      </w:tabs>
      <w:spacing w:before="60" w:after="60"/>
      <w:ind w:left="340" w:hanging="340"/>
    </w:pPr>
  </w:style>
  <w:style w:type="paragraph" w:styleId="ListBullet">
    <w:name w:val="List Bullet"/>
    <w:basedOn w:val="List"/>
    <w:rsid w:val="00ED44A6"/>
    <w:pPr>
      <w:numPr>
        <w:numId w:val="13"/>
      </w:numPr>
      <w:tabs>
        <w:tab w:val="clear" w:pos="340"/>
      </w:tabs>
      <w:spacing w:before="40" w:after="40"/>
    </w:pPr>
  </w:style>
  <w:style w:type="character" w:customStyle="1" w:styleId="SpecialBold">
    <w:name w:val="Special Bold"/>
    <w:basedOn w:val="DefaultParagraphFont"/>
    <w:rsid w:val="00ED44A6"/>
    <w:rPr>
      <w:b/>
      <w:spacing w:val="0"/>
    </w:rPr>
  </w:style>
  <w:style w:type="paragraph" w:styleId="ListBullet2">
    <w:name w:val="List Bullet 2"/>
    <w:basedOn w:val="List2"/>
    <w:rsid w:val="00ED44A6"/>
    <w:pPr>
      <w:numPr>
        <w:numId w:val="14"/>
      </w:numPr>
      <w:tabs>
        <w:tab w:val="clear" w:pos="680"/>
      </w:tabs>
    </w:pPr>
  </w:style>
  <w:style w:type="paragraph" w:styleId="Header">
    <w:name w:val="header"/>
    <w:basedOn w:val="Normal"/>
    <w:link w:val="HeaderChar"/>
    <w:rsid w:val="00ED4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44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44A6"/>
    <w:pPr>
      <w:spacing w:before="240" w:after="120"/>
      <w:outlineLvl w:val="0"/>
    </w:pPr>
    <w:rPr>
      <w:rFonts w:ascii="Times New Roman" w:hAnsi="Times New Roman"/>
      <w:b/>
      <w:sz w:val="28"/>
    </w:rPr>
  </w:style>
  <w:style w:type="paragraph" w:customStyle="1" w:styleId="AllowPageBreak">
    <w:name w:val="AllowPageBreak"/>
    <w:rsid w:val="00ED44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4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4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4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4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4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44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44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44A6"/>
    <w:rPr>
      <w:rFonts w:ascii="Courier New" w:eastAsia="Times New Roman" w:hAnsi="Courier New" w:cs="Times New Roman"/>
      <w:i/>
      <w:szCs w:val="20"/>
      <w:lang w:val="en-US" w:eastAsia="en-US"/>
    </w:rPr>
  </w:style>
  <w:style w:type="paragraph" w:customStyle="1" w:styleId="HeadingBase">
    <w:name w:val="Heading Base"/>
    <w:rsid w:val="00ED4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44A6"/>
    <w:pPr>
      <w:tabs>
        <w:tab w:val="right" w:leader="dot" w:pos="9072"/>
      </w:tabs>
      <w:ind w:left="567"/>
    </w:pPr>
    <w:rPr>
      <w:szCs w:val="22"/>
    </w:rPr>
  </w:style>
  <w:style w:type="paragraph" w:customStyle="1" w:styleId="TOCBase">
    <w:name w:val="TOC Base"/>
    <w:rsid w:val="00ED4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44A6"/>
    <w:pPr>
      <w:tabs>
        <w:tab w:val="right" w:leader="dot" w:pos="9072"/>
      </w:tabs>
      <w:spacing w:before="40" w:after="40"/>
      <w:ind w:left="284"/>
    </w:pPr>
    <w:rPr>
      <w:rFonts w:ascii="Times New Roman" w:hAnsi="Times New Roman"/>
    </w:rPr>
  </w:style>
  <w:style w:type="paragraph" w:styleId="TOC1">
    <w:name w:val="toc 1"/>
    <w:basedOn w:val="TOCBase"/>
    <w:next w:val="Normal"/>
    <w:rsid w:val="00ED44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44A6"/>
    <w:pPr>
      <w:spacing w:before="5040"/>
      <w:jc w:val="center"/>
    </w:pPr>
    <w:rPr>
      <w:sz w:val="48"/>
      <w:szCs w:val="72"/>
      <w:lang w:val="en-US"/>
    </w:rPr>
  </w:style>
  <w:style w:type="character" w:customStyle="1" w:styleId="TitleChar">
    <w:name w:val="Title Char"/>
    <w:basedOn w:val="DefaultParagraphFont"/>
    <w:link w:val="Title"/>
    <w:rsid w:val="00ED4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44A6"/>
    <w:pPr>
      <w:tabs>
        <w:tab w:val="left" w:pos="3600"/>
        <w:tab w:val="left" w:pos="3958"/>
      </w:tabs>
    </w:pPr>
  </w:style>
  <w:style w:type="paragraph" w:customStyle="1" w:styleId="Note">
    <w:name w:val="Note"/>
    <w:basedOn w:val="BodyText"/>
    <w:rsid w:val="00ED44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44A6"/>
    <w:pPr>
      <w:framePr w:wrap="auto" w:hAnchor="text" w:y="6049"/>
    </w:pPr>
    <w:rPr>
      <w:color w:val="000000"/>
      <w:sz w:val="40"/>
    </w:rPr>
  </w:style>
  <w:style w:type="paragraph" w:customStyle="1" w:styleId="TOCTitle">
    <w:name w:val="TOCTitle"/>
    <w:basedOn w:val="Heading1"/>
    <w:rsid w:val="00ED44A6"/>
    <w:pPr>
      <w:spacing w:after="240"/>
      <w:jc w:val="center"/>
      <w:outlineLvl w:val="9"/>
    </w:pPr>
    <w:rPr>
      <w:caps/>
    </w:rPr>
  </w:style>
  <w:style w:type="paragraph" w:customStyle="1" w:styleId="Version">
    <w:name w:val="Version"/>
    <w:rsid w:val="00ED44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44A6"/>
    <w:pPr>
      <w:keepNext w:val="0"/>
      <w:tabs>
        <w:tab w:val="right" w:pos="4176"/>
      </w:tabs>
      <w:ind w:left="198" w:hanging="198"/>
    </w:pPr>
    <w:rPr>
      <w:rFonts w:ascii="Garamond" w:hAnsi="Garamond"/>
    </w:rPr>
  </w:style>
  <w:style w:type="paragraph" w:styleId="IndexHeading">
    <w:name w:val="index heading"/>
    <w:basedOn w:val="Normal"/>
    <w:next w:val="Index1"/>
    <w:semiHidden/>
    <w:rsid w:val="00ED44A6"/>
    <w:pPr>
      <w:spacing w:before="120" w:after="120"/>
    </w:pPr>
    <w:rPr>
      <w:rFonts w:ascii="Arial" w:hAnsi="Arial"/>
      <w:b/>
      <w:color w:val="918585"/>
      <w:sz w:val="24"/>
    </w:rPr>
  </w:style>
  <w:style w:type="paragraph" w:customStyle="1" w:styleId="Chapter">
    <w:name w:val="Chapter"/>
    <w:basedOn w:val="Normal"/>
    <w:rsid w:val="00ED44A6"/>
    <w:pPr>
      <w:spacing w:before="240"/>
    </w:pPr>
    <w:rPr>
      <w:rFonts w:ascii="Times New Roman" w:hAnsi="Times New Roman"/>
      <w:smallCaps/>
      <w:spacing w:val="80"/>
      <w:sz w:val="28"/>
    </w:rPr>
  </w:style>
  <w:style w:type="paragraph" w:customStyle="1" w:styleId="InChapter">
    <w:name w:val="InChapter"/>
    <w:basedOn w:val="Heading3"/>
    <w:rsid w:val="00ED44A6"/>
    <w:pPr>
      <w:spacing w:after="240"/>
      <w:outlineLvl w:val="9"/>
    </w:pPr>
    <w:rPr>
      <w:noProof/>
    </w:rPr>
  </w:style>
  <w:style w:type="paragraph" w:styleId="Index2">
    <w:name w:val="index 2"/>
    <w:basedOn w:val="Normal"/>
    <w:next w:val="Normal"/>
    <w:semiHidden/>
    <w:rsid w:val="00ED44A6"/>
    <w:pPr>
      <w:tabs>
        <w:tab w:val="right" w:pos="4176"/>
      </w:tabs>
      <w:ind w:left="568" w:hanging="284"/>
    </w:pPr>
    <w:rPr>
      <w:rFonts w:ascii="Garamond" w:hAnsi="Garamond"/>
    </w:rPr>
  </w:style>
  <w:style w:type="paragraph" w:customStyle="1" w:styleId="Byline">
    <w:name w:val="Byline"/>
    <w:rsid w:val="00ED4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44A6"/>
    <w:pPr>
      <w:tabs>
        <w:tab w:val="clear" w:pos="3600"/>
        <w:tab w:val="clear" w:pos="3958"/>
      </w:tabs>
      <w:jc w:val="right"/>
    </w:pPr>
  </w:style>
  <w:style w:type="character" w:styleId="Emphasis">
    <w:name w:val="Emphasis"/>
    <w:basedOn w:val="DefaultParagraphFont"/>
    <w:qFormat/>
    <w:rsid w:val="00ED44A6"/>
    <w:rPr>
      <w:i/>
    </w:rPr>
  </w:style>
  <w:style w:type="paragraph" w:styleId="Caption">
    <w:name w:val="caption"/>
    <w:basedOn w:val="BodyText"/>
    <w:next w:val="Normal"/>
    <w:qFormat/>
    <w:rsid w:val="00ED44A6"/>
    <w:pPr>
      <w:framePr w:w="2268" w:hSpace="181" w:vSpace="181" w:wrap="around" w:vAnchor="text" w:hAnchor="page" w:x="1135" w:y="285" w:anchorLock="1"/>
    </w:pPr>
    <w:rPr>
      <w:i/>
    </w:rPr>
  </w:style>
  <w:style w:type="paragraph" w:customStyle="1" w:styleId="MiniTOCTitle">
    <w:name w:val="MiniTOCTitle"/>
    <w:basedOn w:val="Heading4"/>
    <w:rsid w:val="00ED44A6"/>
    <w:pPr>
      <w:spacing w:before="240"/>
      <w:outlineLvl w:val="9"/>
    </w:pPr>
    <w:rPr>
      <w:noProof/>
      <w:sz w:val="24"/>
    </w:rPr>
  </w:style>
  <w:style w:type="paragraph" w:customStyle="1" w:styleId="MiniTOCItem">
    <w:name w:val="MiniTOCItem"/>
    <w:basedOn w:val="ListBullet"/>
    <w:rsid w:val="00ED44A6"/>
    <w:pPr>
      <w:numPr>
        <w:numId w:val="0"/>
      </w:numPr>
      <w:tabs>
        <w:tab w:val="right" w:leader="dot" w:pos="6521"/>
      </w:tabs>
      <w:spacing w:before="0" w:after="0"/>
    </w:pPr>
  </w:style>
  <w:style w:type="paragraph" w:customStyle="1" w:styleId="TOFTitle">
    <w:name w:val="TOFTitle"/>
    <w:basedOn w:val="TOCTitle"/>
    <w:rsid w:val="00ED44A6"/>
  </w:style>
  <w:style w:type="paragraph" w:styleId="TableofFigures">
    <w:name w:val="table of figures"/>
    <w:basedOn w:val="Normal"/>
    <w:next w:val="Normal"/>
    <w:semiHidden/>
    <w:rsid w:val="00ED44A6"/>
    <w:pPr>
      <w:tabs>
        <w:tab w:val="right" w:leader="dot" w:pos="9072"/>
      </w:tabs>
      <w:ind w:left="970" w:hanging="403"/>
    </w:pPr>
    <w:rPr>
      <w:rFonts w:ascii="Times New Roman" w:hAnsi="Times New Roman"/>
      <w:b/>
    </w:rPr>
  </w:style>
  <w:style w:type="paragraph" w:styleId="ListNumber">
    <w:name w:val="List Number"/>
    <w:basedOn w:val="List"/>
    <w:rsid w:val="00ED44A6"/>
    <w:pPr>
      <w:numPr>
        <w:numId w:val="11"/>
      </w:numPr>
    </w:pPr>
  </w:style>
  <w:style w:type="character" w:customStyle="1" w:styleId="WingdingSymbols">
    <w:name w:val="Wingding Symbols"/>
    <w:rsid w:val="00ED44A6"/>
    <w:rPr>
      <w:rFonts w:ascii="Wingdings" w:hAnsi="Wingdings"/>
    </w:rPr>
  </w:style>
  <w:style w:type="paragraph" w:customStyle="1" w:styleId="TableHeading">
    <w:name w:val="Table Heading"/>
    <w:basedOn w:val="HeadingBase"/>
    <w:rsid w:val="00ED44A6"/>
    <w:pPr>
      <w:keepLines/>
      <w:pBdr>
        <w:bottom w:val="single" w:sz="6" w:space="1" w:color="918585"/>
      </w:pBdr>
      <w:spacing w:before="240"/>
    </w:pPr>
  </w:style>
  <w:style w:type="character" w:customStyle="1" w:styleId="HotSpot">
    <w:name w:val="HotSpot"/>
    <w:rsid w:val="00ED44A6"/>
    <w:rPr>
      <w:color w:val="0033CC"/>
      <w:u w:val="none"/>
    </w:rPr>
  </w:style>
  <w:style w:type="paragraph" w:customStyle="1" w:styleId="BodyTextRight">
    <w:name w:val="Body Text Right"/>
    <w:basedOn w:val="BodyText"/>
    <w:rsid w:val="00ED44A6"/>
    <w:pPr>
      <w:spacing w:before="0" w:after="0"/>
      <w:jc w:val="right"/>
    </w:pPr>
  </w:style>
  <w:style w:type="paragraph" w:styleId="Index3">
    <w:name w:val="index 3"/>
    <w:basedOn w:val="ListNumber2"/>
    <w:next w:val="Normal"/>
    <w:semiHidden/>
    <w:rsid w:val="00ED44A6"/>
    <w:pPr>
      <w:numPr>
        <w:numId w:val="0"/>
      </w:numPr>
      <w:tabs>
        <w:tab w:val="right" w:leader="dot" w:pos="4176"/>
      </w:tabs>
    </w:pPr>
  </w:style>
  <w:style w:type="paragraph" w:styleId="ListNumber2">
    <w:name w:val="List Number 2"/>
    <w:basedOn w:val="List2"/>
    <w:rsid w:val="00ED44A6"/>
    <w:pPr>
      <w:numPr>
        <w:numId w:val="10"/>
      </w:numPr>
      <w:tabs>
        <w:tab w:val="clear" w:pos="1060"/>
      </w:tabs>
    </w:pPr>
  </w:style>
  <w:style w:type="paragraph" w:customStyle="1" w:styleId="MarginNote">
    <w:name w:val="Margin Note"/>
    <w:basedOn w:val="BodyText"/>
    <w:rsid w:val="00ED4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4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44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44A6"/>
    <w:rPr>
      <w:sz w:val="32"/>
    </w:rPr>
  </w:style>
  <w:style w:type="paragraph" w:customStyle="1" w:styleId="HeadingProcedure">
    <w:name w:val="Heading Procedure"/>
    <w:basedOn w:val="HeadingBase"/>
    <w:next w:val="Normal"/>
    <w:rsid w:val="00ED44A6"/>
    <w:pPr>
      <w:tabs>
        <w:tab w:val="left" w:pos="0"/>
      </w:tabs>
      <w:spacing w:before="120" w:after="60"/>
    </w:pPr>
    <w:rPr>
      <w:i/>
      <w:color w:val="918585"/>
      <w:sz w:val="22"/>
    </w:rPr>
  </w:style>
  <w:style w:type="paragraph" w:customStyle="1" w:styleId="TableBodyText">
    <w:name w:val="Table Body Text"/>
    <w:basedOn w:val="BodyText"/>
    <w:rsid w:val="00ED44A6"/>
    <w:pPr>
      <w:spacing w:before="60" w:after="60"/>
    </w:pPr>
  </w:style>
  <w:style w:type="paragraph" w:styleId="ListContinue">
    <w:name w:val="List Continue"/>
    <w:basedOn w:val="List"/>
    <w:rsid w:val="00ED44A6"/>
    <w:pPr>
      <w:ind w:firstLine="0"/>
    </w:pPr>
  </w:style>
  <w:style w:type="paragraph" w:customStyle="1" w:styleId="ListNote">
    <w:name w:val="List Note"/>
    <w:basedOn w:val="List"/>
    <w:rsid w:val="00ED44A6"/>
    <w:pPr>
      <w:pBdr>
        <w:top w:val="single" w:sz="6" w:space="2" w:color="918585"/>
        <w:bottom w:val="single" w:sz="6" w:space="2" w:color="918585"/>
      </w:pBdr>
      <w:tabs>
        <w:tab w:val="left" w:pos="1021"/>
      </w:tabs>
      <w:ind w:firstLine="0"/>
    </w:pPr>
  </w:style>
  <w:style w:type="paragraph" w:customStyle="1" w:styleId="Warning">
    <w:name w:val="Warning"/>
    <w:basedOn w:val="BodyText"/>
    <w:rsid w:val="00ED44A6"/>
    <w:pPr>
      <w:shd w:val="clear" w:color="auto" w:fill="D9D9D9"/>
      <w:tabs>
        <w:tab w:val="left" w:pos="992"/>
      </w:tabs>
      <w:ind w:left="119" w:right="119"/>
    </w:pPr>
    <w:rPr>
      <w:sz w:val="20"/>
    </w:rPr>
  </w:style>
  <w:style w:type="paragraph" w:customStyle="1" w:styleId="MarginIcons">
    <w:name w:val="Margin Icons"/>
    <w:basedOn w:val="BodyText"/>
    <w:rsid w:val="00ED4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44A6"/>
    <w:rPr>
      <w:rFonts w:ascii="Courier New" w:hAnsi="Courier New"/>
    </w:rPr>
  </w:style>
  <w:style w:type="paragraph" w:customStyle="1" w:styleId="NoteBullet">
    <w:name w:val="Note Bullet"/>
    <w:basedOn w:val="Note"/>
    <w:rsid w:val="00ED44A6"/>
    <w:pPr>
      <w:tabs>
        <w:tab w:val="clear" w:pos="680"/>
      </w:tabs>
      <w:spacing w:before="60" w:after="60"/>
    </w:pPr>
  </w:style>
  <w:style w:type="paragraph" w:customStyle="1" w:styleId="SubHeading2">
    <w:name w:val="SubHeading2"/>
    <w:basedOn w:val="HeadingBase"/>
    <w:rsid w:val="00ED44A6"/>
    <w:pPr>
      <w:spacing w:before="240" w:after="60"/>
    </w:pPr>
    <w:rPr>
      <w:sz w:val="20"/>
    </w:rPr>
  </w:style>
  <w:style w:type="paragraph" w:customStyle="1" w:styleId="SubHeading1">
    <w:name w:val="SubHeading1"/>
    <w:basedOn w:val="HeadingBase"/>
    <w:rsid w:val="00ED44A6"/>
    <w:pPr>
      <w:spacing w:before="240" w:after="60"/>
    </w:pPr>
    <w:rPr>
      <w:color w:val="918585"/>
      <w:sz w:val="22"/>
    </w:rPr>
  </w:style>
  <w:style w:type="paragraph" w:customStyle="1" w:styleId="SideHeading">
    <w:name w:val="Side Heading"/>
    <w:basedOn w:val="HeadingBase"/>
    <w:rsid w:val="00ED4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44A6"/>
    <w:pPr>
      <w:numPr>
        <w:numId w:val="12"/>
      </w:numPr>
    </w:pPr>
  </w:style>
  <w:style w:type="paragraph" w:styleId="PlainText">
    <w:name w:val="Plain Text"/>
    <w:basedOn w:val="Normal"/>
    <w:link w:val="PlainTextChar"/>
    <w:rsid w:val="00ED44A6"/>
    <w:rPr>
      <w:sz w:val="20"/>
    </w:rPr>
  </w:style>
  <w:style w:type="character" w:customStyle="1" w:styleId="PlainTextChar">
    <w:name w:val="Plain Text Char"/>
    <w:basedOn w:val="DefaultParagraphFont"/>
    <w:link w:val="PlainText"/>
    <w:rsid w:val="00ED44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44A6"/>
    <w:rPr>
      <w:b/>
      <w:smallCaps/>
    </w:rPr>
  </w:style>
  <w:style w:type="paragraph" w:customStyle="1" w:styleId="TableListNumber">
    <w:name w:val="Table List Number"/>
    <w:basedOn w:val="ListNumber"/>
    <w:rsid w:val="00ED44A6"/>
    <w:pPr>
      <w:numPr>
        <w:numId w:val="0"/>
      </w:numPr>
    </w:pPr>
  </w:style>
  <w:style w:type="paragraph" w:styleId="TOC4">
    <w:name w:val="toc 4"/>
    <w:basedOn w:val="TOCBase"/>
    <w:next w:val="Normal"/>
    <w:semiHidden/>
    <w:rsid w:val="00ED44A6"/>
    <w:pPr>
      <w:tabs>
        <w:tab w:val="right" w:leader="dot" w:pos="9071"/>
      </w:tabs>
      <w:ind w:left="1701"/>
    </w:pPr>
  </w:style>
  <w:style w:type="paragraph" w:customStyle="1" w:styleId="ListAlpha">
    <w:name w:val="List Alpha"/>
    <w:basedOn w:val="List"/>
    <w:rsid w:val="00ED44A6"/>
    <w:pPr>
      <w:numPr>
        <w:numId w:val="9"/>
      </w:numPr>
    </w:pPr>
  </w:style>
  <w:style w:type="paragraph" w:customStyle="1" w:styleId="ListAlpha2">
    <w:name w:val="List Alpha 2"/>
    <w:basedOn w:val="List2"/>
    <w:rsid w:val="00ED44A6"/>
    <w:pPr>
      <w:numPr>
        <w:numId w:val="8"/>
      </w:numPr>
    </w:pPr>
  </w:style>
  <w:style w:type="paragraph" w:styleId="List2">
    <w:name w:val="List 2"/>
    <w:basedOn w:val="BodyText"/>
    <w:rsid w:val="00ED44A6"/>
    <w:pPr>
      <w:tabs>
        <w:tab w:val="left" w:pos="680"/>
      </w:tabs>
      <w:spacing w:before="60" w:after="60"/>
      <w:ind w:left="680" w:hanging="340"/>
    </w:pPr>
  </w:style>
  <w:style w:type="paragraph" w:styleId="List3">
    <w:name w:val="List 3"/>
    <w:basedOn w:val="BodyText"/>
    <w:rsid w:val="00ED44A6"/>
    <w:pPr>
      <w:tabs>
        <w:tab w:val="left" w:pos="1021"/>
      </w:tabs>
      <w:spacing w:before="60" w:after="60"/>
      <w:ind w:left="1020" w:hanging="340"/>
    </w:pPr>
  </w:style>
  <w:style w:type="paragraph" w:styleId="List4">
    <w:name w:val="List 4"/>
    <w:basedOn w:val="BodyText"/>
    <w:rsid w:val="00ED44A6"/>
    <w:pPr>
      <w:tabs>
        <w:tab w:val="left" w:pos="1361"/>
      </w:tabs>
      <w:spacing w:before="60" w:after="60"/>
      <w:ind w:left="1361" w:hanging="340"/>
    </w:pPr>
  </w:style>
  <w:style w:type="paragraph" w:styleId="List5">
    <w:name w:val="List 5"/>
    <w:basedOn w:val="BodyText"/>
    <w:rsid w:val="00ED44A6"/>
    <w:pPr>
      <w:tabs>
        <w:tab w:val="left" w:pos="1701"/>
      </w:tabs>
      <w:spacing w:before="60" w:after="60"/>
      <w:ind w:left="1701" w:hanging="340"/>
    </w:pPr>
  </w:style>
  <w:style w:type="paragraph" w:styleId="ListBullet3">
    <w:name w:val="List Bullet 3"/>
    <w:basedOn w:val="List3"/>
    <w:rsid w:val="00ED44A6"/>
    <w:pPr>
      <w:numPr>
        <w:numId w:val="15"/>
      </w:numPr>
      <w:tabs>
        <w:tab w:val="clear" w:pos="1021"/>
      </w:tabs>
      <w:ind w:left="1037" w:hanging="357"/>
    </w:pPr>
  </w:style>
  <w:style w:type="paragraph" w:styleId="ListBullet4">
    <w:name w:val="List Bullet 4"/>
    <w:basedOn w:val="List4"/>
    <w:rsid w:val="00ED44A6"/>
    <w:pPr>
      <w:numPr>
        <w:numId w:val="3"/>
      </w:numPr>
    </w:pPr>
  </w:style>
  <w:style w:type="paragraph" w:styleId="ListBullet5">
    <w:name w:val="List Bullet 5"/>
    <w:basedOn w:val="List5"/>
    <w:rsid w:val="00ED44A6"/>
    <w:pPr>
      <w:numPr>
        <w:numId w:val="4"/>
      </w:numPr>
    </w:pPr>
  </w:style>
  <w:style w:type="paragraph" w:styleId="ListContinue2">
    <w:name w:val="List Continue 2"/>
    <w:basedOn w:val="List2"/>
    <w:rsid w:val="00ED44A6"/>
    <w:pPr>
      <w:ind w:firstLine="0"/>
    </w:pPr>
  </w:style>
  <w:style w:type="paragraph" w:styleId="ListContinue3">
    <w:name w:val="List Continue 3"/>
    <w:basedOn w:val="List3"/>
    <w:rsid w:val="00ED44A6"/>
    <w:pPr>
      <w:ind w:left="1021" w:firstLine="0"/>
    </w:pPr>
  </w:style>
  <w:style w:type="paragraph" w:styleId="ListContinue4">
    <w:name w:val="List Continue 4"/>
    <w:basedOn w:val="List4"/>
    <w:rsid w:val="00ED44A6"/>
    <w:pPr>
      <w:ind w:firstLine="0"/>
    </w:pPr>
  </w:style>
  <w:style w:type="paragraph" w:styleId="ListContinue5">
    <w:name w:val="List Continue 5"/>
    <w:basedOn w:val="List5"/>
    <w:rsid w:val="00ED44A6"/>
    <w:pPr>
      <w:ind w:firstLine="0"/>
    </w:pPr>
  </w:style>
  <w:style w:type="paragraph" w:styleId="ListNumber3">
    <w:name w:val="List Number 3"/>
    <w:basedOn w:val="List3"/>
    <w:rsid w:val="00ED44A6"/>
    <w:pPr>
      <w:numPr>
        <w:numId w:val="5"/>
      </w:numPr>
    </w:pPr>
  </w:style>
  <w:style w:type="paragraph" w:styleId="ListNumber4">
    <w:name w:val="List Number 4"/>
    <w:basedOn w:val="List4"/>
    <w:rsid w:val="00ED44A6"/>
    <w:pPr>
      <w:numPr>
        <w:numId w:val="6"/>
      </w:numPr>
    </w:pPr>
  </w:style>
  <w:style w:type="paragraph" w:styleId="ListNumber5">
    <w:name w:val="List Number 5"/>
    <w:basedOn w:val="List5"/>
    <w:rsid w:val="00ED44A6"/>
    <w:pPr>
      <w:numPr>
        <w:numId w:val="7"/>
      </w:numPr>
    </w:pPr>
  </w:style>
  <w:style w:type="paragraph" w:styleId="BlockText">
    <w:name w:val="Block Text"/>
    <w:basedOn w:val="Normal"/>
    <w:rsid w:val="00ED44A6"/>
    <w:pPr>
      <w:spacing w:after="120"/>
      <w:ind w:left="1440" w:right="1440"/>
    </w:pPr>
  </w:style>
  <w:style w:type="character" w:customStyle="1" w:styleId="Subscript">
    <w:name w:val="Subscript"/>
    <w:basedOn w:val="DefaultParagraphFont"/>
    <w:rsid w:val="00ED44A6"/>
    <w:rPr>
      <w:sz w:val="16"/>
      <w:vertAlign w:val="subscript"/>
    </w:rPr>
  </w:style>
  <w:style w:type="character" w:customStyle="1" w:styleId="Superscript">
    <w:name w:val="Superscript"/>
    <w:basedOn w:val="DefaultParagraphFont"/>
    <w:rsid w:val="00ED44A6"/>
    <w:rPr>
      <w:sz w:val="16"/>
      <w:vertAlign w:val="superscript"/>
    </w:rPr>
  </w:style>
  <w:style w:type="character" w:customStyle="1" w:styleId="Symbols">
    <w:name w:val="Symbols"/>
    <w:basedOn w:val="DefaultParagraphFont"/>
    <w:rsid w:val="00ED44A6"/>
    <w:rPr>
      <w:rFonts w:ascii="Symbol" w:hAnsi="Symbol"/>
    </w:rPr>
  </w:style>
  <w:style w:type="character" w:customStyle="1" w:styleId="MenuOptions">
    <w:name w:val="Menu Options"/>
    <w:basedOn w:val="DefaultParagraphFont"/>
    <w:rsid w:val="00ED44A6"/>
    <w:rPr>
      <w:rFonts w:ascii="Arial Narrow" w:hAnsi="Arial Narrow"/>
      <w:smallCaps/>
    </w:rPr>
  </w:style>
  <w:style w:type="character" w:customStyle="1" w:styleId="Buttons">
    <w:name w:val="Buttons"/>
    <w:basedOn w:val="DefaultParagraphFont"/>
    <w:rsid w:val="00ED44A6"/>
    <w:rPr>
      <w:b/>
    </w:rPr>
  </w:style>
  <w:style w:type="character" w:customStyle="1" w:styleId="Underlined">
    <w:name w:val="Underlined"/>
    <w:basedOn w:val="DefaultParagraphFont"/>
    <w:rsid w:val="00ED44A6"/>
    <w:rPr>
      <w:u w:val="single"/>
    </w:rPr>
  </w:style>
  <w:style w:type="paragraph" w:customStyle="1" w:styleId="TableBodyTextRight">
    <w:name w:val="Table Body Text Right"/>
    <w:basedOn w:val="TableBodyText"/>
    <w:rsid w:val="00ED44A6"/>
    <w:pPr>
      <w:widowControl w:val="0"/>
      <w:autoSpaceDE w:val="0"/>
      <w:autoSpaceDN w:val="0"/>
      <w:adjustRightInd w:val="0"/>
      <w:jc w:val="right"/>
    </w:pPr>
    <w:rPr>
      <w:rFonts w:cs="Arial"/>
      <w:szCs w:val="18"/>
    </w:rPr>
  </w:style>
  <w:style w:type="paragraph" w:customStyle="1" w:styleId="CopyrightText">
    <w:name w:val="Copyright Text"/>
    <w:basedOn w:val="BodyText"/>
    <w:rsid w:val="00ED44A6"/>
    <w:rPr>
      <w:sz w:val="18"/>
    </w:rPr>
  </w:style>
  <w:style w:type="paragraph" w:customStyle="1" w:styleId="BodySmallRight">
    <w:name w:val="Body Small Right"/>
    <w:basedOn w:val="BodyTextRight"/>
    <w:rsid w:val="00ED44A6"/>
    <w:rPr>
      <w:sz w:val="18"/>
      <w:szCs w:val="18"/>
    </w:rPr>
  </w:style>
  <w:style w:type="paragraph" w:customStyle="1" w:styleId="MarginEdition">
    <w:name w:val="Margin Edition"/>
    <w:basedOn w:val="MarginNote"/>
    <w:rsid w:val="00ED44A6"/>
    <w:pPr>
      <w:spacing w:before="0" w:after="0"/>
    </w:pPr>
    <w:rPr>
      <w:rFonts w:ascii="Times New Roman" w:hAnsi="Times New Roman"/>
      <w:color w:val="999999"/>
    </w:rPr>
  </w:style>
  <w:style w:type="paragraph" w:customStyle="1" w:styleId="Spacer">
    <w:name w:val="Spacer"/>
    <w:basedOn w:val="Normal"/>
    <w:rsid w:val="00ED44A6"/>
    <w:rPr>
      <w:sz w:val="2"/>
      <w:szCs w:val="2"/>
    </w:rPr>
  </w:style>
  <w:style w:type="character" w:customStyle="1" w:styleId="Small">
    <w:name w:val="Small"/>
    <w:basedOn w:val="DefaultParagraphFont"/>
    <w:rsid w:val="00ED44A6"/>
    <w:rPr>
      <w:sz w:val="16"/>
    </w:rPr>
  </w:style>
  <w:style w:type="paragraph" w:customStyle="1" w:styleId="WideTable">
    <w:name w:val="Wide Table"/>
    <w:basedOn w:val="Normal"/>
    <w:rsid w:val="00ED44A6"/>
    <w:pPr>
      <w:ind w:left="-1418"/>
    </w:pPr>
    <w:rPr>
      <w:sz w:val="2"/>
      <w:szCs w:val="2"/>
    </w:rPr>
  </w:style>
  <w:style w:type="character" w:styleId="PageNumber">
    <w:name w:val="page number"/>
    <w:basedOn w:val="DefaultParagraphFont"/>
    <w:rsid w:val="00ED44A6"/>
  </w:style>
  <w:style w:type="paragraph" w:styleId="Quote">
    <w:name w:val="Quote"/>
    <w:basedOn w:val="Heading1"/>
    <w:link w:val="QuoteChar"/>
    <w:qFormat/>
    <w:rsid w:val="00ED44A6"/>
    <w:rPr>
      <w:b w:val="0"/>
      <w:sz w:val="72"/>
      <w:szCs w:val="72"/>
      <w:lang w:val="en-NZ"/>
    </w:rPr>
  </w:style>
  <w:style w:type="character" w:customStyle="1" w:styleId="QuoteChar">
    <w:name w:val="Quote Char"/>
    <w:basedOn w:val="DefaultParagraphFont"/>
    <w:link w:val="Quote"/>
    <w:rsid w:val="00ED4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44A6"/>
    <w:pPr>
      <w:pageBreakBefore/>
    </w:pPr>
  </w:style>
  <w:style w:type="paragraph" w:customStyle="1" w:styleId="Border">
    <w:name w:val="Border"/>
    <w:basedOn w:val="Normal"/>
    <w:qFormat/>
    <w:rsid w:val="00ED4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44A6"/>
    <w:rPr>
      <w:b/>
      <w:bCs/>
      <w:i/>
      <w:iCs/>
      <w:color w:val="auto"/>
    </w:rPr>
  </w:style>
  <w:style w:type="paragraph" w:styleId="IntenseQuote">
    <w:name w:val="Intense Quote"/>
    <w:basedOn w:val="Normal"/>
    <w:next w:val="Normal"/>
    <w:link w:val="IntenseQuoteChar"/>
    <w:uiPriority w:val="30"/>
    <w:qFormat/>
    <w:rsid w:val="00ED4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44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44A6"/>
    <w:rPr>
      <w:smallCaps/>
      <w:color w:val="auto"/>
      <w:u w:val="single"/>
    </w:rPr>
  </w:style>
  <w:style w:type="character" w:styleId="IntenseReference">
    <w:name w:val="Intense Reference"/>
    <w:basedOn w:val="DefaultParagraphFont"/>
    <w:uiPriority w:val="32"/>
    <w:qFormat/>
    <w:rsid w:val="00ED44A6"/>
    <w:rPr>
      <w:b/>
      <w:bCs/>
      <w:smallCaps/>
      <w:color w:val="auto"/>
      <w:spacing w:val="5"/>
      <w:u w:val="single"/>
    </w:rPr>
  </w:style>
  <w:style w:type="paragraph" w:customStyle="1" w:styleId="2ColumnHeading">
    <w:name w:val="2Column Heading"/>
    <w:basedOn w:val="BodyText"/>
    <w:qFormat/>
    <w:rsid w:val="00ED44A6"/>
    <w:pPr>
      <w:spacing w:after="60"/>
      <w:ind w:left="-2268"/>
    </w:pPr>
    <w:rPr>
      <w:b/>
    </w:rPr>
  </w:style>
  <w:style w:type="paragraph" w:customStyle="1" w:styleId="Heading1TOC">
    <w:name w:val="Heading1 TOC"/>
    <w:basedOn w:val="Normal"/>
    <w:qFormat/>
    <w:rsid w:val="00ED44A6"/>
    <w:pPr>
      <w:spacing w:before="240" w:after="120"/>
    </w:pPr>
    <w:rPr>
      <w:rFonts w:ascii="Times New Roman" w:hAnsi="Times New Roman"/>
      <w:b/>
      <w:sz w:val="32"/>
    </w:rPr>
  </w:style>
  <w:style w:type="paragraph" w:customStyle="1" w:styleId="Heading2TOC">
    <w:name w:val="Heading2 TOC"/>
    <w:basedOn w:val="Normal"/>
    <w:qFormat/>
    <w:rsid w:val="00ED44A6"/>
    <w:pPr>
      <w:spacing w:before="240" w:after="60"/>
    </w:pPr>
    <w:rPr>
      <w:rFonts w:ascii="Times New Roman" w:hAnsi="Times New Roman"/>
      <w:b/>
      <w:sz w:val="28"/>
    </w:rPr>
  </w:style>
  <w:style w:type="character" w:customStyle="1" w:styleId="Underline">
    <w:name w:val="Underline"/>
    <w:basedOn w:val="DefaultParagraphFont"/>
    <w:qFormat/>
    <w:rsid w:val="00ED44A6"/>
    <w:rPr>
      <w:u w:val="single"/>
    </w:rPr>
  </w:style>
  <w:style w:type="character" w:customStyle="1" w:styleId="BoldandItalics">
    <w:name w:val="Bold and Italics"/>
    <w:qFormat/>
    <w:rsid w:val="00ED44A6"/>
    <w:rPr>
      <w:b/>
      <w:i/>
      <w:u w:val="none"/>
    </w:rPr>
  </w:style>
  <w:style w:type="paragraph" w:styleId="BalloonText">
    <w:name w:val="Balloon Text"/>
    <w:basedOn w:val="Normal"/>
    <w:link w:val="BalloonTextChar"/>
    <w:rsid w:val="00ED44A6"/>
    <w:rPr>
      <w:rFonts w:ascii="Tahoma" w:hAnsi="Tahoma" w:cs="Tahoma"/>
      <w:sz w:val="16"/>
      <w:szCs w:val="16"/>
    </w:rPr>
  </w:style>
  <w:style w:type="character" w:customStyle="1" w:styleId="BalloonTextChar">
    <w:name w:val="Balloon Text Char"/>
    <w:basedOn w:val="DefaultParagraphFont"/>
    <w:link w:val="BalloonText"/>
    <w:rsid w:val="00ED44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44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44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1422</Words>
  <Characters>9590</Characters>
  <Application>Microsoft Office Word</Application>
  <DocSecurity>0</DocSecurity>
  <Lines>313</Lines>
  <Paragraphs>174</Paragraphs>
  <ScaleCrop>false</ScaleCrop>
  <Company>Author-it Software Corporation Ltd.</Company>
  <LinksUpToDate>false</LinksUpToDate>
  <CharactersWithSpaces>10938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TLIX5014A Manage materiel sustainment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2012-05-27T04:14:00Z</dcterms:created>
  <dcterms:modified xsi:type="dcterms:W3CDTF">2012-05-27T04:14:00Z</dcterms:modified>
</cp:coreProperties>
</file>