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8C4" w:rsidP="008738C4">
      <w:pPr>
        <w:pStyle w:val="Title"/>
      </w:pPr>
      <w:r>
        <w:fldChar w:fldCharType="begin"/>
      </w:r>
      <w:r>
        <w:instrText xml:space="preserve"> TITLE   \* MERGEFORMAT </w:instrText>
      </w:r>
      <w:r>
        <w:fldChar w:fldCharType="separate"/>
      </w:r>
      <w:r>
        <w:t>TLIX5012A Develop and review materiel sustainment plans</w:t>
      </w:r>
      <w:r>
        <w:fldChar w:fldCharType="end"/>
      </w:r>
    </w:p>
    <w:p w:rsidR="008738C4" w:rsidP="008738C4">
      <w:pPr>
        <w:pStyle w:val="Version"/>
        <w:sectPr w:rsidSect="005C30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306F" w:rsidP="005C306F">
      <w:pPr>
        <w:pStyle w:val="SuperHeading"/>
      </w:pPr>
      <w:r w:rsidRPr="005C306F">
        <w:t>TLIX5012A Develop and review materiel sustainment plans</w:t>
      </w:r>
    </w:p>
    <w:p w:rsidR="00000000" w:rsidRPr="005C306F" w:rsidP="005C306F">
      <w:pPr>
        <w:pStyle w:val="Heading1"/>
      </w:pPr>
      <w:bookmarkStart w:id="1" w:name="O_274401"/>
      <w:bookmarkEnd w:id="1"/>
      <w:r w:rsidRPr="005C306F">
        <w:t>Modification History</w:t>
      </w:r>
    </w:p>
    <w:p w:rsidR="00000000" w:rsidRPr="005C306F" w:rsidP="005C306F">
      <w:pPr>
        <w:pStyle w:val="BodyText"/>
      </w:pPr>
      <w:r w:rsidRPr="005C306F">
        <w:t>Not Applicable</w:t>
      </w:r>
    </w:p>
    <w:p w:rsidR="00000000" w:rsidRPr="005C306F" w:rsidP="005C306F">
      <w:pPr>
        <w:pStyle w:val="AllowPageBreak"/>
      </w:pPr>
    </w:p>
    <w:p w:rsidR="00000000" w:rsidRPr="005C306F" w:rsidP="005C306F">
      <w:pPr>
        <w:pStyle w:val="Heading1"/>
      </w:pPr>
      <w:bookmarkStart w:id="2" w:name="O_224666"/>
      <w:bookmarkEnd w:id="2"/>
      <w:r w:rsidRPr="005C306F">
        <w:t>Unit Descriptor</w:t>
      </w:r>
    </w:p>
    <w:tbl>
      <w:tblPr>
        <w:tblW w:w="9640" w:type="dxa"/>
        <w:tblLayout w:type="fixed"/>
        <w:tblCellMar>
          <w:left w:w="62" w:type="dxa"/>
          <w:right w:w="62" w:type="dxa"/>
        </w:tblCellMar>
        <w:tblLook w:val="0000"/>
      </w:tblPr>
      <w:tblGrid>
        <w:gridCol w:w="2978"/>
        <w:gridCol w:w="6662"/>
      </w:tblGrid>
      <w:tr w:rsidTr="008738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C306F" w:rsidP="005C306F">
            <w:pPr>
              <w:pStyle w:val="BodyText"/>
            </w:pPr>
            <w:r w:rsidRPr="005C306F">
              <w:t>This unit involves the skills and knowledge required to develop and review materiel sustainment</w:t>
            </w:r>
            <w:r w:rsidRPr="005C306F">
              <w:t xml:space="preserve"> plans and associated subordinate plans to ensure efficient and effective delivery of materiel sustainment across the materiel and materiel system life cycle. The materiel sustainment plans document how the materiel or materiel system will be supported to </w:t>
            </w:r>
            <w:r w:rsidRPr="005C306F">
              <w:t>ensure they meet the stated capability requirement. There are no specific licensing or certification requirements applicable to this unit.</w:t>
            </w:r>
          </w:p>
        </w:tc>
      </w:tr>
    </w:tbl>
    <w:p w:rsidR="008738C4" w:rsidP="005C306F">
      <w:pPr>
        <w:pStyle w:val="BodyText"/>
      </w:pPr>
    </w:p>
    <w:p w:rsidR="008738C4" w:rsidP="005C306F">
      <w:pPr>
        <w:pStyle w:val="BodyText"/>
      </w:pPr>
    </w:p>
    <w:p w:rsidR="00000000" w:rsidRPr="005C306F" w:rsidP="005C306F">
      <w:pPr>
        <w:pStyle w:val="Heading1"/>
      </w:pPr>
      <w:bookmarkStart w:id="3" w:name="O_224668"/>
      <w:bookmarkEnd w:id="3"/>
      <w:r w:rsidRPr="005C306F">
        <w:t>Application of the Unit</w:t>
      </w:r>
    </w:p>
    <w:tbl>
      <w:tblPr>
        <w:tblW w:w="9640" w:type="dxa"/>
        <w:tblLayout w:type="fixed"/>
        <w:tblCellMar>
          <w:left w:w="62" w:type="dxa"/>
          <w:right w:w="62" w:type="dxa"/>
        </w:tblCellMar>
        <w:tblLook w:val="0000"/>
      </w:tblPr>
      <w:tblGrid>
        <w:gridCol w:w="2978"/>
        <w:gridCol w:w="6662"/>
      </w:tblGrid>
      <w:tr w:rsidTr="008738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C306F" w:rsidP="005C306F">
            <w:pPr>
              <w:pStyle w:val="BodyText"/>
            </w:pPr>
            <w:r w:rsidRPr="005C306F">
              <w:t>This unit was developed for materiel sustainment specialists working within materiel logistics but is applicable to any individual in broader logistic roles.</w:t>
            </w:r>
          </w:p>
          <w:p w:rsidR="00000000" w:rsidRPr="005C306F" w:rsidP="005C306F">
            <w:pPr>
              <w:pStyle w:val="BodyText"/>
            </w:pPr>
            <w:r w:rsidRPr="005C306F">
              <w:t>Typically these individuals must demonstrate the ability to work independently or as part of a tea</w:t>
            </w:r>
            <w:r w:rsidRPr="005C306F">
              <w:t>m under direct and/or indirect supervision, use discretion and judgement, and take responsibility for the quality of their outputs. All activities are carried out in accordance with relevant organisational policy and procedures.</w:t>
            </w:r>
          </w:p>
        </w:tc>
      </w:tr>
    </w:tbl>
    <w:p w:rsidR="008738C4" w:rsidP="005C306F">
      <w:pPr>
        <w:pStyle w:val="BodyText"/>
      </w:pPr>
    </w:p>
    <w:p w:rsidR="008738C4" w:rsidP="005C306F">
      <w:pPr>
        <w:pStyle w:val="BodyText"/>
      </w:pPr>
    </w:p>
    <w:p w:rsidR="00000000" w:rsidRPr="005C306F" w:rsidP="005C306F">
      <w:pPr>
        <w:pStyle w:val="Heading1"/>
      </w:pPr>
      <w:bookmarkStart w:id="4" w:name="O_282661"/>
      <w:bookmarkEnd w:id="4"/>
      <w:r w:rsidRPr="005C306F">
        <w:t>Licensi</w:t>
      </w:r>
      <w:r w:rsidRPr="005C306F">
        <w:t>ng/Regulatory Information</w:t>
      </w:r>
    </w:p>
    <w:p w:rsidR="00000000" w:rsidRPr="005C306F" w:rsidP="005C306F">
      <w:pPr>
        <w:pStyle w:val="BodyText"/>
      </w:pPr>
      <w:r w:rsidRPr="005C306F">
        <w:t>Refer to Unit Descriptor</w:t>
      </w:r>
    </w:p>
    <w:p w:rsidR="00000000" w:rsidRPr="005C306F" w:rsidP="005C306F">
      <w:pPr>
        <w:pStyle w:val="AllowPageBreak"/>
      </w:pPr>
    </w:p>
    <w:p w:rsidR="00000000" w:rsidRPr="005C306F" w:rsidP="005C306F">
      <w:pPr>
        <w:pStyle w:val="Heading1"/>
      </w:pPr>
      <w:bookmarkStart w:id="5" w:name="O_285111"/>
      <w:bookmarkEnd w:id="5"/>
      <w:r w:rsidRPr="005C306F">
        <w:t>Pre-Requisites</w:t>
      </w:r>
    </w:p>
    <w:p w:rsidR="00000000" w:rsidRPr="005C306F" w:rsidP="005C306F">
      <w:pPr>
        <w:pStyle w:val="BodyText"/>
      </w:pPr>
      <w:r w:rsidRPr="005C306F">
        <w:t>Not Applicable</w:t>
      </w:r>
    </w:p>
    <w:p w:rsidR="00000000" w:rsidRPr="005C306F" w:rsidP="005C306F">
      <w:pPr>
        <w:pStyle w:val="AllowPageBreak"/>
      </w:pPr>
    </w:p>
    <w:p w:rsidR="00000000" w:rsidRPr="005C306F" w:rsidP="005C306F">
      <w:pPr>
        <w:pStyle w:val="Heading1"/>
      </w:pPr>
      <w:bookmarkStart w:id="6" w:name="O_224667"/>
      <w:bookmarkEnd w:id="6"/>
      <w:r w:rsidRPr="005C306F">
        <w:t>Employability Skills Information</w:t>
      </w:r>
    </w:p>
    <w:tbl>
      <w:tblPr>
        <w:tblW w:w="9640" w:type="dxa"/>
        <w:tblLayout w:type="fixed"/>
        <w:tblCellMar>
          <w:left w:w="62" w:type="dxa"/>
          <w:right w:w="62" w:type="dxa"/>
        </w:tblCellMar>
        <w:tblLook w:val="0000"/>
      </w:tblPr>
      <w:tblGrid>
        <w:gridCol w:w="2978"/>
        <w:gridCol w:w="6662"/>
      </w:tblGrid>
      <w:tr w:rsidTr="008738C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C306F" w:rsidP="005C306F">
            <w:pPr>
              <w:pStyle w:val="BodyText"/>
            </w:pPr>
            <w:r w:rsidRPr="005C306F">
              <w:t>This unit contains employability skills.</w:t>
            </w:r>
          </w:p>
        </w:tc>
      </w:tr>
    </w:tbl>
    <w:p w:rsidR="008738C4" w:rsidP="005C306F">
      <w:pPr>
        <w:pStyle w:val="BodyText"/>
      </w:pPr>
    </w:p>
    <w:p w:rsidR="008738C4" w:rsidP="005C306F">
      <w:pPr>
        <w:pStyle w:val="BodyText"/>
      </w:pPr>
    </w:p>
    <w:p w:rsidR="00000000" w:rsidRPr="005C306F" w:rsidP="005C306F">
      <w:pPr>
        <w:pStyle w:val="Heading1"/>
      </w:pPr>
      <w:bookmarkStart w:id="7" w:name="O_292447"/>
      <w:bookmarkEnd w:id="7"/>
      <w:r w:rsidRPr="005C306F">
        <w:t>Elements and Performance Criteria Pre-Content</w:t>
      </w:r>
    </w:p>
    <w:tbl>
      <w:tblPr>
        <w:tblW w:w="9640" w:type="dxa"/>
        <w:tblLayout w:type="fixed"/>
        <w:tblCellMar>
          <w:left w:w="62" w:type="dxa"/>
          <w:right w:w="62" w:type="dxa"/>
        </w:tblCellMar>
        <w:tblLook w:val="0000"/>
      </w:tblPr>
      <w:tblGrid>
        <w:gridCol w:w="2978"/>
        <w:gridCol w:w="6662"/>
      </w:tblGrid>
      <w:tr w:rsidTr="008738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C306F" w:rsidP="005C306F">
            <w:pPr>
              <w:pStyle w:val="BodyText"/>
            </w:pPr>
            <w:r w:rsidRPr="005C306F">
              <w:t>Performance criteria describe the required performance needed to demonstrate achievement of the element. Assessment of performance is to be cons</w:t>
            </w:r>
            <w:r w:rsidRPr="005C306F">
              <w:t>istent with the evidence guide.</w:t>
            </w:r>
          </w:p>
        </w:tc>
      </w:tr>
    </w:tbl>
    <w:p w:rsidR="00000000" w:rsidRPr="005C306F" w:rsidP="005C306F">
      <w:pPr>
        <w:pStyle w:val="BodyText"/>
      </w:pPr>
    </w:p>
    <w:p w:rsidR="00000000" w:rsidRPr="005C306F" w:rsidP="005C306F">
      <w:pPr>
        <w:pStyle w:val="AllowPageBreak"/>
      </w:pPr>
    </w:p>
    <w:p w:rsidR="00000000" w:rsidRPr="005C306F" w:rsidP="005C306F">
      <w:pPr>
        <w:pStyle w:val="Heading1"/>
      </w:pPr>
      <w:bookmarkStart w:id="8" w:name="O_239115"/>
      <w:bookmarkEnd w:id="8"/>
      <w:r w:rsidRPr="005C306F">
        <w:t>Elements and Performance Criteria</w:t>
      </w:r>
    </w:p>
    <w:tbl>
      <w:tblPr>
        <w:tblW w:w="9640" w:type="dxa"/>
        <w:tblLayout w:type="fixed"/>
        <w:tblCellMar>
          <w:left w:w="62" w:type="dxa"/>
          <w:right w:w="62" w:type="dxa"/>
        </w:tblCellMar>
        <w:tblLook w:val="0000"/>
      </w:tblPr>
      <w:tblGrid>
        <w:gridCol w:w="2978"/>
        <w:gridCol w:w="6662"/>
      </w:tblGrid>
      <w:tr w:rsidTr="008738C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C306F" w:rsidP="005C306F">
            <w:pPr>
              <w:pStyle w:val="List"/>
            </w:pPr>
            <w:r w:rsidRPr="005C306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C306F">
            <w:pPr>
              <w:pStyle w:val="List"/>
              <w:rPr>
                <w:lang w:val="en-NZ"/>
              </w:rPr>
            </w:pPr>
            <w:r w:rsidRPr="005C306F">
              <w:rPr>
                <w:rStyle w:val="SpecialBold"/>
              </w:rPr>
              <w:t>PERFORMANCE CRITERIA</w:t>
            </w:r>
          </w:p>
        </w:tc>
      </w:tr>
      <w:tr w:rsidTr="008738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306F">
            <w:pPr>
              <w:pStyle w:val="List"/>
              <w:rPr>
                <w:lang w:val="en-NZ"/>
              </w:rPr>
            </w:pPr>
            <w:r w:rsidRPr="005C306F">
              <w:rPr>
                <w:rStyle w:val="SpecialBold"/>
              </w:rPr>
              <w:t>1</w:t>
            </w:r>
            <w:r w:rsidRPr="005C306F">
              <w:tab/>
            </w:r>
            <w:r w:rsidRPr="005C306F">
              <w:rPr>
                <w:rStyle w:val="SpecialBold"/>
              </w:rPr>
              <w:t>Identify materiel sustainment requirements</w:t>
            </w:r>
          </w:p>
        </w:tc>
        <w:tc>
          <w:tcPr>
            <w:tcW w:w="6662" w:type="dxa"/>
            <w:tcBorders>
              <w:top w:val="nil"/>
              <w:left w:val="nil"/>
              <w:bottom w:val="nil"/>
              <w:right w:val="nil"/>
            </w:tcBorders>
            <w:tcMar>
              <w:top w:w="0" w:type="dxa"/>
              <w:left w:w="62" w:type="dxa"/>
              <w:bottom w:w="0" w:type="dxa"/>
              <w:right w:w="62" w:type="dxa"/>
            </w:tcMar>
          </w:tcPr>
          <w:p w:rsidR="00000000" w:rsidRPr="005C306F" w:rsidP="005C306F">
            <w:pPr>
              <w:pStyle w:val="List"/>
            </w:pPr>
            <w:r w:rsidRPr="005C306F">
              <w:t>1.1</w:t>
            </w:r>
            <w:r w:rsidRPr="005C306F">
              <w:tab/>
            </w:r>
            <w:r w:rsidRPr="005C306F">
              <w:t>Materiel sustainment planning requirements are identified in accordance with organisational policy and procedures</w:t>
            </w:r>
          </w:p>
          <w:p w:rsidR="00000000" w:rsidRPr="005C306F" w:rsidP="005C306F">
            <w:pPr>
              <w:pStyle w:val="List"/>
            </w:pPr>
            <w:r w:rsidRPr="005C306F">
              <w:t>1.2</w:t>
            </w:r>
            <w:r w:rsidRPr="005C306F">
              <w:tab/>
              <w:t>Sources of information relevant to materiel sustainment are identified and accessed in accordance with organisational policy and procedure</w:t>
            </w:r>
            <w:r w:rsidRPr="005C306F">
              <w:t>s</w:t>
            </w:r>
          </w:p>
          <w:p w:rsidR="00000000" w:rsidRPr="005C306F" w:rsidP="005C306F">
            <w:pPr>
              <w:pStyle w:val="List"/>
            </w:pPr>
            <w:r w:rsidRPr="005C306F">
              <w:t>1.3</w:t>
            </w:r>
            <w:r w:rsidRPr="005C306F">
              <w:tab/>
              <w:t>Standards and legislation applicable to materiel sustainment are identified and accessed</w:t>
            </w:r>
          </w:p>
          <w:p w:rsidR="00000000" w:rsidRPr="005C306F" w:rsidP="005C306F">
            <w:pPr>
              <w:pStyle w:val="List"/>
            </w:pPr>
            <w:r w:rsidRPr="005C306F">
              <w:t>1.4</w:t>
            </w:r>
            <w:r w:rsidRPr="005C306F">
              <w:tab/>
              <w:t>Specific materiel sustainment requirements are assessed against available information</w:t>
            </w:r>
          </w:p>
          <w:p w:rsidR="00000000" w:rsidP="005C306F">
            <w:pPr>
              <w:pStyle w:val="List"/>
              <w:rPr>
                <w:lang w:val="en-NZ"/>
              </w:rPr>
            </w:pPr>
            <w:r w:rsidRPr="005C306F">
              <w:t>1.5</w:t>
            </w:r>
            <w:r w:rsidRPr="005C306F">
              <w:tab/>
              <w:t xml:space="preserve">Costing analysis of requirements is coordinated in accordance with </w:t>
            </w:r>
            <w:r w:rsidRPr="005C306F">
              <w:t>organisational policy and procedures</w:t>
            </w:r>
          </w:p>
        </w:tc>
      </w:tr>
      <w:tr w:rsidTr="008738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306F">
            <w:pPr>
              <w:pStyle w:val="List"/>
              <w:rPr>
                <w:lang w:val="en-NZ"/>
              </w:rPr>
            </w:pPr>
            <w:r w:rsidRPr="005C306F">
              <w:rPr>
                <w:rStyle w:val="SpecialBold"/>
              </w:rPr>
              <w:t>2</w:t>
            </w:r>
            <w:r w:rsidRPr="005C306F">
              <w:tab/>
            </w:r>
            <w:r w:rsidRPr="005C306F">
              <w:rPr>
                <w:rStyle w:val="SpecialBold"/>
              </w:rPr>
              <w:t>Prepare materiel sustainment plans</w:t>
            </w:r>
          </w:p>
        </w:tc>
        <w:tc>
          <w:tcPr>
            <w:tcW w:w="6662" w:type="dxa"/>
            <w:tcBorders>
              <w:top w:val="nil"/>
              <w:left w:val="nil"/>
              <w:bottom w:val="nil"/>
              <w:right w:val="nil"/>
            </w:tcBorders>
            <w:tcMar>
              <w:top w:w="0" w:type="dxa"/>
              <w:left w:w="62" w:type="dxa"/>
              <w:bottom w:w="0" w:type="dxa"/>
              <w:right w:w="62" w:type="dxa"/>
            </w:tcMar>
          </w:tcPr>
          <w:p w:rsidR="00000000" w:rsidRPr="005C306F" w:rsidP="005C306F">
            <w:pPr>
              <w:pStyle w:val="List"/>
            </w:pPr>
            <w:r w:rsidRPr="005C306F">
              <w:t>2.1</w:t>
            </w:r>
            <w:r w:rsidRPr="005C306F">
              <w:tab/>
              <w:t>Organisational policy and procedures relevant to materiel sustainment requirements are identified and interpreted</w:t>
            </w:r>
          </w:p>
          <w:p w:rsidR="00000000" w:rsidRPr="005C306F" w:rsidP="005C306F">
            <w:pPr>
              <w:pStyle w:val="List"/>
            </w:pPr>
            <w:r w:rsidRPr="005C306F">
              <w:t>2.2</w:t>
            </w:r>
            <w:r w:rsidRPr="005C306F">
              <w:tab/>
              <w:t>Stakeholder consultation is conducted in accordance with re</w:t>
            </w:r>
            <w:r w:rsidRPr="005C306F">
              <w:t>levant organisational policy and procedures</w:t>
            </w:r>
          </w:p>
          <w:p w:rsidR="00000000" w:rsidRPr="005C306F" w:rsidP="005C306F">
            <w:pPr>
              <w:pStyle w:val="List"/>
            </w:pPr>
            <w:r w:rsidRPr="005C306F">
              <w:t>2.3</w:t>
            </w:r>
            <w:r w:rsidRPr="005C306F">
              <w:tab/>
              <w:t>Materiel sustainment plans are developed in accordance with legislative requirements and organisational policy and procedures</w:t>
            </w:r>
          </w:p>
          <w:p w:rsidR="00000000" w:rsidP="005C306F">
            <w:pPr>
              <w:pStyle w:val="List"/>
              <w:rPr>
                <w:lang w:val="en-NZ"/>
              </w:rPr>
            </w:pPr>
            <w:r w:rsidRPr="005C306F">
              <w:t>2.4</w:t>
            </w:r>
            <w:r w:rsidRPr="005C306F">
              <w:tab/>
              <w:t>Materiel sustainment plans are promulgated in accordance with organisational p</w:t>
            </w:r>
            <w:r w:rsidRPr="005C306F">
              <w:t>olicy and procedures</w:t>
            </w:r>
          </w:p>
        </w:tc>
      </w:tr>
      <w:tr w:rsidTr="008738C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C306F">
            <w:pPr>
              <w:pStyle w:val="List"/>
              <w:rPr>
                <w:lang w:val="en-NZ"/>
              </w:rPr>
            </w:pPr>
            <w:r w:rsidRPr="005C306F">
              <w:rPr>
                <w:rStyle w:val="SpecialBold"/>
              </w:rPr>
              <w:t>3</w:t>
            </w:r>
            <w:r w:rsidRPr="005C306F">
              <w:tab/>
            </w:r>
            <w:r w:rsidRPr="005C306F">
              <w:rPr>
                <w:rStyle w:val="SpecialBold"/>
              </w:rPr>
              <w:t>Review materiel sustainment plans</w:t>
            </w:r>
          </w:p>
        </w:tc>
        <w:tc>
          <w:tcPr>
            <w:tcW w:w="6662" w:type="dxa"/>
            <w:tcBorders>
              <w:top w:val="nil"/>
              <w:left w:val="nil"/>
              <w:bottom w:val="nil"/>
              <w:right w:val="nil"/>
            </w:tcBorders>
            <w:tcMar>
              <w:top w:w="0" w:type="dxa"/>
              <w:left w:w="62" w:type="dxa"/>
              <w:bottom w:w="0" w:type="dxa"/>
              <w:right w:w="62" w:type="dxa"/>
            </w:tcMar>
          </w:tcPr>
          <w:p w:rsidR="00000000" w:rsidRPr="005C306F" w:rsidP="005C306F">
            <w:pPr>
              <w:pStyle w:val="List"/>
            </w:pPr>
            <w:r w:rsidRPr="005C306F">
              <w:t>3.1</w:t>
            </w:r>
            <w:r w:rsidRPr="005C306F">
              <w:tab/>
              <w:t>Materiel sustainment plans are reviewed in accordance with relevant organisational policy and procedures</w:t>
            </w:r>
          </w:p>
          <w:p w:rsidR="00000000" w:rsidRPr="005C306F" w:rsidP="005C306F">
            <w:pPr>
              <w:pStyle w:val="List"/>
            </w:pPr>
            <w:r w:rsidRPr="005C306F">
              <w:t>3.2</w:t>
            </w:r>
            <w:r w:rsidRPr="005C306F">
              <w:tab/>
              <w:t>Required changes to materiel sustainment plans are identified and prepared in accorda</w:t>
            </w:r>
            <w:r w:rsidRPr="005C306F">
              <w:t>nce with relevant organisational policy and procedures</w:t>
            </w:r>
          </w:p>
          <w:p w:rsidR="00000000" w:rsidRPr="005C306F" w:rsidP="005C306F">
            <w:pPr>
              <w:pStyle w:val="List"/>
            </w:pPr>
            <w:r w:rsidRPr="005C306F">
              <w:t>3.3</w:t>
            </w:r>
            <w:r w:rsidRPr="005C306F">
              <w:tab/>
              <w:t>Amendments to materiel sustainment plans are prepared and promulgated to relevant stakeholders or personnel in accordance with relevant organisational policy and procedures</w:t>
            </w:r>
          </w:p>
        </w:tc>
      </w:tr>
    </w:tbl>
    <w:p w:rsidR="008738C4" w:rsidP="005C306F">
      <w:pPr>
        <w:pStyle w:val="BodyText"/>
      </w:pPr>
    </w:p>
    <w:p w:rsidR="008738C4" w:rsidP="005C306F">
      <w:pPr>
        <w:pStyle w:val="BodyText"/>
      </w:pPr>
    </w:p>
    <w:p w:rsidR="00000000" w:rsidRPr="005C306F" w:rsidP="005C306F">
      <w:pPr>
        <w:pStyle w:val="Heading1"/>
      </w:pPr>
      <w:bookmarkStart w:id="9" w:name="O_262906"/>
      <w:bookmarkEnd w:id="9"/>
      <w:r w:rsidRPr="005C306F">
        <w:t>Required Skills and Knowledge</w:t>
      </w:r>
    </w:p>
    <w:tbl>
      <w:tblPr>
        <w:tblW w:w="9640" w:type="dxa"/>
        <w:tblLayout w:type="fixed"/>
        <w:tblCellMar>
          <w:left w:w="62" w:type="dxa"/>
          <w:right w:w="62" w:type="dxa"/>
        </w:tblCellMar>
        <w:tblLook w:val="0000"/>
      </w:tblPr>
      <w:tblGrid>
        <w:gridCol w:w="9640"/>
      </w:tblGrid>
      <w:tr w:rsidTr="008738C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REQUIRED KNOWLEDGE AND SKILLS</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This describes the essential knowledge and skills and their level required for this unit.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Required knowledge</w:t>
            </w:r>
            <w:r w:rsidRPr="005C306F">
              <w: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Codification and cataloguing processes</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Configuration management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Contract man</w:t>
            </w:r>
            <w:r w:rsidRPr="005C306F">
              <w:t>agement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Industrial base capability</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Legislative and regulatory environment as it pertains to materiel logistics</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Costing analysis which may include life cycle costing</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Logistics governance</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Logistics support analysis principles and processes</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Materiel sustainment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Organisational policy and procedures</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Organisational role relevant to materiel sustainment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Performance measurement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Planning processes</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Procurement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Product knowledge related to systems and/or equipment in service in the organi</w:t>
            </w:r>
            <w:r w:rsidRPr="005C306F">
              <w:t>sation</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Safety, legislative and statutory requirements including environmental, sustainability issues relevant to materiel sustainment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Supply chain</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Technical regulatory framework</w:t>
            </w:r>
          </w:p>
        </w:tc>
      </w:tr>
    </w:tbl>
    <w:p w:rsidR="00000000" w:rsidRPr="005C306F" w:rsidP="005C306F">
      <w:pPr>
        <w:pStyle w:val="BodyText"/>
      </w:pPr>
    </w:p>
    <w:tbl>
      <w:tblPr>
        <w:tblW w:w="9640" w:type="dxa"/>
        <w:tblLayout w:type="fixed"/>
        <w:tblCellMar>
          <w:left w:w="62" w:type="dxa"/>
          <w:right w:w="62" w:type="dxa"/>
        </w:tblCellMar>
        <w:tblLook w:val="0000"/>
      </w:tblPr>
      <w:tblGrid>
        <w:gridCol w:w="9640"/>
      </w:tblGrid>
      <w:tr w:rsidTr="008738C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Required skills</w:t>
            </w:r>
            <w:r w:rsidRPr="005C306F">
              <w: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Apply materiel sustainment and project management knowledge in developing a plan</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Consult and negotiate with stakeholders (both internal and external) and resolve any potential areas of conflict or concern to ensure that overall objectives are achieved</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Demonstrate an understanding of the strategic objectives of the organisation and identify long-term factors and external considerations that need to be taken into consideration when planning for materiel sustainment</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Display insight into how industry oper</w:t>
            </w:r>
            <w:r w:rsidRPr="005C306F">
              <w:t>ates and the drivers that influence their dealings</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Display resilience by continuing to move forward despite criticism or setbacks</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Draw on information from a variety of sources using research, analysis and judgement to determine where internal and exter</w:t>
            </w:r>
            <w:r w:rsidRPr="005C306F">
              <w:t>nal factors impact on materiel sustainment requirements, and adjust planning accordingly</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Identify the relationship between organisational goals and recognise how own work contributes to the achievement of those goals</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Undertake performance measurement to enable objectives to be measured against defined parameters</w:t>
            </w:r>
          </w:p>
        </w:tc>
      </w:tr>
      <w:tr w:rsidTr="008738C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Use appropriate information technology and software</w:t>
            </w:r>
          </w:p>
        </w:tc>
      </w:tr>
    </w:tbl>
    <w:p w:rsidR="008738C4" w:rsidP="005C306F">
      <w:pPr>
        <w:pStyle w:val="BodyText"/>
      </w:pPr>
    </w:p>
    <w:p w:rsidR="008738C4" w:rsidP="005C306F">
      <w:pPr>
        <w:pStyle w:val="BodyText"/>
      </w:pPr>
    </w:p>
    <w:p w:rsidR="00000000" w:rsidRPr="005C306F" w:rsidP="005C306F">
      <w:pPr>
        <w:pStyle w:val="Heading1"/>
      </w:pPr>
      <w:bookmarkStart w:id="10" w:name="O_247099"/>
      <w:bookmarkEnd w:id="10"/>
      <w:r w:rsidRPr="005C306F">
        <w:t>Evidence Guide</w:t>
      </w:r>
    </w:p>
    <w:tbl>
      <w:tblPr>
        <w:tblW w:w="9499" w:type="dxa"/>
        <w:tblLayout w:type="fixed"/>
        <w:tblCellMar>
          <w:left w:w="62" w:type="dxa"/>
          <w:right w:w="62" w:type="dxa"/>
        </w:tblCellMar>
        <w:tblLook w:val="0000"/>
      </w:tblPr>
      <w:tblGrid>
        <w:gridCol w:w="3524"/>
        <w:gridCol w:w="5975"/>
      </w:tblGrid>
      <w:tr w:rsidTr="008738C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EVIDENCE GUIDE</w:t>
            </w:r>
          </w:p>
        </w:tc>
      </w:tr>
      <w:tr w:rsidTr="008738C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The evidence guide provides advice on assessment and must be read in conjunction with the performance criteria, required knowledge and skills, the range statement and the assessment guidelines for this Training Package.</w:t>
            </w:r>
          </w:p>
        </w:tc>
      </w:tr>
      <w:tr w:rsidTr="008738C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Critical aspects for assessment an</w:t>
            </w:r>
            <w:r w:rsidRPr="005C306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Assessment must confirm the ability to:</w:t>
            </w:r>
          </w:p>
          <w:p w:rsidR="00000000" w:rsidRPr="005C306F" w:rsidP="005C306F">
            <w:pPr>
              <w:pStyle w:val="ListBullet2"/>
            </w:pPr>
            <w:r w:rsidRPr="005C306F">
              <w:t>adhere to relevant occupational health and safety requirements</w:t>
            </w:r>
          </w:p>
          <w:p w:rsidR="00000000" w:rsidRPr="005C306F" w:rsidP="005C306F">
            <w:pPr>
              <w:pStyle w:val="ListBullet2"/>
            </w:pPr>
            <w:r w:rsidRPr="005C306F">
              <w:t>analyse materiel sustainment requirements</w:t>
            </w:r>
          </w:p>
          <w:p w:rsidR="00000000" w:rsidRPr="005C306F" w:rsidP="005C306F">
            <w:pPr>
              <w:pStyle w:val="ListBullet2"/>
            </w:pPr>
            <w:r w:rsidRPr="005C306F">
              <w:t>adjust plans as necessary to ensure effective and efficient performance</w:t>
            </w:r>
          </w:p>
          <w:p w:rsidR="00000000" w:rsidRPr="005C306F" w:rsidP="005C306F">
            <w:pPr>
              <w:pStyle w:val="ListBullet2"/>
            </w:pPr>
            <w:r w:rsidRPr="005C306F">
              <w:t>initiate and efficiently monitor processes</w:t>
            </w:r>
          </w:p>
          <w:p w:rsidR="00000000" w:rsidRPr="005C306F" w:rsidP="005C306F">
            <w:pPr>
              <w:pStyle w:val="ListBullet2"/>
            </w:pPr>
            <w:r w:rsidRPr="005C306F">
              <w:t>initiate any remedial action required</w:t>
            </w:r>
          </w:p>
          <w:p w:rsidR="00000000" w:rsidP="005C306F">
            <w:pPr>
              <w:pStyle w:val="ListBullet"/>
              <w:rPr>
                <w:lang w:val="en-NZ"/>
              </w:rPr>
            </w:pPr>
            <w:r w:rsidRPr="005C306F">
              <w:t>Competency should be demonstrated over time and should be observed in a range of actual or simulated w</w:t>
            </w:r>
            <w:r w:rsidRPr="005C306F">
              <w:t>ork contexts</w:t>
            </w:r>
          </w:p>
        </w:tc>
      </w:tr>
      <w:tr w:rsidTr="008738C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Competency should be assessed in the workplace or in a simulated workplace environment</w:t>
            </w:r>
          </w:p>
          <w:p w:rsidR="00000000" w:rsidRPr="005C306F" w:rsidP="005C306F">
            <w:pPr>
              <w:pStyle w:val="ListBullet"/>
            </w:pPr>
            <w:r w:rsidRPr="005C306F">
              <w:t>Access is required to:</w:t>
            </w:r>
          </w:p>
          <w:p w:rsidR="00000000" w:rsidRPr="005C306F" w:rsidP="005C306F">
            <w:pPr>
              <w:pStyle w:val="ListBullet2"/>
            </w:pPr>
            <w:r w:rsidRPr="005C306F">
              <w:t>computer and relevant software</w:t>
            </w:r>
          </w:p>
          <w:p w:rsidR="00000000" w:rsidRPr="005C306F" w:rsidP="005C306F">
            <w:pPr>
              <w:pStyle w:val="ListBullet2"/>
            </w:pPr>
            <w:r w:rsidRPr="005C306F">
              <w:t>legislation, guidelines, procedures and protocols relating to materiel sustainment</w:t>
            </w:r>
          </w:p>
          <w:p w:rsidR="00000000" w:rsidRPr="005C306F" w:rsidP="005C306F">
            <w:pPr>
              <w:pStyle w:val="ListBullet2"/>
            </w:pPr>
            <w:r w:rsidRPr="005C306F">
              <w:t>plans</w:t>
            </w:r>
          </w:p>
          <w:p w:rsidR="00000000" w:rsidP="005C306F">
            <w:pPr>
              <w:pStyle w:val="ListBullet2"/>
              <w:rPr>
                <w:lang w:val="en-NZ"/>
              </w:rPr>
            </w:pPr>
            <w:r w:rsidRPr="005C306F">
              <w:t>workplace documentation</w:t>
            </w:r>
          </w:p>
        </w:tc>
      </w:tr>
      <w:tr w:rsidTr="008738C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Assessment of this unit must be undertaken by a registered training organisation</w:t>
            </w:r>
          </w:p>
          <w:p w:rsidR="00000000" w:rsidRPr="005C306F" w:rsidP="005C306F">
            <w:pPr>
              <w:pStyle w:val="ListBullet"/>
            </w:pPr>
            <w:r w:rsidRPr="005C306F">
              <w:t>Where possible, assessment should be supported by questions to assess required knowledge. Questioning techniques should suit the language and literacy levels of the candidate</w:t>
            </w:r>
          </w:p>
          <w:p w:rsidR="00000000" w:rsidRPr="005C306F" w:rsidP="005C306F">
            <w:pPr>
              <w:pStyle w:val="ListBullet"/>
            </w:pPr>
            <w:r w:rsidRPr="005C306F">
              <w:t>Assessment methods should reflect workplace demands such as literacy and the need</w:t>
            </w:r>
            <w:r w:rsidRPr="005C306F">
              <w:t>s of particular groups</w:t>
            </w:r>
          </w:p>
          <w:p w:rsidR="00000000" w:rsidRPr="005C306F" w:rsidP="005C306F">
            <w:pPr>
              <w:pStyle w:val="ListBullet"/>
            </w:pPr>
            <w:r w:rsidRPr="005C306F">
              <w:t>Assessment methods suitable for valid and reliable assessment of this unit of competency may include a combination of methods such as:</w:t>
            </w:r>
          </w:p>
          <w:p w:rsidR="00000000" w:rsidRPr="005C306F" w:rsidP="005C306F">
            <w:pPr>
              <w:pStyle w:val="ListBullet2"/>
            </w:pPr>
            <w:r w:rsidRPr="005C306F">
              <w:t>authenticated evidence from the workplace and/or training programs</w:t>
            </w:r>
          </w:p>
          <w:p w:rsidR="00000000" w:rsidRPr="005C306F" w:rsidP="005C306F">
            <w:pPr>
              <w:pStyle w:val="ListBullet2"/>
            </w:pPr>
            <w:r w:rsidRPr="005C306F">
              <w:t>case studies</w:t>
            </w:r>
          </w:p>
          <w:p w:rsidR="00000000" w:rsidRPr="005C306F" w:rsidP="005C306F">
            <w:pPr>
              <w:pStyle w:val="ListBullet2"/>
            </w:pPr>
            <w:r w:rsidRPr="005C306F">
              <w:t>demonstration</w:t>
            </w:r>
          </w:p>
          <w:p w:rsidR="00000000" w:rsidRPr="005C306F" w:rsidP="005C306F">
            <w:pPr>
              <w:pStyle w:val="ListBullet2"/>
            </w:pPr>
            <w:r w:rsidRPr="005C306F">
              <w:t>feedback from supervisors and peers regarding the candidate's ability</w:t>
            </w:r>
          </w:p>
          <w:p w:rsidR="00000000" w:rsidRPr="005C306F" w:rsidP="005C306F">
            <w:pPr>
              <w:pStyle w:val="ListBullet2"/>
            </w:pPr>
            <w:r w:rsidRPr="005C306F">
              <w:t>observation</w:t>
            </w:r>
          </w:p>
          <w:p w:rsidR="00000000" w:rsidRPr="005C306F" w:rsidP="005C306F">
            <w:pPr>
              <w:pStyle w:val="ListBullet2"/>
            </w:pPr>
            <w:r w:rsidRPr="005C306F">
              <w:t>portfolios</w:t>
            </w:r>
          </w:p>
          <w:p w:rsidR="00000000" w:rsidRPr="005C306F" w:rsidP="005C306F">
            <w:pPr>
              <w:pStyle w:val="ListBullet2"/>
            </w:pPr>
            <w:r w:rsidRPr="005C306F">
              <w:t>projects</w:t>
            </w:r>
          </w:p>
          <w:p w:rsidR="00000000" w:rsidRPr="005C306F" w:rsidP="005C306F">
            <w:pPr>
              <w:pStyle w:val="ListBullet2"/>
            </w:pPr>
            <w:r w:rsidRPr="005C306F">
              <w:t>questioning</w:t>
            </w:r>
          </w:p>
          <w:p w:rsidR="00000000" w:rsidRPr="005C306F" w:rsidP="005C306F">
            <w:pPr>
              <w:pStyle w:val="ListBullet2"/>
            </w:pPr>
            <w:r w:rsidRPr="005C306F">
              <w:t>reviews or reports prepared by the candidate</w:t>
            </w:r>
          </w:p>
          <w:p w:rsidR="00000000" w:rsidRPr="005C306F" w:rsidP="005C306F">
            <w:pPr>
              <w:pStyle w:val="ListBullet2"/>
            </w:pPr>
            <w:r w:rsidRPr="005C306F">
              <w:t>scenarios</w:t>
            </w:r>
          </w:p>
          <w:p w:rsidR="00000000" w:rsidRPr="005C306F" w:rsidP="005C306F">
            <w:pPr>
              <w:pStyle w:val="ListBullet2"/>
            </w:pPr>
            <w:r w:rsidRPr="005C306F">
              <w:t>simulation or role plays</w:t>
            </w:r>
          </w:p>
        </w:tc>
      </w:tr>
    </w:tbl>
    <w:p w:rsidR="008738C4" w:rsidP="005C306F">
      <w:pPr>
        <w:pStyle w:val="BodyText"/>
      </w:pPr>
    </w:p>
    <w:p w:rsidR="008738C4" w:rsidP="005C306F">
      <w:pPr>
        <w:pStyle w:val="BodyText"/>
      </w:pPr>
    </w:p>
    <w:p w:rsidR="00000000" w:rsidRPr="005C306F" w:rsidP="005C306F">
      <w:pPr>
        <w:pStyle w:val="Heading1"/>
      </w:pPr>
      <w:bookmarkStart w:id="11" w:name="O_255082"/>
      <w:bookmarkEnd w:id="11"/>
      <w:r w:rsidRPr="005C306F">
        <w:t>Range Statement</w:t>
      </w:r>
    </w:p>
    <w:tbl>
      <w:tblPr>
        <w:tblW w:w="9640" w:type="dxa"/>
        <w:tblLayout w:type="fixed"/>
        <w:tblCellMar>
          <w:left w:w="62" w:type="dxa"/>
          <w:right w:w="62" w:type="dxa"/>
        </w:tblCellMar>
        <w:tblLook w:val="0000"/>
      </w:tblPr>
      <w:tblGrid>
        <w:gridCol w:w="3486"/>
        <w:gridCol w:w="6154"/>
      </w:tblGrid>
      <w:tr w:rsidTr="008738C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RANGE STATEMENT</w:t>
            </w:r>
            <w:r w:rsidRPr="005C306F">
              <w:t xml:space="preserve"> </w:t>
            </w:r>
          </w:p>
        </w:tc>
      </w:tr>
      <w:tr w:rsidTr="008738C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The range statement relates to the unit of competency as a whole. It allows for different work environments and situations that may affect performance.</w:t>
            </w:r>
          </w:p>
        </w:tc>
      </w:tr>
      <w:tr w:rsidTr="008738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Materiel sustainment may include:</w:t>
            </w:r>
          </w:p>
        </w:tc>
        <w:tc>
          <w:tcPr>
            <w:tcW w:w="6154" w:type="dxa"/>
            <w:tcBorders>
              <w:top w:val="nil"/>
              <w:left w:val="nil"/>
              <w:bottom w:val="nil"/>
              <w:right w:val="nil"/>
            </w:tcBorders>
            <w:tcMar>
              <w:top w:w="0" w:type="dxa"/>
              <w:left w:w="62" w:type="dxa"/>
              <w:bottom w:w="0" w:type="dxa"/>
              <w:right w:w="62" w:type="dxa"/>
            </w:tcMar>
          </w:tcPr>
          <w:p w:rsidR="00000000" w:rsidP="005C306F">
            <w:pPr>
              <w:pStyle w:val="ListBullet"/>
              <w:rPr>
                <w:lang w:val="en-NZ"/>
              </w:rPr>
            </w:pPr>
            <w:r w:rsidRPr="005C306F">
              <w:t>the management and provision of products and services needed to mee</w:t>
            </w:r>
            <w:r w:rsidRPr="005C306F">
              <w:t xml:space="preserve">t the preparedness and performance requirements of a materiel system from the time of acceptance into operational service until disposal at minimised life cycle cost. Material sustainment may also be referred to as asset management and includes components </w:t>
            </w:r>
            <w:r w:rsidRPr="005C306F">
              <w:t>of: sustainment management, engineering support, maintenance support, supply support and planning for disposal and/or carrying out end of life tasks</w:t>
            </w:r>
          </w:p>
        </w:tc>
      </w:tr>
      <w:tr w:rsidTr="008738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Australian Standards</w:t>
            </w:r>
          </w:p>
          <w:p w:rsidR="00000000" w:rsidRPr="005C306F" w:rsidP="005C306F">
            <w:pPr>
              <w:pStyle w:val="ListBullet"/>
            </w:pPr>
            <w:r w:rsidRPr="005C306F">
              <w:t>international standards</w:t>
            </w:r>
          </w:p>
          <w:p w:rsidR="00000000" w:rsidRPr="005C306F" w:rsidP="005C306F">
            <w:pPr>
              <w:pStyle w:val="ListBullet"/>
            </w:pPr>
            <w:r w:rsidRPr="005C306F">
              <w:t>logistics support analysis principles and processes</w:t>
            </w:r>
          </w:p>
          <w:p w:rsidR="00000000" w:rsidP="005C306F">
            <w:pPr>
              <w:pStyle w:val="ListBullet"/>
              <w:rPr>
                <w:lang w:val="en-NZ"/>
              </w:rPr>
            </w:pPr>
            <w:r w:rsidRPr="005C306F">
              <w:t>organisational instructions and standards</w:t>
            </w:r>
          </w:p>
        </w:tc>
      </w:tr>
      <w:tr w:rsidTr="008738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Sources of information may include:</w:t>
            </w:r>
          </w:p>
        </w:tc>
        <w:tc>
          <w:tcPr>
            <w:tcW w:w="6154"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conceptual documents</w:t>
            </w:r>
          </w:p>
          <w:p w:rsidR="00000000" w:rsidRPr="005C306F" w:rsidP="005C306F">
            <w:pPr>
              <w:pStyle w:val="ListBullet"/>
            </w:pPr>
            <w:r w:rsidRPr="005C306F">
              <w:t>contractors</w:t>
            </w:r>
          </w:p>
          <w:p w:rsidR="00000000" w:rsidRPr="005C306F" w:rsidP="005C306F">
            <w:pPr>
              <w:pStyle w:val="ListBullet"/>
            </w:pPr>
            <w:r w:rsidRPr="005C306F">
              <w:t>customers</w:t>
            </w:r>
          </w:p>
          <w:p w:rsidR="00000000" w:rsidRPr="005C306F" w:rsidP="005C306F">
            <w:pPr>
              <w:pStyle w:val="ListBullet"/>
            </w:pPr>
            <w:r w:rsidRPr="005C306F">
              <w:t>legislation</w:t>
            </w:r>
          </w:p>
          <w:p w:rsidR="00000000" w:rsidRPr="005C306F" w:rsidP="005C306F">
            <w:pPr>
              <w:pStyle w:val="ListBullet"/>
            </w:pPr>
            <w:r w:rsidRPr="005C306F">
              <w:t>managers</w:t>
            </w:r>
          </w:p>
          <w:p w:rsidR="00000000" w:rsidRPr="005C306F" w:rsidP="005C306F">
            <w:pPr>
              <w:pStyle w:val="ListBullet"/>
            </w:pPr>
            <w:r w:rsidRPr="005C306F">
              <w:t>peers</w:t>
            </w:r>
          </w:p>
          <w:p w:rsidR="00000000" w:rsidRPr="005C306F" w:rsidP="005C306F">
            <w:pPr>
              <w:pStyle w:val="ListBullet"/>
            </w:pPr>
            <w:r w:rsidRPr="005C306F">
              <w:t>plans</w:t>
            </w:r>
          </w:p>
          <w:p w:rsidR="00000000" w:rsidRPr="005C306F" w:rsidP="005C306F">
            <w:pPr>
              <w:pStyle w:val="ListBullet"/>
            </w:pPr>
            <w:r w:rsidRPr="005C306F">
              <w:t>policies</w:t>
            </w:r>
          </w:p>
          <w:p w:rsidR="00000000" w:rsidRPr="005C306F" w:rsidP="005C306F">
            <w:pPr>
              <w:pStyle w:val="ListBullet"/>
            </w:pPr>
            <w:r w:rsidRPr="005C306F">
              <w:t>publications</w:t>
            </w:r>
          </w:p>
          <w:p w:rsidR="00000000" w:rsidRPr="005C306F" w:rsidP="005C306F">
            <w:pPr>
              <w:pStyle w:val="ListBullet"/>
            </w:pPr>
            <w:r w:rsidRPr="005C306F">
              <w:t>reference material</w:t>
            </w:r>
          </w:p>
          <w:p w:rsidR="00000000" w:rsidRPr="005C306F" w:rsidP="005C306F">
            <w:pPr>
              <w:pStyle w:val="ListBullet"/>
            </w:pPr>
            <w:r w:rsidRPr="005C306F">
              <w:t>standards</w:t>
            </w:r>
          </w:p>
          <w:p w:rsidR="00000000" w:rsidRPr="005C306F" w:rsidP="005C306F">
            <w:pPr>
              <w:pStyle w:val="ListBullet"/>
            </w:pPr>
            <w:r w:rsidRPr="005C306F">
              <w:t>supervisors</w:t>
            </w:r>
          </w:p>
          <w:p w:rsidR="00000000" w:rsidP="005C306F">
            <w:pPr>
              <w:pStyle w:val="ListBullet"/>
              <w:rPr>
                <w:lang w:val="en-NZ"/>
              </w:rPr>
            </w:pPr>
            <w:r w:rsidRPr="005C306F">
              <w:t>suppliers</w:t>
            </w:r>
          </w:p>
        </w:tc>
      </w:tr>
      <w:tr w:rsidTr="008738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Standards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Australian Standards</w:t>
            </w:r>
          </w:p>
          <w:p w:rsidR="00000000" w:rsidRPr="005C306F" w:rsidP="005C306F">
            <w:pPr>
              <w:pStyle w:val="ListBullet"/>
            </w:pPr>
            <w:r w:rsidRPr="005C306F">
              <w:t>international standards</w:t>
            </w:r>
          </w:p>
          <w:p w:rsidR="00000000" w:rsidRPr="005C306F" w:rsidP="005C306F">
            <w:pPr>
              <w:pStyle w:val="ListBullet"/>
            </w:pPr>
            <w:r w:rsidRPr="005C306F">
              <w:t>organisational instructions and standards</w:t>
            </w:r>
          </w:p>
          <w:p w:rsidR="00000000" w:rsidRPr="005C306F" w:rsidP="005C306F">
            <w:pPr>
              <w:pStyle w:val="ListBullet"/>
            </w:pPr>
            <w:r w:rsidRPr="005C306F">
              <w:t>regulations related to such matters as export and import licensing, taxes and duties</w:t>
            </w:r>
          </w:p>
          <w:p w:rsidR="00000000" w:rsidP="005C306F">
            <w:pPr>
              <w:pStyle w:val="ListBullet"/>
              <w:rPr>
                <w:lang w:val="en-NZ"/>
              </w:rPr>
            </w:pPr>
            <w:r w:rsidRPr="005C306F">
              <w:t>relevant fe</w:t>
            </w:r>
            <w:r w:rsidRPr="005C306F">
              <w:t>deral, state and local government legislation and regulations including environmental, sustainability and certification requirements</w:t>
            </w:r>
          </w:p>
        </w:tc>
      </w:tr>
      <w:tr w:rsidTr="008738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Costing may include:</w:t>
            </w:r>
          </w:p>
        </w:tc>
        <w:tc>
          <w:tcPr>
            <w:tcW w:w="6154"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labour</w:t>
            </w:r>
          </w:p>
          <w:p w:rsidR="00000000" w:rsidRPr="005C306F" w:rsidP="005C306F">
            <w:pPr>
              <w:pStyle w:val="ListBullet"/>
            </w:pPr>
            <w:r w:rsidRPr="005C306F">
              <w:t>life cycle costs</w:t>
            </w:r>
          </w:p>
          <w:p w:rsidR="00000000" w:rsidRPr="005C306F" w:rsidP="005C306F">
            <w:pPr>
              <w:pStyle w:val="ListBullet"/>
            </w:pPr>
            <w:r w:rsidRPr="005C306F">
              <w:t>money</w:t>
            </w:r>
          </w:p>
          <w:p w:rsidR="00000000" w:rsidRPr="005C306F" w:rsidP="005C306F">
            <w:pPr>
              <w:pStyle w:val="ListBullet"/>
            </w:pPr>
            <w:r w:rsidRPr="005C306F">
              <w:t>outlay of expenditure</w:t>
            </w:r>
          </w:p>
          <w:p w:rsidR="00000000" w:rsidRPr="005C306F" w:rsidP="005C306F">
            <w:pPr>
              <w:pStyle w:val="ListBullet"/>
            </w:pPr>
            <w:r w:rsidRPr="005C306F">
              <w:t>resources</w:t>
            </w:r>
          </w:p>
          <w:p w:rsidR="00000000" w:rsidP="005C306F">
            <w:pPr>
              <w:pStyle w:val="ListBullet"/>
              <w:rPr>
                <w:lang w:val="en-NZ"/>
              </w:rPr>
            </w:pPr>
            <w:r w:rsidRPr="005C306F">
              <w:t>time</w:t>
            </w:r>
          </w:p>
        </w:tc>
      </w:tr>
      <w:tr w:rsidTr="008738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Stakeholders may include:</w:t>
            </w:r>
          </w:p>
        </w:tc>
        <w:tc>
          <w:tcPr>
            <w:tcW w:w="6154"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capability manager</w:t>
            </w:r>
          </w:p>
          <w:p w:rsidR="00000000" w:rsidRPr="005C306F" w:rsidP="005C306F">
            <w:pPr>
              <w:pStyle w:val="ListBullet"/>
            </w:pPr>
            <w:r w:rsidRPr="005C306F">
              <w:t>contractors</w:t>
            </w:r>
          </w:p>
          <w:p w:rsidR="00000000" w:rsidRPr="005C306F" w:rsidP="005C306F">
            <w:pPr>
              <w:pStyle w:val="ListBullet"/>
            </w:pPr>
            <w:r w:rsidRPr="005C306F">
              <w:t>customers</w:t>
            </w:r>
          </w:p>
          <w:p w:rsidR="00000000" w:rsidRPr="005C306F" w:rsidP="005C306F">
            <w:pPr>
              <w:pStyle w:val="ListBullet"/>
            </w:pPr>
            <w:r w:rsidRPr="005C306F">
              <w:t>project managers</w:t>
            </w:r>
          </w:p>
          <w:p w:rsidR="00000000" w:rsidRPr="005C306F" w:rsidP="005C306F">
            <w:pPr>
              <w:pStyle w:val="ListBullet"/>
            </w:pPr>
            <w:r w:rsidRPr="005C306F">
              <w:t>regulators</w:t>
            </w:r>
          </w:p>
          <w:p w:rsidR="00000000" w:rsidRPr="005C306F" w:rsidP="005C306F">
            <w:pPr>
              <w:pStyle w:val="ListBullet"/>
            </w:pPr>
            <w:r w:rsidRPr="005C306F">
              <w:t>regulatory authorities</w:t>
            </w:r>
          </w:p>
          <w:p w:rsidR="00000000" w:rsidRPr="005C306F" w:rsidP="005C306F">
            <w:pPr>
              <w:pStyle w:val="ListBullet"/>
            </w:pPr>
            <w:r w:rsidRPr="005C306F">
              <w:t>subordinates</w:t>
            </w:r>
          </w:p>
          <w:p w:rsidR="00000000" w:rsidRPr="005C306F" w:rsidP="005C306F">
            <w:pPr>
              <w:pStyle w:val="ListBullet"/>
            </w:pPr>
            <w:r w:rsidRPr="005C306F">
              <w:t>supervisors</w:t>
            </w:r>
          </w:p>
          <w:p w:rsidR="00000000" w:rsidRPr="005C306F" w:rsidP="005C306F">
            <w:pPr>
              <w:pStyle w:val="ListBullet"/>
            </w:pPr>
            <w:r w:rsidRPr="005C306F">
              <w:t>suppliers</w:t>
            </w:r>
          </w:p>
          <w:p w:rsidR="00000000" w:rsidP="005C306F">
            <w:pPr>
              <w:pStyle w:val="ListBullet"/>
              <w:rPr>
                <w:lang w:val="en-NZ"/>
              </w:rPr>
            </w:pPr>
            <w:r w:rsidRPr="005C306F">
              <w:t>team members</w:t>
            </w:r>
          </w:p>
        </w:tc>
      </w:tr>
      <w:tr w:rsidTr="008738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Materiel sustainment plans may include:</w:t>
            </w:r>
          </w:p>
        </w:tc>
        <w:tc>
          <w:tcPr>
            <w:tcW w:w="6154"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annual support plans</w:t>
            </w:r>
          </w:p>
          <w:p w:rsidR="00000000" w:rsidRPr="005C306F" w:rsidP="005C306F">
            <w:pPr>
              <w:pStyle w:val="ListBullet"/>
            </w:pPr>
            <w:r w:rsidRPr="005C306F">
              <w:t>disposal</w:t>
            </w:r>
          </w:p>
          <w:p w:rsidR="00000000" w:rsidRPr="005C306F" w:rsidP="005C306F">
            <w:pPr>
              <w:pStyle w:val="ListBullet"/>
            </w:pPr>
            <w:r w:rsidRPr="005C306F">
              <w:t>facilities</w:t>
            </w:r>
          </w:p>
          <w:p w:rsidR="00000000" w:rsidRPr="005C306F" w:rsidP="005C306F">
            <w:pPr>
              <w:pStyle w:val="ListBullet"/>
            </w:pPr>
            <w:r w:rsidRPr="005C306F">
              <w:t>in-service support plans</w:t>
            </w:r>
          </w:p>
          <w:p w:rsidR="00000000" w:rsidRPr="005C306F" w:rsidP="005C306F">
            <w:pPr>
              <w:pStyle w:val="ListBullet"/>
            </w:pPr>
            <w:r w:rsidRPr="005C306F">
              <w:t>system level sustainment plans</w:t>
            </w:r>
          </w:p>
          <w:p w:rsidR="00000000" w:rsidRPr="005C306F" w:rsidP="005C306F">
            <w:pPr>
              <w:pStyle w:val="ListBullet"/>
            </w:pPr>
            <w:r w:rsidRPr="005C306F">
              <w:t>technical data</w:t>
            </w:r>
          </w:p>
          <w:p w:rsidR="00000000" w:rsidRPr="005C306F" w:rsidP="005C306F">
            <w:pPr>
              <w:pStyle w:val="ListBullet"/>
            </w:pPr>
            <w:r w:rsidRPr="005C306F">
              <w:t>through life support plans</w:t>
            </w:r>
          </w:p>
          <w:p w:rsidR="00000000" w:rsidRPr="005C306F" w:rsidP="005C306F">
            <w:pPr>
              <w:pStyle w:val="ListBullet"/>
            </w:pPr>
            <w:r w:rsidRPr="005C306F">
              <w:t>training</w:t>
            </w:r>
          </w:p>
          <w:p w:rsidR="00000000" w:rsidP="005C306F">
            <w:pPr>
              <w:pStyle w:val="ListBullet"/>
              <w:rPr>
                <w:lang w:val="en-NZ"/>
              </w:rPr>
            </w:pPr>
            <w:r w:rsidRPr="005C306F">
              <w:t>transitional plans</w:t>
            </w:r>
          </w:p>
        </w:tc>
      </w:tr>
      <w:tr w:rsidTr="008738C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t>Promulgated may include:</w:t>
            </w:r>
          </w:p>
        </w:tc>
        <w:tc>
          <w:tcPr>
            <w:tcW w:w="6154" w:type="dxa"/>
            <w:tcBorders>
              <w:top w:val="nil"/>
              <w:left w:val="nil"/>
              <w:bottom w:val="nil"/>
              <w:right w:val="nil"/>
            </w:tcBorders>
            <w:tcMar>
              <w:top w:w="0" w:type="dxa"/>
              <w:left w:w="62" w:type="dxa"/>
              <w:bottom w:w="0" w:type="dxa"/>
              <w:right w:w="62" w:type="dxa"/>
            </w:tcMar>
          </w:tcPr>
          <w:p w:rsidR="00000000" w:rsidRPr="005C306F" w:rsidP="005C306F">
            <w:pPr>
              <w:pStyle w:val="ListBullet"/>
            </w:pPr>
            <w:r w:rsidRPr="005C306F">
              <w:t>authorised</w:t>
            </w:r>
          </w:p>
          <w:p w:rsidR="00000000" w:rsidRPr="005C306F" w:rsidP="005C306F">
            <w:pPr>
              <w:pStyle w:val="ListBullet"/>
            </w:pPr>
            <w:r w:rsidRPr="005C306F">
              <w:t>documented</w:t>
            </w:r>
          </w:p>
          <w:p w:rsidR="00000000" w:rsidRPr="005C306F" w:rsidP="005C306F">
            <w:pPr>
              <w:pStyle w:val="ListBullet"/>
            </w:pPr>
            <w:r w:rsidRPr="005C306F">
              <w:t>endorsed</w:t>
            </w:r>
          </w:p>
          <w:p w:rsidR="00000000" w:rsidRPr="005C306F" w:rsidP="005C306F">
            <w:pPr>
              <w:pStyle w:val="ListBullet"/>
            </w:pPr>
            <w:r w:rsidRPr="005C306F">
              <w:t>issued</w:t>
            </w:r>
          </w:p>
          <w:p w:rsidR="00000000" w:rsidRPr="005C306F" w:rsidP="005C306F">
            <w:pPr>
              <w:pStyle w:val="ListBullet"/>
            </w:pPr>
            <w:r w:rsidRPr="005C306F">
              <w:t>published</w:t>
            </w:r>
          </w:p>
        </w:tc>
      </w:tr>
    </w:tbl>
    <w:p w:rsidR="008738C4" w:rsidP="005C306F">
      <w:pPr>
        <w:pStyle w:val="BodyText"/>
      </w:pPr>
    </w:p>
    <w:p w:rsidR="008738C4" w:rsidP="005C306F">
      <w:pPr>
        <w:pStyle w:val="BodyText"/>
      </w:pPr>
    </w:p>
    <w:p w:rsidR="00000000" w:rsidRPr="005C306F" w:rsidP="005C306F">
      <w:pPr>
        <w:pStyle w:val="Heading1"/>
      </w:pPr>
      <w:bookmarkStart w:id="12" w:name="O_296095"/>
      <w:bookmarkEnd w:id="12"/>
      <w:r w:rsidRPr="005C306F">
        <w:t>Unit Sector(s)</w:t>
      </w:r>
    </w:p>
    <w:p w:rsidR="00000000" w:rsidRPr="005C306F" w:rsidP="005C306F">
      <w:pPr>
        <w:pStyle w:val="BodyText"/>
      </w:pPr>
      <w:r w:rsidRPr="005C306F">
        <w:t>Not Applicable</w:t>
      </w:r>
    </w:p>
    <w:p w:rsidR="00000000" w:rsidRPr="005C306F" w:rsidP="005C306F">
      <w:pPr>
        <w:pStyle w:val="AllowPageBreak"/>
      </w:pPr>
    </w:p>
    <w:p w:rsidR="00000000" w:rsidRPr="005C306F" w:rsidP="005C306F">
      <w:pPr>
        <w:pStyle w:val="Heading1"/>
      </w:pPr>
      <w:bookmarkStart w:id="13" w:name="O_224669"/>
      <w:bookmarkEnd w:id="13"/>
      <w:r w:rsidRPr="005C306F">
        <w:t>Competency Field</w:t>
      </w:r>
    </w:p>
    <w:tbl>
      <w:tblPr>
        <w:tblW w:w="9640" w:type="dxa"/>
        <w:tblLayout w:type="fixed"/>
        <w:tblCellMar>
          <w:left w:w="62" w:type="dxa"/>
          <w:right w:w="62" w:type="dxa"/>
        </w:tblCellMar>
        <w:tblLook w:val="0000"/>
      </w:tblPr>
      <w:tblGrid>
        <w:gridCol w:w="2978"/>
        <w:gridCol w:w="6662"/>
      </w:tblGrid>
      <w:tr w:rsidTr="008738C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C306F">
            <w:pPr>
              <w:pStyle w:val="BodyText"/>
              <w:rPr>
                <w:lang w:val="en-NZ"/>
              </w:rPr>
            </w:pPr>
            <w:r w:rsidRPr="005C306F">
              <w:rPr>
                <w:rStyle w:val="SpecialBold"/>
              </w:rPr>
              <w:t>Competency Field</w:t>
            </w:r>
            <w:r w:rsidRPr="005C306F">
              <w:t xml:space="preserve"> </w:t>
            </w:r>
          </w:p>
        </w:tc>
        <w:tc>
          <w:tcPr>
            <w:tcW w:w="6662" w:type="dxa"/>
            <w:tcBorders>
              <w:top w:val="nil"/>
              <w:left w:val="nil"/>
              <w:bottom w:val="nil"/>
              <w:right w:val="nil"/>
            </w:tcBorders>
            <w:tcMar>
              <w:top w:w="0" w:type="dxa"/>
              <w:left w:w="62" w:type="dxa"/>
              <w:bottom w:w="0" w:type="dxa"/>
              <w:right w:w="62" w:type="dxa"/>
            </w:tcMar>
          </w:tcPr>
          <w:p w:rsidR="00000000" w:rsidRPr="005C306F" w:rsidP="005C306F">
            <w:pPr>
              <w:pStyle w:val="BodyText"/>
            </w:pPr>
            <w:r w:rsidRPr="005C306F">
              <w:t>X - Logistics</w:t>
            </w:r>
          </w:p>
        </w:tc>
      </w:tr>
    </w:tbl>
    <w:p w:rsidR="008738C4" w:rsidP="005C306F">
      <w:pPr>
        <w:pStyle w:val="BodyText"/>
      </w:pPr>
    </w:p>
    <w:p w:rsidR="008738C4" w:rsidP="005C306F">
      <w:pPr>
        <w:pStyle w:val="BodyText"/>
      </w:pPr>
    </w:p>
    <w:p w:rsidR="00000000" w:rsidRPr="005C306F" w:rsidP="005C306F"/>
    <w:sectPr w:rsidSect="005C30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8C4" w:rsidP="008738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C4" w:rsidP="005C3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38C4" w:rsidP="005C30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738C4" w:rsidP="005C30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8C4" w:rsidP="008738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8C4" w:rsidP="005C306F">
    <w:pPr>
      <w:pStyle w:val="Header"/>
      <w:framePr w:wrap="around"/>
    </w:pPr>
    <w:r>
      <w:fldChar w:fldCharType="begin"/>
    </w:r>
    <w:r>
      <w:instrText xml:space="preserve"> TITLE   \* MERGEFORMAT </w:instrText>
    </w:r>
    <w:r>
      <w:fldChar w:fldCharType="separate"/>
    </w:r>
    <w:r>
      <w:t>TLIX5012A Develop and review materiel sustainment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38C4" w:rsidP="005C30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6AC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6E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1EB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0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306F"/>
    <w:pPr>
      <w:spacing w:before="360" w:after="60"/>
      <w:outlineLvl w:val="0"/>
    </w:pPr>
    <w:rPr>
      <w:sz w:val="32"/>
    </w:rPr>
  </w:style>
  <w:style w:type="paragraph" w:styleId="Heading2">
    <w:name w:val="heading 2"/>
    <w:basedOn w:val="HeadingBase"/>
    <w:next w:val="BodyText"/>
    <w:link w:val="Heading2Char"/>
    <w:qFormat/>
    <w:rsid w:val="005C306F"/>
    <w:pPr>
      <w:keepLines/>
      <w:spacing w:before="240" w:after="120"/>
      <w:outlineLvl w:val="1"/>
    </w:pPr>
    <w:rPr>
      <w:sz w:val="28"/>
      <w:szCs w:val="40"/>
    </w:rPr>
  </w:style>
  <w:style w:type="paragraph" w:styleId="Heading3">
    <w:name w:val="heading 3"/>
    <w:basedOn w:val="HeadingBase"/>
    <w:next w:val="BodyText"/>
    <w:link w:val="Heading3Char"/>
    <w:qFormat/>
    <w:rsid w:val="005C306F"/>
    <w:pPr>
      <w:spacing w:before="180" w:after="120"/>
      <w:outlineLvl w:val="2"/>
    </w:pPr>
    <w:rPr>
      <w:spacing w:val="-10"/>
      <w:kern w:val="32"/>
    </w:rPr>
  </w:style>
  <w:style w:type="paragraph" w:styleId="Heading4">
    <w:name w:val="heading 4"/>
    <w:basedOn w:val="HeadingBase"/>
    <w:next w:val="BodyText"/>
    <w:link w:val="Heading4Char"/>
    <w:qFormat/>
    <w:rsid w:val="005C306F"/>
    <w:pPr>
      <w:spacing w:before="160" w:after="120"/>
      <w:outlineLvl w:val="3"/>
    </w:pPr>
    <w:rPr>
      <w:sz w:val="22"/>
    </w:rPr>
  </w:style>
  <w:style w:type="paragraph" w:styleId="Heading5">
    <w:name w:val="heading 5"/>
    <w:basedOn w:val="HeadingBase"/>
    <w:next w:val="Normal"/>
    <w:link w:val="Heading5Char"/>
    <w:qFormat/>
    <w:rsid w:val="005C306F"/>
    <w:pPr>
      <w:spacing w:before="80"/>
      <w:outlineLvl w:val="4"/>
    </w:pPr>
    <w:rPr>
      <w:color w:val="918585"/>
      <w:sz w:val="20"/>
    </w:rPr>
  </w:style>
  <w:style w:type="paragraph" w:styleId="Heading6">
    <w:name w:val="heading 6"/>
    <w:basedOn w:val="HeadingBase"/>
    <w:next w:val="Normal"/>
    <w:link w:val="Heading6Char"/>
    <w:qFormat/>
    <w:rsid w:val="005C306F"/>
    <w:pPr>
      <w:spacing w:before="60"/>
      <w:outlineLvl w:val="5"/>
    </w:pPr>
    <w:rPr>
      <w:color w:val="918585"/>
      <w:sz w:val="20"/>
    </w:rPr>
  </w:style>
  <w:style w:type="paragraph" w:styleId="Heading7">
    <w:name w:val="heading 7"/>
    <w:basedOn w:val="Normal"/>
    <w:next w:val="Normal"/>
    <w:link w:val="Heading7Char"/>
    <w:qFormat/>
    <w:rsid w:val="005C306F"/>
    <w:pPr>
      <w:ind w:left="720"/>
      <w:outlineLvl w:val="6"/>
    </w:pPr>
    <w:rPr>
      <w:i/>
    </w:rPr>
  </w:style>
  <w:style w:type="paragraph" w:styleId="Heading8">
    <w:name w:val="heading 8"/>
    <w:basedOn w:val="Normal"/>
    <w:next w:val="Normal"/>
    <w:link w:val="Heading8Char"/>
    <w:qFormat/>
    <w:rsid w:val="005C306F"/>
    <w:pPr>
      <w:ind w:left="720"/>
      <w:outlineLvl w:val="7"/>
    </w:pPr>
    <w:rPr>
      <w:i/>
    </w:rPr>
  </w:style>
  <w:style w:type="paragraph" w:styleId="Heading9">
    <w:name w:val="heading 9"/>
    <w:basedOn w:val="Normal"/>
    <w:next w:val="Normal"/>
    <w:link w:val="Heading9Char"/>
    <w:qFormat/>
    <w:rsid w:val="005C306F"/>
    <w:pPr>
      <w:ind w:left="720"/>
      <w:outlineLvl w:val="8"/>
    </w:pPr>
    <w:rPr>
      <w:i/>
    </w:rPr>
  </w:style>
  <w:style w:type="character" w:default="1" w:styleId="DefaultParagraphFont">
    <w:name w:val="Default Paragraph Font"/>
    <w:uiPriority w:val="1"/>
    <w:unhideWhenUsed/>
    <w:rsid w:val="005C3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306F"/>
  </w:style>
  <w:style w:type="character" w:customStyle="1" w:styleId="Heading1Char">
    <w:name w:val="Heading 1 Char"/>
    <w:basedOn w:val="DefaultParagraphFont"/>
    <w:link w:val="Heading1"/>
    <w:rsid w:val="005C306F"/>
    <w:rPr>
      <w:rFonts w:ascii="Times New Roman" w:eastAsia="Times New Roman" w:hAnsi="Times New Roman" w:cs="Times New Roman"/>
      <w:b/>
      <w:sz w:val="32"/>
      <w:szCs w:val="20"/>
      <w:lang w:eastAsia="en-US"/>
    </w:rPr>
  </w:style>
  <w:style w:type="paragraph" w:styleId="BodyText">
    <w:name w:val="Body Text"/>
    <w:basedOn w:val="Normal"/>
    <w:link w:val="BodyTextChar"/>
    <w:rsid w:val="005C30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306F"/>
    <w:rPr>
      <w:rFonts w:ascii="Times New Roman" w:eastAsia="Times New Roman" w:hAnsi="Times New Roman" w:cs="Times New Roman"/>
      <w:sz w:val="24"/>
      <w:lang w:val="en-US" w:eastAsia="en-US"/>
    </w:rPr>
  </w:style>
  <w:style w:type="paragraph" w:styleId="Footer">
    <w:name w:val="footer"/>
    <w:basedOn w:val="Normal"/>
    <w:link w:val="FooterChar"/>
    <w:rsid w:val="005C3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306F"/>
    <w:rPr>
      <w:rFonts w:ascii="Times New Roman" w:eastAsia="Times New Roman" w:hAnsi="Times New Roman" w:cs="Times New Roman"/>
      <w:sz w:val="16"/>
      <w:lang w:val="en-US" w:eastAsia="en-US"/>
    </w:rPr>
  </w:style>
  <w:style w:type="paragraph" w:styleId="List">
    <w:name w:val="List"/>
    <w:basedOn w:val="BodyText"/>
    <w:next w:val="BodyText"/>
    <w:rsid w:val="005C306F"/>
    <w:pPr>
      <w:tabs>
        <w:tab w:val="left" w:pos="340"/>
      </w:tabs>
      <w:spacing w:before="60" w:after="60"/>
      <w:ind w:left="340" w:hanging="340"/>
    </w:pPr>
  </w:style>
  <w:style w:type="paragraph" w:styleId="ListBullet">
    <w:name w:val="List Bullet"/>
    <w:basedOn w:val="List"/>
    <w:rsid w:val="005C306F"/>
    <w:pPr>
      <w:numPr>
        <w:numId w:val="13"/>
      </w:numPr>
      <w:tabs>
        <w:tab w:val="clear" w:pos="340"/>
      </w:tabs>
      <w:spacing w:before="40" w:after="40"/>
    </w:pPr>
  </w:style>
  <w:style w:type="character" w:customStyle="1" w:styleId="SpecialBold">
    <w:name w:val="Special Bold"/>
    <w:basedOn w:val="DefaultParagraphFont"/>
    <w:rsid w:val="005C306F"/>
    <w:rPr>
      <w:b/>
      <w:spacing w:val="0"/>
    </w:rPr>
  </w:style>
  <w:style w:type="paragraph" w:styleId="ListBullet2">
    <w:name w:val="List Bullet 2"/>
    <w:basedOn w:val="List2"/>
    <w:rsid w:val="005C306F"/>
    <w:pPr>
      <w:numPr>
        <w:numId w:val="14"/>
      </w:numPr>
      <w:tabs>
        <w:tab w:val="clear" w:pos="680"/>
      </w:tabs>
    </w:pPr>
  </w:style>
  <w:style w:type="paragraph" w:styleId="Header">
    <w:name w:val="header"/>
    <w:basedOn w:val="Normal"/>
    <w:link w:val="HeaderChar"/>
    <w:rsid w:val="005C3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30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306F"/>
    <w:pPr>
      <w:spacing w:before="240" w:after="120"/>
      <w:outlineLvl w:val="0"/>
    </w:pPr>
    <w:rPr>
      <w:rFonts w:ascii="Times New Roman" w:hAnsi="Times New Roman"/>
      <w:b/>
      <w:sz w:val="28"/>
    </w:rPr>
  </w:style>
  <w:style w:type="paragraph" w:customStyle="1" w:styleId="AllowPageBreak">
    <w:name w:val="AllowPageBreak"/>
    <w:rsid w:val="005C30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3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3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3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3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3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30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30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306F"/>
    <w:rPr>
      <w:rFonts w:ascii="Courier New" w:eastAsia="Times New Roman" w:hAnsi="Courier New" w:cs="Times New Roman"/>
      <w:i/>
      <w:szCs w:val="20"/>
      <w:lang w:val="en-US" w:eastAsia="en-US"/>
    </w:rPr>
  </w:style>
  <w:style w:type="paragraph" w:customStyle="1" w:styleId="HeadingBase">
    <w:name w:val="Heading Base"/>
    <w:rsid w:val="005C3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306F"/>
    <w:pPr>
      <w:tabs>
        <w:tab w:val="right" w:leader="dot" w:pos="9072"/>
      </w:tabs>
      <w:ind w:left="567"/>
    </w:pPr>
    <w:rPr>
      <w:szCs w:val="22"/>
    </w:rPr>
  </w:style>
  <w:style w:type="paragraph" w:customStyle="1" w:styleId="TOCBase">
    <w:name w:val="TOC Base"/>
    <w:rsid w:val="005C3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306F"/>
    <w:pPr>
      <w:tabs>
        <w:tab w:val="right" w:leader="dot" w:pos="9072"/>
      </w:tabs>
      <w:spacing w:before="40" w:after="40"/>
      <w:ind w:left="284"/>
    </w:pPr>
    <w:rPr>
      <w:rFonts w:ascii="Times New Roman" w:hAnsi="Times New Roman"/>
    </w:rPr>
  </w:style>
  <w:style w:type="paragraph" w:styleId="TOC1">
    <w:name w:val="toc 1"/>
    <w:basedOn w:val="TOCBase"/>
    <w:next w:val="Normal"/>
    <w:rsid w:val="005C30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306F"/>
    <w:pPr>
      <w:spacing w:before="5040"/>
      <w:jc w:val="center"/>
    </w:pPr>
    <w:rPr>
      <w:sz w:val="48"/>
      <w:szCs w:val="72"/>
      <w:lang w:val="en-US"/>
    </w:rPr>
  </w:style>
  <w:style w:type="character" w:customStyle="1" w:styleId="TitleChar">
    <w:name w:val="Title Char"/>
    <w:basedOn w:val="DefaultParagraphFont"/>
    <w:link w:val="Title"/>
    <w:rsid w:val="005C3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306F"/>
    <w:pPr>
      <w:tabs>
        <w:tab w:val="left" w:pos="3600"/>
        <w:tab w:val="left" w:pos="3958"/>
      </w:tabs>
    </w:pPr>
  </w:style>
  <w:style w:type="paragraph" w:customStyle="1" w:styleId="Note">
    <w:name w:val="Note"/>
    <w:basedOn w:val="BodyText"/>
    <w:rsid w:val="005C3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306F"/>
    <w:pPr>
      <w:framePr w:wrap="auto" w:hAnchor="text" w:y="6049"/>
    </w:pPr>
    <w:rPr>
      <w:color w:val="000000"/>
      <w:sz w:val="40"/>
    </w:rPr>
  </w:style>
  <w:style w:type="paragraph" w:customStyle="1" w:styleId="TOCTitle">
    <w:name w:val="TOCTitle"/>
    <w:basedOn w:val="Heading1"/>
    <w:rsid w:val="005C306F"/>
    <w:pPr>
      <w:spacing w:after="240"/>
      <w:jc w:val="center"/>
      <w:outlineLvl w:val="9"/>
    </w:pPr>
    <w:rPr>
      <w:caps/>
    </w:rPr>
  </w:style>
  <w:style w:type="paragraph" w:customStyle="1" w:styleId="Version">
    <w:name w:val="Version"/>
    <w:rsid w:val="005C30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306F"/>
    <w:pPr>
      <w:keepNext w:val="0"/>
      <w:tabs>
        <w:tab w:val="right" w:pos="4176"/>
      </w:tabs>
      <w:ind w:left="198" w:hanging="198"/>
    </w:pPr>
    <w:rPr>
      <w:rFonts w:ascii="Garamond" w:hAnsi="Garamond"/>
    </w:rPr>
  </w:style>
  <w:style w:type="paragraph" w:styleId="IndexHeading">
    <w:name w:val="index heading"/>
    <w:basedOn w:val="Normal"/>
    <w:next w:val="Index1"/>
    <w:semiHidden/>
    <w:rsid w:val="005C306F"/>
    <w:pPr>
      <w:spacing w:before="120" w:after="120"/>
    </w:pPr>
    <w:rPr>
      <w:rFonts w:ascii="Arial" w:hAnsi="Arial"/>
      <w:b/>
      <w:color w:val="918585"/>
      <w:sz w:val="24"/>
    </w:rPr>
  </w:style>
  <w:style w:type="paragraph" w:customStyle="1" w:styleId="Chapter">
    <w:name w:val="Chapter"/>
    <w:basedOn w:val="Normal"/>
    <w:rsid w:val="005C306F"/>
    <w:pPr>
      <w:spacing w:before="240"/>
    </w:pPr>
    <w:rPr>
      <w:rFonts w:ascii="Times New Roman" w:hAnsi="Times New Roman"/>
      <w:smallCaps/>
      <w:spacing w:val="80"/>
      <w:sz w:val="28"/>
    </w:rPr>
  </w:style>
  <w:style w:type="paragraph" w:customStyle="1" w:styleId="InChapter">
    <w:name w:val="InChapter"/>
    <w:basedOn w:val="Heading3"/>
    <w:rsid w:val="005C306F"/>
    <w:pPr>
      <w:spacing w:after="240"/>
      <w:outlineLvl w:val="9"/>
    </w:pPr>
    <w:rPr>
      <w:noProof/>
    </w:rPr>
  </w:style>
  <w:style w:type="paragraph" w:styleId="Index2">
    <w:name w:val="index 2"/>
    <w:basedOn w:val="Normal"/>
    <w:next w:val="Normal"/>
    <w:semiHidden/>
    <w:rsid w:val="005C306F"/>
    <w:pPr>
      <w:tabs>
        <w:tab w:val="right" w:pos="4176"/>
      </w:tabs>
      <w:ind w:left="568" w:hanging="284"/>
    </w:pPr>
    <w:rPr>
      <w:rFonts w:ascii="Garamond" w:hAnsi="Garamond"/>
    </w:rPr>
  </w:style>
  <w:style w:type="paragraph" w:customStyle="1" w:styleId="Byline">
    <w:name w:val="Byline"/>
    <w:rsid w:val="005C3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306F"/>
    <w:pPr>
      <w:tabs>
        <w:tab w:val="clear" w:pos="3600"/>
        <w:tab w:val="clear" w:pos="3958"/>
      </w:tabs>
      <w:jc w:val="right"/>
    </w:pPr>
  </w:style>
  <w:style w:type="character" w:styleId="Emphasis">
    <w:name w:val="Emphasis"/>
    <w:basedOn w:val="DefaultParagraphFont"/>
    <w:qFormat/>
    <w:rsid w:val="005C306F"/>
    <w:rPr>
      <w:i/>
    </w:rPr>
  </w:style>
  <w:style w:type="paragraph" w:styleId="Caption">
    <w:name w:val="caption"/>
    <w:basedOn w:val="BodyText"/>
    <w:next w:val="Normal"/>
    <w:qFormat/>
    <w:rsid w:val="005C306F"/>
    <w:pPr>
      <w:framePr w:w="2268" w:hSpace="181" w:vSpace="181" w:wrap="around" w:vAnchor="text" w:hAnchor="page" w:x="1135" w:y="285" w:anchorLock="1"/>
    </w:pPr>
    <w:rPr>
      <w:i/>
    </w:rPr>
  </w:style>
  <w:style w:type="paragraph" w:customStyle="1" w:styleId="MiniTOCTitle">
    <w:name w:val="MiniTOCTitle"/>
    <w:basedOn w:val="Heading4"/>
    <w:rsid w:val="005C306F"/>
    <w:pPr>
      <w:spacing w:before="240"/>
      <w:outlineLvl w:val="9"/>
    </w:pPr>
    <w:rPr>
      <w:noProof/>
      <w:sz w:val="24"/>
    </w:rPr>
  </w:style>
  <w:style w:type="paragraph" w:customStyle="1" w:styleId="MiniTOCItem">
    <w:name w:val="MiniTOCItem"/>
    <w:basedOn w:val="ListBullet"/>
    <w:rsid w:val="005C306F"/>
    <w:pPr>
      <w:numPr>
        <w:numId w:val="0"/>
      </w:numPr>
      <w:tabs>
        <w:tab w:val="right" w:leader="dot" w:pos="6521"/>
      </w:tabs>
      <w:spacing w:before="0" w:after="0"/>
    </w:pPr>
  </w:style>
  <w:style w:type="paragraph" w:customStyle="1" w:styleId="TOFTitle">
    <w:name w:val="TOFTitle"/>
    <w:basedOn w:val="TOCTitle"/>
    <w:rsid w:val="005C306F"/>
  </w:style>
  <w:style w:type="paragraph" w:styleId="TableofFigures">
    <w:name w:val="table of figures"/>
    <w:basedOn w:val="Normal"/>
    <w:next w:val="Normal"/>
    <w:semiHidden/>
    <w:rsid w:val="005C306F"/>
    <w:pPr>
      <w:tabs>
        <w:tab w:val="right" w:leader="dot" w:pos="9072"/>
      </w:tabs>
      <w:ind w:left="970" w:hanging="403"/>
    </w:pPr>
    <w:rPr>
      <w:rFonts w:ascii="Times New Roman" w:hAnsi="Times New Roman"/>
      <w:b/>
    </w:rPr>
  </w:style>
  <w:style w:type="paragraph" w:styleId="ListNumber">
    <w:name w:val="List Number"/>
    <w:basedOn w:val="List"/>
    <w:rsid w:val="005C306F"/>
    <w:pPr>
      <w:numPr>
        <w:numId w:val="11"/>
      </w:numPr>
    </w:pPr>
  </w:style>
  <w:style w:type="character" w:customStyle="1" w:styleId="WingdingSymbols">
    <w:name w:val="Wingding Symbols"/>
    <w:rsid w:val="005C306F"/>
    <w:rPr>
      <w:rFonts w:ascii="Wingdings" w:hAnsi="Wingdings"/>
    </w:rPr>
  </w:style>
  <w:style w:type="paragraph" w:customStyle="1" w:styleId="TableHeading">
    <w:name w:val="Table Heading"/>
    <w:basedOn w:val="HeadingBase"/>
    <w:rsid w:val="005C306F"/>
    <w:pPr>
      <w:keepLines/>
      <w:pBdr>
        <w:bottom w:val="single" w:sz="6" w:space="1" w:color="918585"/>
      </w:pBdr>
      <w:spacing w:before="240"/>
    </w:pPr>
  </w:style>
  <w:style w:type="character" w:customStyle="1" w:styleId="HotSpot">
    <w:name w:val="HotSpot"/>
    <w:rsid w:val="005C306F"/>
    <w:rPr>
      <w:color w:val="0033CC"/>
      <w:u w:val="none"/>
    </w:rPr>
  </w:style>
  <w:style w:type="paragraph" w:customStyle="1" w:styleId="BodyTextRight">
    <w:name w:val="Body Text Right"/>
    <w:basedOn w:val="BodyText"/>
    <w:rsid w:val="005C306F"/>
    <w:pPr>
      <w:spacing w:before="0" w:after="0"/>
      <w:jc w:val="right"/>
    </w:pPr>
  </w:style>
  <w:style w:type="paragraph" w:styleId="Index3">
    <w:name w:val="index 3"/>
    <w:basedOn w:val="ListNumber2"/>
    <w:next w:val="Normal"/>
    <w:semiHidden/>
    <w:rsid w:val="005C306F"/>
    <w:pPr>
      <w:numPr>
        <w:numId w:val="0"/>
      </w:numPr>
      <w:tabs>
        <w:tab w:val="right" w:leader="dot" w:pos="4176"/>
      </w:tabs>
    </w:pPr>
  </w:style>
  <w:style w:type="paragraph" w:styleId="ListNumber2">
    <w:name w:val="List Number 2"/>
    <w:basedOn w:val="List2"/>
    <w:rsid w:val="005C306F"/>
    <w:pPr>
      <w:numPr>
        <w:numId w:val="10"/>
      </w:numPr>
      <w:tabs>
        <w:tab w:val="clear" w:pos="1060"/>
      </w:tabs>
    </w:pPr>
  </w:style>
  <w:style w:type="paragraph" w:customStyle="1" w:styleId="MarginNote">
    <w:name w:val="Margin Note"/>
    <w:basedOn w:val="BodyText"/>
    <w:rsid w:val="005C3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3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30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306F"/>
    <w:rPr>
      <w:sz w:val="32"/>
    </w:rPr>
  </w:style>
  <w:style w:type="paragraph" w:customStyle="1" w:styleId="HeadingProcedure">
    <w:name w:val="Heading Procedure"/>
    <w:basedOn w:val="HeadingBase"/>
    <w:next w:val="Normal"/>
    <w:rsid w:val="005C306F"/>
    <w:pPr>
      <w:tabs>
        <w:tab w:val="left" w:pos="0"/>
      </w:tabs>
      <w:spacing w:before="120" w:after="60"/>
    </w:pPr>
    <w:rPr>
      <w:i/>
      <w:color w:val="918585"/>
      <w:sz w:val="22"/>
    </w:rPr>
  </w:style>
  <w:style w:type="paragraph" w:customStyle="1" w:styleId="TableBodyText">
    <w:name w:val="Table Body Text"/>
    <w:basedOn w:val="BodyText"/>
    <w:rsid w:val="005C306F"/>
    <w:pPr>
      <w:spacing w:before="60" w:after="60"/>
    </w:pPr>
  </w:style>
  <w:style w:type="paragraph" w:styleId="ListContinue">
    <w:name w:val="List Continue"/>
    <w:basedOn w:val="List"/>
    <w:rsid w:val="005C306F"/>
    <w:pPr>
      <w:ind w:firstLine="0"/>
    </w:pPr>
  </w:style>
  <w:style w:type="paragraph" w:customStyle="1" w:styleId="ListNote">
    <w:name w:val="List Note"/>
    <w:basedOn w:val="List"/>
    <w:rsid w:val="005C306F"/>
    <w:pPr>
      <w:pBdr>
        <w:top w:val="single" w:sz="6" w:space="2" w:color="918585"/>
        <w:bottom w:val="single" w:sz="6" w:space="2" w:color="918585"/>
      </w:pBdr>
      <w:tabs>
        <w:tab w:val="left" w:pos="1021"/>
      </w:tabs>
      <w:ind w:firstLine="0"/>
    </w:pPr>
  </w:style>
  <w:style w:type="paragraph" w:customStyle="1" w:styleId="Warning">
    <w:name w:val="Warning"/>
    <w:basedOn w:val="BodyText"/>
    <w:rsid w:val="005C306F"/>
    <w:pPr>
      <w:shd w:val="clear" w:color="auto" w:fill="D9D9D9"/>
      <w:tabs>
        <w:tab w:val="left" w:pos="992"/>
      </w:tabs>
      <w:ind w:left="119" w:right="119"/>
    </w:pPr>
    <w:rPr>
      <w:sz w:val="20"/>
    </w:rPr>
  </w:style>
  <w:style w:type="paragraph" w:customStyle="1" w:styleId="MarginIcons">
    <w:name w:val="Margin Icons"/>
    <w:basedOn w:val="BodyText"/>
    <w:rsid w:val="005C3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306F"/>
    <w:rPr>
      <w:rFonts w:ascii="Courier New" w:hAnsi="Courier New"/>
    </w:rPr>
  </w:style>
  <w:style w:type="paragraph" w:customStyle="1" w:styleId="NoteBullet">
    <w:name w:val="Note Bullet"/>
    <w:basedOn w:val="Note"/>
    <w:rsid w:val="005C306F"/>
    <w:pPr>
      <w:tabs>
        <w:tab w:val="clear" w:pos="680"/>
      </w:tabs>
      <w:spacing w:before="60" w:after="60"/>
    </w:pPr>
  </w:style>
  <w:style w:type="paragraph" w:customStyle="1" w:styleId="SubHeading2">
    <w:name w:val="SubHeading2"/>
    <w:basedOn w:val="HeadingBase"/>
    <w:rsid w:val="005C306F"/>
    <w:pPr>
      <w:spacing w:before="240" w:after="60"/>
    </w:pPr>
    <w:rPr>
      <w:sz w:val="20"/>
    </w:rPr>
  </w:style>
  <w:style w:type="paragraph" w:customStyle="1" w:styleId="SubHeading1">
    <w:name w:val="SubHeading1"/>
    <w:basedOn w:val="HeadingBase"/>
    <w:rsid w:val="005C306F"/>
    <w:pPr>
      <w:spacing w:before="240" w:after="60"/>
    </w:pPr>
    <w:rPr>
      <w:color w:val="918585"/>
      <w:sz w:val="22"/>
    </w:rPr>
  </w:style>
  <w:style w:type="paragraph" w:customStyle="1" w:styleId="SideHeading">
    <w:name w:val="Side Heading"/>
    <w:basedOn w:val="HeadingBase"/>
    <w:rsid w:val="005C3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306F"/>
    <w:pPr>
      <w:numPr>
        <w:numId w:val="12"/>
      </w:numPr>
    </w:pPr>
  </w:style>
  <w:style w:type="paragraph" w:styleId="PlainText">
    <w:name w:val="Plain Text"/>
    <w:basedOn w:val="Normal"/>
    <w:link w:val="PlainTextChar"/>
    <w:rsid w:val="005C306F"/>
    <w:rPr>
      <w:sz w:val="20"/>
    </w:rPr>
  </w:style>
  <w:style w:type="character" w:customStyle="1" w:styleId="PlainTextChar">
    <w:name w:val="Plain Text Char"/>
    <w:basedOn w:val="DefaultParagraphFont"/>
    <w:link w:val="PlainText"/>
    <w:rsid w:val="005C30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306F"/>
    <w:rPr>
      <w:b/>
      <w:smallCaps/>
    </w:rPr>
  </w:style>
  <w:style w:type="paragraph" w:customStyle="1" w:styleId="TableListNumber">
    <w:name w:val="Table List Number"/>
    <w:basedOn w:val="ListNumber"/>
    <w:rsid w:val="005C306F"/>
    <w:pPr>
      <w:numPr>
        <w:numId w:val="0"/>
      </w:numPr>
    </w:pPr>
  </w:style>
  <w:style w:type="paragraph" w:styleId="TOC4">
    <w:name w:val="toc 4"/>
    <w:basedOn w:val="TOCBase"/>
    <w:next w:val="Normal"/>
    <w:semiHidden/>
    <w:rsid w:val="005C306F"/>
    <w:pPr>
      <w:tabs>
        <w:tab w:val="right" w:leader="dot" w:pos="9071"/>
      </w:tabs>
      <w:ind w:left="1701"/>
    </w:pPr>
  </w:style>
  <w:style w:type="paragraph" w:customStyle="1" w:styleId="ListAlpha">
    <w:name w:val="List Alpha"/>
    <w:basedOn w:val="List"/>
    <w:rsid w:val="005C306F"/>
    <w:pPr>
      <w:numPr>
        <w:numId w:val="9"/>
      </w:numPr>
    </w:pPr>
  </w:style>
  <w:style w:type="paragraph" w:customStyle="1" w:styleId="ListAlpha2">
    <w:name w:val="List Alpha 2"/>
    <w:basedOn w:val="List2"/>
    <w:rsid w:val="005C306F"/>
    <w:pPr>
      <w:numPr>
        <w:numId w:val="8"/>
      </w:numPr>
    </w:pPr>
  </w:style>
  <w:style w:type="paragraph" w:styleId="List2">
    <w:name w:val="List 2"/>
    <w:basedOn w:val="BodyText"/>
    <w:rsid w:val="005C306F"/>
    <w:pPr>
      <w:tabs>
        <w:tab w:val="left" w:pos="680"/>
      </w:tabs>
      <w:spacing w:before="60" w:after="60"/>
      <w:ind w:left="680" w:hanging="340"/>
    </w:pPr>
  </w:style>
  <w:style w:type="paragraph" w:styleId="List3">
    <w:name w:val="List 3"/>
    <w:basedOn w:val="BodyText"/>
    <w:rsid w:val="005C306F"/>
    <w:pPr>
      <w:tabs>
        <w:tab w:val="left" w:pos="1021"/>
      </w:tabs>
      <w:spacing w:before="60" w:after="60"/>
      <w:ind w:left="1020" w:hanging="340"/>
    </w:pPr>
  </w:style>
  <w:style w:type="paragraph" w:styleId="List4">
    <w:name w:val="List 4"/>
    <w:basedOn w:val="BodyText"/>
    <w:rsid w:val="005C306F"/>
    <w:pPr>
      <w:tabs>
        <w:tab w:val="left" w:pos="1361"/>
      </w:tabs>
      <w:spacing w:before="60" w:after="60"/>
      <w:ind w:left="1361" w:hanging="340"/>
    </w:pPr>
  </w:style>
  <w:style w:type="paragraph" w:styleId="List5">
    <w:name w:val="List 5"/>
    <w:basedOn w:val="BodyText"/>
    <w:rsid w:val="005C306F"/>
    <w:pPr>
      <w:tabs>
        <w:tab w:val="left" w:pos="1701"/>
      </w:tabs>
      <w:spacing w:before="60" w:after="60"/>
      <w:ind w:left="1701" w:hanging="340"/>
    </w:pPr>
  </w:style>
  <w:style w:type="paragraph" w:styleId="ListBullet3">
    <w:name w:val="List Bullet 3"/>
    <w:basedOn w:val="List3"/>
    <w:rsid w:val="005C306F"/>
    <w:pPr>
      <w:numPr>
        <w:numId w:val="15"/>
      </w:numPr>
      <w:tabs>
        <w:tab w:val="clear" w:pos="1021"/>
      </w:tabs>
      <w:ind w:left="1037" w:hanging="357"/>
    </w:pPr>
  </w:style>
  <w:style w:type="paragraph" w:styleId="ListBullet4">
    <w:name w:val="List Bullet 4"/>
    <w:basedOn w:val="List4"/>
    <w:rsid w:val="005C306F"/>
    <w:pPr>
      <w:numPr>
        <w:numId w:val="3"/>
      </w:numPr>
    </w:pPr>
  </w:style>
  <w:style w:type="paragraph" w:styleId="ListBullet5">
    <w:name w:val="List Bullet 5"/>
    <w:basedOn w:val="List5"/>
    <w:rsid w:val="005C306F"/>
    <w:pPr>
      <w:numPr>
        <w:numId w:val="4"/>
      </w:numPr>
    </w:pPr>
  </w:style>
  <w:style w:type="paragraph" w:styleId="ListContinue2">
    <w:name w:val="List Continue 2"/>
    <w:basedOn w:val="List2"/>
    <w:rsid w:val="005C306F"/>
    <w:pPr>
      <w:ind w:firstLine="0"/>
    </w:pPr>
  </w:style>
  <w:style w:type="paragraph" w:styleId="ListContinue3">
    <w:name w:val="List Continue 3"/>
    <w:basedOn w:val="List3"/>
    <w:rsid w:val="005C306F"/>
    <w:pPr>
      <w:ind w:left="1021" w:firstLine="0"/>
    </w:pPr>
  </w:style>
  <w:style w:type="paragraph" w:styleId="ListContinue4">
    <w:name w:val="List Continue 4"/>
    <w:basedOn w:val="List4"/>
    <w:rsid w:val="005C306F"/>
    <w:pPr>
      <w:ind w:firstLine="0"/>
    </w:pPr>
  </w:style>
  <w:style w:type="paragraph" w:styleId="ListContinue5">
    <w:name w:val="List Continue 5"/>
    <w:basedOn w:val="List5"/>
    <w:rsid w:val="005C306F"/>
    <w:pPr>
      <w:ind w:firstLine="0"/>
    </w:pPr>
  </w:style>
  <w:style w:type="paragraph" w:styleId="ListNumber3">
    <w:name w:val="List Number 3"/>
    <w:basedOn w:val="List3"/>
    <w:rsid w:val="005C306F"/>
    <w:pPr>
      <w:numPr>
        <w:numId w:val="5"/>
      </w:numPr>
    </w:pPr>
  </w:style>
  <w:style w:type="paragraph" w:styleId="ListNumber4">
    <w:name w:val="List Number 4"/>
    <w:basedOn w:val="List4"/>
    <w:rsid w:val="005C306F"/>
    <w:pPr>
      <w:numPr>
        <w:numId w:val="6"/>
      </w:numPr>
    </w:pPr>
  </w:style>
  <w:style w:type="paragraph" w:styleId="ListNumber5">
    <w:name w:val="List Number 5"/>
    <w:basedOn w:val="List5"/>
    <w:rsid w:val="005C306F"/>
    <w:pPr>
      <w:numPr>
        <w:numId w:val="7"/>
      </w:numPr>
    </w:pPr>
  </w:style>
  <w:style w:type="paragraph" w:styleId="BlockText">
    <w:name w:val="Block Text"/>
    <w:basedOn w:val="Normal"/>
    <w:rsid w:val="005C306F"/>
    <w:pPr>
      <w:spacing w:after="120"/>
      <w:ind w:left="1440" w:right="1440"/>
    </w:pPr>
  </w:style>
  <w:style w:type="character" w:customStyle="1" w:styleId="Subscript">
    <w:name w:val="Subscript"/>
    <w:basedOn w:val="DefaultParagraphFont"/>
    <w:rsid w:val="005C306F"/>
    <w:rPr>
      <w:sz w:val="16"/>
      <w:vertAlign w:val="subscript"/>
    </w:rPr>
  </w:style>
  <w:style w:type="character" w:customStyle="1" w:styleId="Superscript">
    <w:name w:val="Superscript"/>
    <w:basedOn w:val="DefaultParagraphFont"/>
    <w:rsid w:val="005C306F"/>
    <w:rPr>
      <w:sz w:val="16"/>
      <w:vertAlign w:val="superscript"/>
    </w:rPr>
  </w:style>
  <w:style w:type="character" w:customStyle="1" w:styleId="Symbols">
    <w:name w:val="Symbols"/>
    <w:basedOn w:val="DefaultParagraphFont"/>
    <w:rsid w:val="005C306F"/>
    <w:rPr>
      <w:rFonts w:ascii="Symbol" w:hAnsi="Symbol"/>
    </w:rPr>
  </w:style>
  <w:style w:type="character" w:customStyle="1" w:styleId="MenuOptions">
    <w:name w:val="Menu Options"/>
    <w:basedOn w:val="DefaultParagraphFont"/>
    <w:rsid w:val="005C306F"/>
    <w:rPr>
      <w:rFonts w:ascii="Arial Narrow" w:hAnsi="Arial Narrow"/>
      <w:smallCaps/>
    </w:rPr>
  </w:style>
  <w:style w:type="character" w:customStyle="1" w:styleId="Buttons">
    <w:name w:val="Buttons"/>
    <w:basedOn w:val="DefaultParagraphFont"/>
    <w:rsid w:val="005C306F"/>
    <w:rPr>
      <w:b/>
    </w:rPr>
  </w:style>
  <w:style w:type="character" w:customStyle="1" w:styleId="Underlined">
    <w:name w:val="Underlined"/>
    <w:basedOn w:val="DefaultParagraphFont"/>
    <w:rsid w:val="005C306F"/>
    <w:rPr>
      <w:u w:val="single"/>
    </w:rPr>
  </w:style>
  <w:style w:type="paragraph" w:customStyle="1" w:styleId="TableBodyTextRight">
    <w:name w:val="Table Body Text Right"/>
    <w:basedOn w:val="TableBodyText"/>
    <w:rsid w:val="005C306F"/>
    <w:pPr>
      <w:widowControl w:val="0"/>
      <w:autoSpaceDE w:val="0"/>
      <w:autoSpaceDN w:val="0"/>
      <w:adjustRightInd w:val="0"/>
      <w:jc w:val="right"/>
    </w:pPr>
    <w:rPr>
      <w:rFonts w:cs="Arial"/>
      <w:szCs w:val="18"/>
    </w:rPr>
  </w:style>
  <w:style w:type="paragraph" w:customStyle="1" w:styleId="CopyrightText">
    <w:name w:val="Copyright Text"/>
    <w:basedOn w:val="BodyText"/>
    <w:rsid w:val="005C306F"/>
    <w:rPr>
      <w:sz w:val="18"/>
    </w:rPr>
  </w:style>
  <w:style w:type="paragraph" w:customStyle="1" w:styleId="BodySmallRight">
    <w:name w:val="Body Small Right"/>
    <w:basedOn w:val="BodyTextRight"/>
    <w:rsid w:val="005C306F"/>
    <w:rPr>
      <w:sz w:val="18"/>
      <w:szCs w:val="18"/>
    </w:rPr>
  </w:style>
  <w:style w:type="paragraph" w:customStyle="1" w:styleId="MarginEdition">
    <w:name w:val="Margin Edition"/>
    <w:basedOn w:val="MarginNote"/>
    <w:rsid w:val="005C306F"/>
    <w:pPr>
      <w:spacing w:before="0" w:after="0"/>
    </w:pPr>
    <w:rPr>
      <w:rFonts w:ascii="Times New Roman" w:hAnsi="Times New Roman"/>
      <w:color w:val="999999"/>
    </w:rPr>
  </w:style>
  <w:style w:type="paragraph" w:customStyle="1" w:styleId="Spacer">
    <w:name w:val="Spacer"/>
    <w:basedOn w:val="Normal"/>
    <w:rsid w:val="005C306F"/>
    <w:rPr>
      <w:sz w:val="2"/>
      <w:szCs w:val="2"/>
    </w:rPr>
  </w:style>
  <w:style w:type="character" w:customStyle="1" w:styleId="Small">
    <w:name w:val="Small"/>
    <w:basedOn w:val="DefaultParagraphFont"/>
    <w:rsid w:val="005C306F"/>
    <w:rPr>
      <w:sz w:val="16"/>
    </w:rPr>
  </w:style>
  <w:style w:type="paragraph" w:customStyle="1" w:styleId="WideTable">
    <w:name w:val="Wide Table"/>
    <w:basedOn w:val="Normal"/>
    <w:rsid w:val="005C306F"/>
    <w:pPr>
      <w:ind w:left="-1418"/>
    </w:pPr>
    <w:rPr>
      <w:sz w:val="2"/>
      <w:szCs w:val="2"/>
    </w:rPr>
  </w:style>
  <w:style w:type="character" w:styleId="PageNumber">
    <w:name w:val="page number"/>
    <w:basedOn w:val="DefaultParagraphFont"/>
    <w:rsid w:val="005C306F"/>
  </w:style>
  <w:style w:type="paragraph" w:styleId="Quote">
    <w:name w:val="Quote"/>
    <w:basedOn w:val="Heading1"/>
    <w:link w:val="QuoteChar"/>
    <w:qFormat/>
    <w:rsid w:val="005C306F"/>
    <w:rPr>
      <w:b w:val="0"/>
      <w:sz w:val="72"/>
      <w:szCs w:val="72"/>
      <w:lang w:val="en-NZ"/>
    </w:rPr>
  </w:style>
  <w:style w:type="character" w:customStyle="1" w:styleId="QuoteChar">
    <w:name w:val="Quote Char"/>
    <w:basedOn w:val="DefaultParagraphFont"/>
    <w:link w:val="Quote"/>
    <w:rsid w:val="005C3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306F"/>
    <w:pPr>
      <w:pageBreakBefore/>
    </w:pPr>
  </w:style>
  <w:style w:type="paragraph" w:customStyle="1" w:styleId="Border">
    <w:name w:val="Border"/>
    <w:basedOn w:val="Normal"/>
    <w:qFormat/>
    <w:rsid w:val="005C3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306F"/>
    <w:rPr>
      <w:b/>
      <w:bCs/>
      <w:i/>
      <w:iCs/>
      <w:color w:val="auto"/>
    </w:rPr>
  </w:style>
  <w:style w:type="paragraph" w:styleId="IntenseQuote">
    <w:name w:val="Intense Quote"/>
    <w:basedOn w:val="Normal"/>
    <w:next w:val="Normal"/>
    <w:link w:val="IntenseQuoteChar"/>
    <w:uiPriority w:val="30"/>
    <w:qFormat/>
    <w:rsid w:val="005C3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30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306F"/>
    <w:rPr>
      <w:smallCaps/>
      <w:color w:val="auto"/>
      <w:u w:val="single"/>
    </w:rPr>
  </w:style>
  <w:style w:type="character" w:styleId="IntenseReference">
    <w:name w:val="Intense Reference"/>
    <w:basedOn w:val="DefaultParagraphFont"/>
    <w:uiPriority w:val="32"/>
    <w:qFormat/>
    <w:rsid w:val="005C306F"/>
    <w:rPr>
      <w:b/>
      <w:bCs/>
      <w:smallCaps/>
      <w:color w:val="auto"/>
      <w:spacing w:val="5"/>
      <w:u w:val="single"/>
    </w:rPr>
  </w:style>
  <w:style w:type="paragraph" w:customStyle="1" w:styleId="2ColumnHeading">
    <w:name w:val="2Column Heading"/>
    <w:basedOn w:val="BodyText"/>
    <w:qFormat/>
    <w:rsid w:val="005C306F"/>
    <w:pPr>
      <w:spacing w:after="60"/>
      <w:ind w:left="-2268"/>
    </w:pPr>
    <w:rPr>
      <w:b/>
    </w:rPr>
  </w:style>
  <w:style w:type="paragraph" w:customStyle="1" w:styleId="Heading1TOC">
    <w:name w:val="Heading1 TOC"/>
    <w:basedOn w:val="Normal"/>
    <w:qFormat/>
    <w:rsid w:val="005C306F"/>
    <w:pPr>
      <w:spacing w:before="240" w:after="120"/>
    </w:pPr>
    <w:rPr>
      <w:rFonts w:ascii="Times New Roman" w:hAnsi="Times New Roman"/>
      <w:b/>
      <w:sz w:val="32"/>
    </w:rPr>
  </w:style>
  <w:style w:type="paragraph" w:customStyle="1" w:styleId="Heading2TOC">
    <w:name w:val="Heading2 TOC"/>
    <w:basedOn w:val="Normal"/>
    <w:qFormat/>
    <w:rsid w:val="005C306F"/>
    <w:pPr>
      <w:spacing w:before="240" w:after="60"/>
    </w:pPr>
    <w:rPr>
      <w:rFonts w:ascii="Times New Roman" w:hAnsi="Times New Roman"/>
      <w:b/>
      <w:sz w:val="28"/>
    </w:rPr>
  </w:style>
  <w:style w:type="character" w:customStyle="1" w:styleId="Underline">
    <w:name w:val="Underline"/>
    <w:basedOn w:val="DefaultParagraphFont"/>
    <w:qFormat/>
    <w:rsid w:val="005C306F"/>
    <w:rPr>
      <w:u w:val="single"/>
    </w:rPr>
  </w:style>
  <w:style w:type="character" w:customStyle="1" w:styleId="BoldandItalics">
    <w:name w:val="Bold and Italics"/>
    <w:qFormat/>
    <w:rsid w:val="005C306F"/>
    <w:rPr>
      <w:b/>
      <w:i/>
      <w:u w:val="none"/>
    </w:rPr>
  </w:style>
  <w:style w:type="paragraph" w:styleId="BalloonText">
    <w:name w:val="Balloon Text"/>
    <w:basedOn w:val="Normal"/>
    <w:link w:val="BalloonTextChar"/>
    <w:rsid w:val="005C306F"/>
    <w:rPr>
      <w:rFonts w:ascii="Tahoma" w:hAnsi="Tahoma" w:cs="Tahoma"/>
      <w:sz w:val="16"/>
      <w:szCs w:val="16"/>
    </w:rPr>
  </w:style>
  <w:style w:type="character" w:customStyle="1" w:styleId="BalloonTextChar">
    <w:name w:val="Balloon Text Char"/>
    <w:basedOn w:val="DefaultParagraphFont"/>
    <w:link w:val="BalloonText"/>
    <w:rsid w:val="005C30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30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30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8147</Characters>
  <Application>Microsoft Office Word</Application>
  <DocSecurity>0</DocSecurity>
  <Lines>282</Lines>
  <Paragraphs>175</Paragraphs>
  <ScaleCrop>false</ScaleCrop>
  <Company>Author-it Software Corporation Ltd.</Company>
  <LinksUpToDate>false</LinksUpToDate>
  <CharactersWithSpaces>9290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TLIX5012A Develop and review materiel sustainment plans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2012-05-27T04:14:00Z</dcterms:created>
  <dcterms:modified xsi:type="dcterms:W3CDTF">2012-05-27T04:14:00Z</dcterms:modified>
</cp:coreProperties>
</file>