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126" w:rsidP="004B6126">
      <w:pPr>
        <w:pStyle w:val="Title"/>
      </w:pPr>
      <w:r>
        <w:fldChar w:fldCharType="begin"/>
      </w:r>
      <w:r>
        <w:instrText xml:space="preserve"> TITLE   \* MERGEFORMAT </w:instrText>
      </w:r>
      <w:r>
        <w:fldChar w:fldCharType="separate"/>
      </w:r>
      <w:r>
        <w:t>TLIX4036A Analyse, advise on and carry out integrated border clearance transactions</w:t>
      </w:r>
      <w:r>
        <w:fldChar w:fldCharType="end"/>
      </w:r>
    </w:p>
    <w:p w:rsidR="004B6126" w:rsidP="004B6126">
      <w:pPr>
        <w:pStyle w:val="Version"/>
        <w:sectPr w:rsidSect="004E7E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EA9" w:rsidP="004E7EA9">
      <w:pPr>
        <w:pStyle w:val="SuperHeading"/>
      </w:pPr>
      <w:r w:rsidRPr="004E7EA9">
        <w:t>TLIX4036A Analyse, advise on and carry out integrated border clearance transactions</w:t>
      </w:r>
    </w:p>
    <w:p w:rsidR="00000000" w:rsidRPr="004E7EA9" w:rsidP="004E7EA9">
      <w:pPr>
        <w:pStyle w:val="Heading1"/>
      </w:pPr>
      <w:bookmarkStart w:id="1" w:name="O_628363"/>
      <w:bookmarkEnd w:id="1"/>
      <w:r w:rsidRPr="004E7EA9">
        <w:t>Modification History</w:t>
      </w:r>
    </w:p>
    <w:p w:rsidR="00000000" w:rsidRPr="004E7EA9" w:rsidP="004E7EA9">
      <w:pPr>
        <w:pStyle w:val="BodyText"/>
      </w:pPr>
      <w:r w:rsidRPr="004E7EA9">
        <w:t>Release 1. This is the first release of this unit.</w:t>
      </w:r>
    </w:p>
    <w:p w:rsidR="00000000" w:rsidRPr="004E7EA9" w:rsidP="004E7EA9">
      <w:pPr>
        <w:pStyle w:val="BodyText"/>
      </w:pPr>
    </w:p>
    <w:p w:rsidR="00000000" w:rsidRPr="004E7EA9" w:rsidP="004E7EA9">
      <w:pPr>
        <w:pStyle w:val="BodyText"/>
      </w:pPr>
      <w:r w:rsidRPr="004E7EA9">
        <w:t>This unit replaces and is equivalent to TLIA4057A Analyse, advise on and carry out integrated border clearance transactions.</w:t>
      </w:r>
    </w:p>
    <w:p w:rsidR="00000000" w:rsidRPr="004E7EA9" w:rsidP="004E7EA9">
      <w:pPr>
        <w:pStyle w:val="AllowPageBreak"/>
      </w:pPr>
    </w:p>
    <w:p w:rsidR="00000000" w:rsidRPr="004E7EA9" w:rsidP="004E7EA9">
      <w:pPr>
        <w:pStyle w:val="Heading1"/>
      </w:pPr>
      <w:bookmarkStart w:id="2" w:name="O_628364"/>
      <w:bookmarkEnd w:id="2"/>
      <w:r w:rsidRPr="004E7EA9">
        <w:t>Unit Descriptor</w:t>
      </w:r>
    </w:p>
    <w:p w:rsidR="00000000" w:rsidRPr="004E7EA9" w:rsidP="004E7EA9">
      <w:pPr>
        <w:pStyle w:val="BodyText"/>
      </w:pPr>
      <w:r w:rsidRPr="004E7EA9">
        <w:t>This unit involves the skills and knowledge required to analyse, advise on and carry out border cl</w:t>
      </w:r>
      <w:r w:rsidRPr="004E7EA9">
        <w:t>earance transactions and will usually involve analysis of complex interactions between component elements of the transactions, in accordance with Customs and related legislation, and workplace requirements.</w:t>
      </w:r>
    </w:p>
    <w:p w:rsidR="00000000" w:rsidRPr="004E7EA9" w:rsidP="004E7EA9">
      <w:pPr>
        <w:pStyle w:val="BodyText"/>
      </w:pPr>
    </w:p>
    <w:p w:rsidR="00000000" w:rsidRPr="004E7EA9" w:rsidP="004E7EA9">
      <w:pPr>
        <w:pStyle w:val="BodyText"/>
      </w:pPr>
      <w:r w:rsidRPr="004E7EA9">
        <w:t>Licensing, legislative, regulatory or certificat</w:t>
      </w:r>
      <w:r w:rsidRPr="004E7EA9">
        <w:t>ion requirements are applicable to this unit.</w:t>
      </w:r>
    </w:p>
    <w:p w:rsidR="00000000" w:rsidRPr="004E7EA9" w:rsidP="004E7EA9">
      <w:pPr>
        <w:pStyle w:val="AllowPageBreak"/>
      </w:pPr>
    </w:p>
    <w:p w:rsidR="00000000" w:rsidRPr="004E7EA9" w:rsidP="004E7EA9">
      <w:pPr>
        <w:pStyle w:val="Heading1"/>
      </w:pPr>
      <w:bookmarkStart w:id="3" w:name="O_628365"/>
      <w:bookmarkEnd w:id="3"/>
      <w:r w:rsidRPr="004E7EA9">
        <w:t>Application of the Unit</w:t>
      </w:r>
    </w:p>
    <w:p w:rsidR="00000000" w:rsidRPr="004E7EA9" w:rsidP="004E7EA9">
      <w:pPr>
        <w:pStyle w:val="BodyText"/>
      </w:pPr>
      <w:r w:rsidRPr="004E7EA9">
        <w:t>This unit applies to individuals working as a customs broker. Work must be carried out in compliance with the relevant Customs and related legislation and workplace requ</w:t>
      </w:r>
      <w:r w:rsidRPr="004E7EA9">
        <w:t>irements.</w:t>
      </w:r>
    </w:p>
    <w:p w:rsidR="00000000" w:rsidRPr="004E7EA9" w:rsidP="004E7EA9">
      <w:pPr>
        <w:pStyle w:val="BodyText"/>
      </w:pPr>
    </w:p>
    <w:p w:rsidR="00000000" w:rsidRPr="004E7EA9" w:rsidP="004E7EA9">
      <w:pPr>
        <w:pStyle w:val="BodyText"/>
      </w:pPr>
      <w:r w:rsidRPr="004E7EA9">
        <w:t>Work is undertaken in a range of environments including small to large worksites in the customs broking and international freight forwarding industries.</w:t>
      </w:r>
    </w:p>
    <w:p w:rsidR="00000000" w:rsidRPr="004E7EA9" w:rsidP="004E7EA9">
      <w:pPr>
        <w:pStyle w:val="AllowPageBreak"/>
      </w:pPr>
    </w:p>
    <w:p w:rsidR="00000000" w:rsidRPr="004E7EA9" w:rsidP="004E7EA9">
      <w:pPr>
        <w:pStyle w:val="Heading1"/>
      </w:pPr>
      <w:bookmarkStart w:id="4" w:name="O_628366"/>
      <w:bookmarkEnd w:id="4"/>
      <w:r w:rsidRPr="004E7EA9">
        <w:t>Licensing/Regulatory Information</w:t>
      </w:r>
    </w:p>
    <w:p w:rsidR="00000000" w:rsidRPr="004E7EA9" w:rsidP="004E7EA9">
      <w:pPr>
        <w:pStyle w:val="BodyText"/>
      </w:pPr>
      <w:r w:rsidRPr="004E7EA9">
        <w:t>Refer to Unit Descriptor.</w:t>
      </w:r>
    </w:p>
    <w:p w:rsidR="00000000" w:rsidRPr="004E7EA9" w:rsidP="004E7EA9">
      <w:pPr>
        <w:pStyle w:val="AllowPageBreak"/>
      </w:pPr>
    </w:p>
    <w:p w:rsidR="00000000" w:rsidRPr="004E7EA9" w:rsidP="004E7EA9">
      <w:pPr>
        <w:pStyle w:val="Heading1"/>
      </w:pPr>
      <w:bookmarkStart w:id="5" w:name="O_628367"/>
      <w:bookmarkEnd w:id="5"/>
      <w:r w:rsidRPr="004E7EA9">
        <w:t>Pre-Requisites</w:t>
      </w:r>
    </w:p>
    <w:p w:rsidR="00000000" w:rsidRPr="004E7EA9" w:rsidP="004E7EA9">
      <w:pPr>
        <w:pStyle w:val="BodyText"/>
      </w:pPr>
      <w:r w:rsidRPr="004E7EA9">
        <w:t>Nil</w:t>
      </w:r>
    </w:p>
    <w:p w:rsidR="00000000" w:rsidRPr="004E7EA9" w:rsidP="004E7EA9">
      <w:pPr>
        <w:pStyle w:val="AllowPageBreak"/>
      </w:pPr>
    </w:p>
    <w:p w:rsidR="00000000" w:rsidRPr="004E7EA9" w:rsidP="004E7EA9">
      <w:pPr>
        <w:pStyle w:val="Heading1"/>
      </w:pPr>
      <w:bookmarkStart w:id="6" w:name="O_628368"/>
      <w:bookmarkEnd w:id="6"/>
      <w:r w:rsidRPr="004E7EA9">
        <w:t>Employability Skills Information</w:t>
      </w:r>
    </w:p>
    <w:p w:rsidR="00000000" w:rsidRPr="004E7EA9" w:rsidP="004E7EA9">
      <w:pPr>
        <w:pStyle w:val="BodyText"/>
      </w:pPr>
      <w:r w:rsidRPr="004E7EA9">
        <w:t>This unit contains employability skills.</w:t>
      </w:r>
    </w:p>
    <w:p w:rsidR="00000000" w:rsidRPr="004E7EA9" w:rsidP="004E7EA9">
      <w:pPr>
        <w:pStyle w:val="AllowPageBreak"/>
      </w:pPr>
    </w:p>
    <w:p w:rsidR="00000000" w:rsidRPr="004E7EA9" w:rsidP="004E7EA9">
      <w:pPr>
        <w:pStyle w:val="Heading1"/>
      </w:pPr>
      <w:bookmarkStart w:id="7" w:name="O_628369"/>
      <w:bookmarkEnd w:id="7"/>
      <w:r w:rsidRPr="004E7EA9">
        <w:t>Elements and Performance Criteria Pre-Content</w:t>
      </w:r>
    </w:p>
    <w:tbl>
      <w:tblPr>
        <w:tblW w:w="9640" w:type="dxa"/>
        <w:tblLayout w:type="fixed"/>
        <w:tblCellMar>
          <w:left w:w="62" w:type="dxa"/>
          <w:right w:w="62" w:type="dxa"/>
        </w:tblCellMar>
        <w:tblLook w:val="0000"/>
      </w:tblPr>
      <w:tblGrid>
        <w:gridCol w:w="2776"/>
        <w:gridCol w:w="6864"/>
      </w:tblGrid>
      <w:tr w:rsidTr="004B612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t>Performance criteria describe the required performance needed to demonstrate achievement of the element. Assessment of performance is to be consistent with the evidence guide.</w:t>
            </w:r>
          </w:p>
        </w:tc>
      </w:tr>
    </w:tbl>
    <w:p w:rsidR="00000000" w:rsidRPr="004E7EA9" w:rsidP="004E7EA9">
      <w:pPr>
        <w:pStyle w:val="BodyText"/>
      </w:pPr>
    </w:p>
    <w:p w:rsidR="00000000" w:rsidRPr="004E7EA9" w:rsidP="004E7EA9">
      <w:pPr>
        <w:pStyle w:val="AllowPageBreak"/>
      </w:pPr>
    </w:p>
    <w:p w:rsidR="00000000" w:rsidRPr="004E7EA9" w:rsidP="004E7EA9">
      <w:pPr>
        <w:pStyle w:val="Heading1"/>
      </w:pPr>
      <w:bookmarkStart w:id="8" w:name="O_628370"/>
      <w:bookmarkEnd w:id="8"/>
      <w:r w:rsidRPr="004E7EA9">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B61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rPr>
                <w:rStyle w:val="SpecialBold"/>
              </w:rPr>
              <w:t>Read and interpret docume</w:t>
            </w:r>
            <w:r w:rsidRPr="004E7EA9">
              <w:rPr>
                <w:rStyle w:val="SpecialBold"/>
              </w:rPr>
              <w:t>nts for import consignment</w:t>
            </w: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1.1</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Documents for import transaction are reviewed and assessed for compliance with Customs and other regulatory body legislation and requirements</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1.2</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Customs and/or other legislation is accessed and their implications for impo</w:t>
            </w:r>
            <w:r w:rsidRPr="004E7EA9">
              <w:t>rt clearance are determined</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1.3</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Missing or ambiguous documents and/or information is identified and client is advised</w:t>
            </w:r>
          </w:p>
        </w:tc>
      </w:tr>
      <w:tr w:rsidTr="004B61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rPr>
                <w:rStyle w:val="SpecialBold"/>
              </w:rPr>
              <w:t>Identify and analyse problems</w:t>
            </w: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2.1</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Requirements for import clearance transaction are analysed and concerns are identified and documented</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2.2</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Implications and risks associated with identified concerns are assessed and recorded in accordance with workplace procedures</w:t>
            </w:r>
          </w:p>
        </w:tc>
      </w:tr>
      <w:tr w:rsidTr="004B61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rPr>
                <w:rStyle w:val="SpecialBold"/>
              </w:rPr>
              <w:t>Develop and review alternative solutions</w:t>
            </w: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3.1</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Appropriate alternative solutions to identified issues and problems are developed with due consideration to managing the risks involved, legislative requirements and client needs</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3.2</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 xml:space="preserve">Comparative benefits and </w:t>
            </w:r>
            <w:r w:rsidRPr="004E7EA9">
              <w:t>risks of alternative solutions are assessed and documented in accordance with workplace procedures</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3.3</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Various options and the outcome of the review of their comparative benefits and risks are documented as required</w:t>
            </w:r>
          </w:p>
        </w:tc>
      </w:tr>
      <w:tr w:rsidTr="004B61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rPr>
                <w:rStyle w:val="SpecialBold"/>
              </w:rPr>
              <w:t>Select and justify solution</w:t>
            </w:r>
          </w:p>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4.1</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Alternative solutions are developed based on review outcomes and preferred solution is selected</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4.2</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Selection justification is documented in accordance with workplace procedures and policies with due reference to compliance with all legislative requirem</w:t>
            </w:r>
            <w:r w:rsidRPr="004E7EA9">
              <w:t>ents, selected solution benefits, risks involved and how they will be managed</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4.3</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Critical issues identified during the review and analysis process are discussed and cleared with relevant internal and external personnel as required</w:t>
            </w:r>
          </w:p>
        </w:tc>
      </w:tr>
      <w:tr w:rsidTr="004B61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rPr>
                <w:rStyle w:val="SpecialBold"/>
              </w:rPr>
              <w:t>Complete border clearance transaction</w:t>
            </w:r>
          </w:p>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5.1</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 xml:space="preserve">Results of integrated border clearance transaction review are discussed with the client </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5.2</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Advice is provided to client on border clearance transaction, recommended solution and rationale for the recommendation</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5.3</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Integrated border clearance transaction is completed in accordance with agreed approach, relevant legislative requirements and wo</w:t>
            </w:r>
            <w:r w:rsidRPr="004E7EA9">
              <w:t>rkplace procedures</w:t>
            </w:r>
          </w:p>
        </w:tc>
      </w:tr>
      <w:tr w:rsidTr="004B61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rPr>
                <w:rStyle w:val="SpecialBold"/>
              </w:rPr>
              <w:t>Document and record border clearance transaction</w:t>
            </w:r>
          </w:p>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6.1</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Required documentation for integrated border clearance transaction is completed and verified in accordance with legislative requirements and workplace procedures</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6.2</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Information is entered into appropriate systems as required</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6.3</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Records are made of integrated border clearance transaction and information on specific issues, problems and related solutions adopted, and action taken</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6.4</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Relevant information concerni</w:t>
            </w:r>
            <w:r w:rsidRPr="004E7EA9">
              <w:t>ng integrated border clearance transaction is forwarded to client for compliance with Customs and related legislation requirements, and relevant internal and external personnel in accordance with workplace and organisational procedures</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6.5</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Integrated bo</w:t>
            </w:r>
            <w:r w:rsidRPr="004E7EA9">
              <w:t>rder transaction records are retained according to Customs and related legislation requirements, and workplace and organisational procedures</w:t>
            </w:r>
          </w:p>
        </w:tc>
      </w:tr>
      <w:tr w:rsidTr="004B61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rPr>
                <w:rStyle w:val="SpecialBold"/>
              </w:rPr>
              <w:t>Implement formal review mechanisms for dispute resolution</w:t>
            </w: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7.1</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Need for a formal review of a dispute related to a border transaction is identified in accordance with relevant Customs requirements and other related legislation</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7.2</w:t>
            </w:r>
          </w:p>
        </w:tc>
        <w:tc>
          <w:tcPr>
            <w:tcW w:w="686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Appropriate review mechanism for a dispute related to a border transaction is identifi</w:t>
            </w:r>
            <w:r w:rsidRPr="004E7EA9">
              <w:t>ed in accordance with relevant Customs requirements and other related legislation</w:t>
            </w:r>
          </w:p>
        </w:tc>
      </w:tr>
      <w:tr w:rsidTr="004B61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7.3</w:t>
            </w:r>
          </w:p>
        </w:tc>
        <w:tc>
          <w:tcPr>
            <w:tcW w:w="6864" w:type="dxa"/>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t>Identified review mechanism is implemented for the resolution of a dispute related to a border transaction in accordance with the relevant Customs requirements and oth</w:t>
            </w:r>
            <w:r w:rsidRPr="004E7EA9">
              <w:t>er related legislation</w:t>
            </w:r>
          </w:p>
        </w:tc>
      </w:tr>
    </w:tbl>
    <w:p w:rsidR="00000000" w:rsidRPr="004E7EA9" w:rsidP="004E7EA9">
      <w:pPr>
        <w:pStyle w:val="BodyText"/>
      </w:pPr>
    </w:p>
    <w:p w:rsidR="00000000" w:rsidRPr="004E7EA9" w:rsidP="004E7EA9">
      <w:pPr>
        <w:pStyle w:val="AllowPageBreak"/>
      </w:pPr>
    </w:p>
    <w:p w:rsidR="00000000" w:rsidRPr="004E7EA9" w:rsidP="004E7EA9">
      <w:pPr>
        <w:pStyle w:val="Heading1"/>
      </w:pPr>
      <w:bookmarkStart w:id="9" w:name="O_628371"/>
      <w:bookmarkEnd w:id="9"/>
      <w:r w:rsidRPr="004E7EA9">
        <w:t>Required Skills and Knowledge</w:t>
      </w:r>
    </w:p>
    <w:tbl>
      <w:tblPr>
        <w:tblW w:w="9640" w:type="dxa"/>
        <w:tblLayout w:type="fixed"/>
        <w:tblCellMar>
          <w:left w:w="62" w:type="dxa"/>
          <w:right w:w="62" w:type="dxa"/>
        </w:tblCellMar>
        <w:tblLook w:val="0000"/>
      </w:tblPr>
      <w:tblGrid>
        <w:gridCol w:w="9640"/>
      </w:tblGrid>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This section describes the knowledge and skills required for this unit.</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rPr>
                <w:rStyle w:val="SpecialBold"/>
              </w:rPr>
              <w:t>Required knowledge:</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Biosecurity requirements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Classification of a consignment in accordance with the Customs Tariff Act</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Commercial and shipping documentation</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 xml:space="preserve">Current Incoterms </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Customs and other legislation and policy relevant to the border clearance function</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Documentation requirements for analysing, advising on and conducting integrated border clearance transactions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Duty Concessions etc.</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Goods and Services Tax</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Issues relevant to a border clearance and appropriate action that can be taken to deal with suc</w:t>
            </w:r>
            <w:r w:rsidRPr="004E7EA9">
              <w:t xml:space="preserve">h issues </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Other indirect taxes, including dumping and countervailing, wine equilisation tax (WET), luxury car tax (LCT)</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Preferential trade agreements including free trade agreements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Sources of information on new developments in border clearance and r</w:t>
            </w:r>
            <w:r w:rsidRPr="004E7EA9">
              <w:t>elated legislative requirements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Valuation of a consignment in accordance with the Customs Act</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Ways of learning skills and knowledge required for new developments in border clearance and related legislative requirements</w:t>
            </w:r>
          </w:p>
        </w:tc>
      </w:tr>
    </w:tbl>
    <w:p w:rsidR="00000000" w:rsidRPr="004E7EA9" w:rsidP="004E7EA9">
      <w:pPr>
        <w:pStyle w:val="BodyText"/>
      </w:pPr>
    </w:p>
    <w:tbl>
      <w:tblPr>
        <w:tblW w:w="9640" w:type="dxa"/>
        <w:tblLayout w:type="fixed"/>
        <w:tblCellMar>
          <w:left w:w="62" w:type="dxa"/>
          <w:right w:w="62" w:type="dxa"/>
        </w:tblCellMar>
        <w:tblLook w:val="0000"/>
      </w:tblPr>
      <w:tblGrid>
        <w:gridCol w:w="9640"/>
      </w:tblGrid>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rPr>
                <w:rStyle w:val="SpecialBold"/>
              </w:rPr>
              <w:t>Required skills: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Communicate effectively with clients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Demonstrate fit and proper person requirements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Identify and resolve import prohibitions and restrictions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Identify, interpret and learn skills and knowledge required for relevant new developments in border clearanc</w:t>
            </w:r>
            <w:r w:rsidRPr="004E7EA9">
              <w:t>e transactions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Negotiate, communicate and liaise effectively verbally and in writing with clients and other stakeholders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Provide quality customer service</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 xml:space="preserve">Read and interpret instructions, procedures and information relevant to analysing, </w:t>
            </w:r>
            <w:r w:rsidRPr="004E7EA9">
              <w:t>advising on and conducting border clearance transactions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Read and interpret legislation</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Report information or activity that may compromise Australia’s security</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Take responsibility for analysing, advising on and conducting border clearance transaction</w:t>
            </w:r>
            <w:r w:rsidRPr="004E7EA9">
              <w:t>s and related solutions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Undertake continuous professional development</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E7EA9">
            <w:pPr>
              <w:pStyle w:val="ListBullet"/>
              <w:rPr>
                <w:lang w:val="en-NZ"/>
              </w:rPr>
            </w:pPr>
            <w:r w:rsidRPr="004E7EA9">
              <w:t>Use software application systems</w:t>
            </w:r>
          </w:p>
        </w:tc>
      </w:tr>
      <w:tr w:rsidTr="004E7E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Work with integrity to maintain professional standards</w:t>
            </w:r>
          </w:p>
        </w:tc>
      </w:tr>
    </w:tbl>
    <w:p w:rsidR="00000000" w:rsidRPr="004E7EA9" w:rsidP="004E7EA9">
      <w:pPr>
        <w:pStyle w:val="BodyText"/>
      </w:pPr>
    </w:p>
    <w:p w:rsidR="00000000" w:rsidRPr="004E7EA9" w:rsidP="004E7EA9">
      <w:pPr>
        <w:pStyle w:val="AllowPageBreak"/>
      </w:pPr>
    </w:p>
    <w:p w:rsidR="00000000" w:rsidRPr="004E7EA9" w:rsidP="004E7EA9">
      <w:pPr>
        <w:pStyle w:val="Heading1"/>
      </w:pPr>
      <w:bookmarkStart w:id="10" w:name="O_628372"/>
      <w:bookmarkEnd w:id="10"/>
      <w:r w:rsidRPr="004E7EA9">
        <w:t>Evidence Guide</w:t>
      </w:r>
    </w:p>
    <w:tbl>
      <w:tblPr>
        <w:tblW w:w="9640" w:type="dxa"/>
        <w:tblLayout w:type="fixed"/>
        <w:tblCellMar>
          <w:left w:w="62" w:type="dxa"/>
          <w:right w:w="62" w:type="dxa"/>
        </w:tblCellMar>
        <w:tblLook w:val="0000"/>
      </w:tblPr>
      <w:tblGrid>
        <w:gridCol w:w="3338"/>
        <w:gridCol w:w="6302"/>
      </w:tblGrid>
      <w:tr w:rsidTr="004E7EA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The evidence guide provides advice on assessment and must be read in conjunction with the performance criteria, required knowledge and skills, the range statement and the assessment guidelines for this Training Package.</w:t>
            </w:r>
          </w:p>
        </w:tc>
      </w:tr>
      <w:tr w:rsidTr="004E7EA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rPr>
                <w:rStyle w:val="SpecialBold"/>
              </w:rPr>
              <w:t>Critical aspects for assessment an</w:t>
            </w:r>
            <w:r w:rsidRPr="004E7EA9">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t>The evidence required to demonstrate competence in this unit must be relevant to and satisfy all of the requirements of the Elements, Performance Criteria, Required Skills, Required Knowledge and i</w:t>
            </w:r>
            <w:r w:rsidRPr="004E7EA9">
              <w:t>nclude:</w:t>
            </w:r>
          </w:p>
          <w:p w:rsidR="00000000" w:rsidRPr="004E7EA9" w:rsidP="004E7EA9">
            <w:pPr>
              <w:pStyle w:val="ListBullet"/>
            </w:pPr>
            <w:r w:rsidRPr="004E7EA9">
              <w:t>reading and interpreting transaction request facts</w:t>
            </w:r>
          </w:p>
          <w:p w:rsidR="00000000" w:rsidRPr="004E7EA9" w:rsidP="004E7EA9">
            <w:pPr>
              <w:pStyle w:val="ListBullet"/>
            </w:pPr>
            <w:r w:rsidRPr="004E7EA9">
              <w:t>identifying and analysing problems that may arise in completing a border clearance transaction</w:t>
            </w:r>
          </w:p>
          <w:p w:rsidR="00000000" w:rsidRPr="004E7EA9" w:rsidP="004E7EA9">
            <w:pPr>
              <w:pStyle w:val="ListBullet"/>
            </w:pPr>
            <w:r w:rsidRPr="004E7EA9">
              <w:t>developing and reviewing alternative solutions</w:t>
            </w:r>
          </w:p>
          <w:p w:rsidR="00000000" w:rsidRPr="004E7EA9" w:rsidP="004E7EA9">
            <w:pPr>
              <w:pStyle w:val="ListBullet"/>
            </w:pPr>
            <w:r w:rsidRPr="004E7EA9">
              <w:t>selecting and justifying solutions to typical border clearance transaction problems</w:t>
            </w:r>
          </w:p>
          <w:p w:rsidR="00000000" w:rsidRPr="004E7EA9" w:rsidP="004E7EA9">
            <w:pPr>
              <w:pStyle w:val="ListBullet"/>
            </w:pPr>
            <w:r w:rsidRPr="004E7EA9">
              <w:t>completing border clearance transaction</w:t>
            </w:r>
          </w:p>
          <w:p w:rsidR="00000000" w:rsidP="004E7EA9">
            <w:pPr>
              <w:pStyle w:val="ListBullet"/>
              <w:rPr>
                <w:lang w:val="en-NZ"/>
              </w:rPr>
            </w:pPr>
            <w:r w:rsidRPr="004E7EA9">
              <w:t>documenting and recording border clearance transaction.</w:t>
            </w:r>
          </w:p>
        </w:tc>
      </w:tr>
      <w:tr w:rsidTr="004E7EA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t>Performance is demonstrate</w:t>
            </w:r>
            <w:r w:rsidRPr="004E7EA9">
              <w:t>d consistently over time and in a suitable range of contexts.</w:t>
            </w:r>
          </w:p>
          <w:p w:rsidR="00000000" w:rsidRPr="004E7EA9" w:rsidP="004E7EA9">
            <w:pPr>
              <w:pStyle w:val="BodyText"/>
            </w:pPr>
            <w:r w:rsidRPr="004E7EA9">
              <w:t>Resources for assessment include access to:</w:t>
            </w:r>
          </w:p>
          <w:p w:rsidR="00000000" w:rsidRPr="004E7EA9" w:rsidP="004E7EA9">
            <w:pPr>
              <w:pStyle w:val="ListBullet"/>
            </w:pPr>
            <w:r w:rsidRPr="004E7EA9">
              <w:t>range of relevant exercises, case studies and/or other simulated practical and knowledge assessment, and/or</w:t>
            </w:r>
          </w:p>
          <w:p w:rsidR="00000000" w:rsidRPr="004E7EA9" w:rsidP="004E7EA9">
            <w:pPr>
              <w:pStyle w:val="ListBullet"/>
            </w:pPr>
            <w:r w:rsidRPr="004E7EA9">
              <w:t>an appropriate range of relevant operatio</w:t>
            </w:r>
            <w:r w:rsidRPr="004E7EA9">
              <w:t>nal situations in the workplace.</w:t>
            </w:r>
          </w:p>
          <w:p w:rsidR="00000000" w:rsidRPr="004E7EA9" w:rsidP="004E7EA9">
            <w:pPr>
              <w:pStyle w:val="BodyText"/>
            </w:pPr>
            <w:r w:rsidRPr="004E7EA9">
              <w:t>In both real and simulated environments, access is required to:</w:t>
            </w:r>
          </w:p>
          <w:p w:rsidR="00000000" w:rsidP="004E7EA9">
            <w:pPr>
              <w:pStyle w:val="ListBullet"/>
              <w:rPr>
                <w:lang w:val="en-NZ"/>
              </w:rPr>
            </w:pPr>
            <w:r w:rsidRPr="004E7EA9">
              <w:t>relevant documentation.</w:t>
            </w:r>
          </w:p>
        </w:tc>
      </w:tr>
      <w:tr w:rsidTr="004E7EA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4E7EA9" w:rsidP="004E7EA9">
            <w:pPr>
              <w:pStyle w:val="BodyText"/>
            </w:pPr>
            <w:r w:rsidRPr="004E7EA9">
              <w:t>Practical assessment must occur:</w:t>
            </w:r>
          </w:p>
          <w:p w:rsidR="00000000" w:rsidRPr="004E7EA9" w:rsidP="004E7EA9">
            <w:pPr>
              <w:pStyle w:val="ListBullet"/>
            </w:pPr>
            <w:r w:rsidRPr="004E7EA9">
              <w:t>through activities in an appropriately simulated environment at the registered training organisation, and/or</w:t>
            </w:r>
          </w:p>
          <w:p w:rsidR="00000000" w:rsidRPr="004E7EA9" w:rsidP="004E7EA9">
            <w:pPr>
              <w:pStyle w:val="ListBullet"/>
            </w:pPr>
            <w:r w:rsidRPr="004E7EA9">
              <w:t>in appropriately simulated workplace environment and/or</w:t>
            </w:r>
          </w:p>
          <w:p w:rsidR="00000000" w:rsidRPr="004E7EA9" w:rsidP="004E7EA9">
            <w:pPr>
              <w:pStyle w:val="ListBullet"/>
            </w:pPr>
            <w:r w:rsidRPr="004E7EA9">
              <w:t>in an appropriate range of situations in the workplace.</w:t>
            </w:r>
          </w:p>
          <w:p w:rsidR="00000000" w:rsidRPr="004E7EA9" w:rsidP="004E7EA9">
            <w:pPr>
              <w:pStyle w:val="BodyText"/>
            </w:pPr>
            <w:r w:rsidRPr="004E7EA9">
              <w:t>A range of assessment methods shoul</w:t>
            </w:r>
            <w:r w:rsidRPr="004E7EA9">
              <w:t xml:space="preserve">d be used to assess practical skills and knowledge. The following examples are appropriate to this </w:t>
            </w:r>
            <w:r w:rsidRPr="004E7EA9">
              <w:t>unit:</w:t>
            </w:r>
          </w:p>
          <w:p w:rsidR="00000000" w:rsidRPr="004E7EA9" w:rsidP="004E7EA9">
            <w:pPr>
              <w:pStyle w:val="ListBullet"/>
            </w:pPr>
            <w:r w:rsidRPr="004E7EA9">
              <w:t>direct observation of the candidate mentoring individuals or small groups</w:t>
            </w:r>
          </w:p>
          <w:p w:rsidR="00000000" w:rsidRPr="004E7EA9" w:rsidP="004E7EA9">
            <w:pPr>
              <w:pStyle w:val="ListBullet"/>
            </w:pPr>
            <w:r w:rsidRPr="004E7EA9">
              <w:t>knowledge tests and performance questions</w:t>
            </w:r>
          </w:p>
          <w:p w:rsidR="00000000" w:rsidRPr="004E7EA9" w:rsidP="004E7EA9">
            <w:pPr>
              <w:pStyle w:val="ListBullet"/>
            </w:pPr>
            <w:r w:rsidRPr="004E7EA9">
              <w:t>direct observation of the candidat</w:t>
            </w:r>
            <w:r w:rsidRPr="004E7EA9">
              <w:t>e applying tasks, requirements and work practices.</w:t>
            </w:r>
          </w:p>
          <w:p w:rsidR="00000000" w:rsidRPr="004E7EA9" w:rsidP="004E7EA9">
            <w:pPr>
              <w:pStyle w:val="BodyText"/>
            </w:pPr>
            <w:r w:rsidRPr="004E7EA9">
              <w:t>Assessment of this unit must be undertaken by a registered training organisation.</w:t>
            </w:r>
          </w:p>
        </w:tc>
      </w:tr>
    </w:tbl>
    <w:p w:rsidR="00000000" w:rsidRPr="004E7EA9" w:rsidP="004E7EA9">
      <w:pPr>
        <w:pStyle w:val="BodyText"/>
      </w:pPr>
    </w:p>
    <w:p w:rsidR="00000000" w:rsidRPr="004E7EA9" w:rsidP="004E7EA9">
      <w:pPr>
        <w:pStyle w:val="AllowPageBreak"/>
      </w:pPr>
    </w:p>
    <w:p w:rsidR="00000000" w:rsidRPr="004E7EA9" w:rsidP="004E7EA9">
      <w:pPr>
        <w:pStyle w:val="Heading1"/>
      </w:pPr>
      <w:bookmarkStart w:id="11" w:name="O_628373"/>
      <w:bookmarkEnd w:id="11"/>
      <w:r w:rsidRPr="004E7EA9">
        <w:t>Range Statement</w:t>
      </w:r>
    </w:p>
    <w:tbl>
      <w:tblPr>
        <w:tblW w:w="0" w:type="auto"/>
        <w:tblCellMar>
          <w:left w:w="62" w:type="dxa"/>
          <w:right w:w="62" w:type="dxa"/>
        </w:tblCellMar>
        <w:tblLook w:val="0000"/>
      </w:tblPr>
      <w:tblGrid>
        <w:gridCol w:w="2586"/>
        <w:gridCol w:w="6610"/>
      </w:tblGrid>
      <w:tr w:rsidTr="004B61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The range statement relates to the unit of competency as a whole. It allows for differen</w:t>
            </w:r>
            <w:r w:rsidRPr="004E7EA9">
              <w:t>t work environments and situations that may affect performance.</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Information on relevant aspects of border clearance transactions may include:</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 xml:space="preserve">functions and responsibilities of a customs broker </w:t>
            </w:r>
          </w:p>
          <w:p w:rsidR="00000000" w:rsidRPr="004E7EA9" w:rsidP="004E7EA9">
            <w:pPr>
              <w:pStyle w:val="ListBullet"/>
            </w:pPr>
            <w:r w:rsidRPr="004E7EA9">
              <w:t>internal and external review practices available to analyse and review issues and problems arising within border clearance transactions</w:t>
            </w:r>
          </w:p>
          <w:p w:rsidR="00000000" w:rsidRPr="004E7EA9" w:rsidP="004E7EA9">
            <w:pPr>
              <w:pStyle w:val="ListBullet"/>
            </w:pPr>
            <w:r w:rsidRPr="004E7EA9">
              <w:t>processes and practices for advising clients on issues and related solutions arising during an assessment of border clea</w:t>
            </w:r>
            <w:r w:rsidRPr="004E7EA9">
              <w:t>rance transactions</w:t>
            </w:r>
          </w:p>
          <w:p w:rsidR="00000000" w:rsidP="004E7EA9">
            <w:pPr>
              <w:pStyle w:val="ListBullet"/>
              <w:rPr>
                <w:lang w:val="en-NZ"/>
              </w:rPr>
            </w:pPr>
            <w:r w:rsidRPr="004E7EA9">
              <w:t>role and authority of customs, the appropriate regulatory authority responsible for biosecurity, and other regulatory bodies and how they fit into the structure of government and customs broking practices</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 xml:space="preserve">Analysis of a border clearance </w:t>
            </w:r>
            <w:r w:rsidRPr="004E7EA9">
              <w:t>transaction must involve:</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careful and detailed consideration of client instructions and needs, all compliance requirements and relevant workplace quality standards</w:t>
            </w:r>
          </w:p>
          <w:p w:rsidR="00000000" w:rsidP="004E7EA9">
            <w:pPr>
              <w:pStyle w:val="ListBullet"/>
              <w:rPr>
                <w:lang w:val="en-NZ"/>
              </w:rPr>
            </w:pPr>
            <w:r w:rsidRPr="004E7EA9">
              <w:t>consideration of all possible interactive effects and risks, and a comparative review of appropriate solutions to problems and issues identified in the course of the analysis</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Aspects of border clearance transactions that will need to be examined and analy</w:t>
            </w:r>
            <w:r w:rsidRPr="004E7EA9">
              <w:t>sed to establish any interactive effects and problems may include:</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dispute resolution</w:t>
            </w:r>
          </w:p>
          <w:p w:rsidR="00000000" w:rsidRPr="004E7EA9" w:rsidP="004E7EA9">
            <w:pPr>
              <w:pStyle w:val="ListBullet"/>
            </w:pPr>
            <w:r w:rsidRPr="004E7EA9">
              <w:t>free trade and other preferential tariff agreements</w:t>
            </w:r>
          </w:p>
          <w:p w:rsidR="00000000" w:rsidRPr="004E7EA9" w:rsidP="004E7EA9">
            <w:pPr>
              <w:pStyle w:val="ListBullet"/>
            </w:pPr>
            <w:r w:rsidRPr="004E7EA9">
              <w:t>GST requirements</w:t>
            </w:r>
          </w:p>
          <w:p w:rsidR="00000000" w:rsidRPr="004E7EA9" w:rsidP="004E7EA9">
            <w:pPr>
              <w:pStyle w:val="ListBullet"/>
            </w:pPr>
            <w:r w:rsidRPr="004E7EA9">
              <w:t>import prohibitions and restrictions</w:t>
            </w:r>
          </w:p>
          <w:p w:rsidR="00000000" w:rsidRPr="004E7EA9" w:rsidP="004E7EA9">
            <w:pPr>
              <w:pStyle w:val="ListBullet"/>
            </w:pPr>
            <w:r w:rsidRPr="004E7EA9">
              <w:t>infringement notices and penalties</w:t>
            </w:r>
          </w:p>
          <w:p w:rsidR="00000000" w:rsidRPr="004E7EA9" w:rsidP="004E7EA9">
            <w:pPr>
              <w:pStyle w:val="ListBullet"/>
            </w:pPr>
            <w:r w:rsidRPr="004E7EA9">
              <w:t xml:space="preserve">permit requirements </w:t>
            </w:r>
          </w:p>
          <w:p w:rsidR="00000000" w:rsidRPr="004E7EA9" w:rsidP="004E7EA9">
            <w:pPr>
              <w:pStyle w:val="ListBullet"/>
            </w:pPr>
            <w:r w:rsidRPr="004E7EA9">
              <w:t xml:space="preserve">tariff </w:t>
            </w:r>
            <w:r w:rsidRPr="004E7EA9">
              <w:t>classification requirements</w:t>
            </w:r>
          </w:p>
          <w:p w:rsidR="00000000" w:rsidP="004E7EA9">
            <w:pPr>
              <w:pStyle w:val="ListBullet"/>
              <w:rPr>
                <w:lang w:val="en-NZ"/>
              </w:rPr>
            </w:pPr>
            <w:r w:rsidRPr="004E7EA9">
              <w:t>valuation</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Aspects of transaction that may be considered in the consideration of interactive effects and issues can include:</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client requirements</w:t>
            </w:r>
          </w:p>
          <w:p w:rsidR="00000000" w:rsidRPr="004E7EA9" w:rsidP="004E7EA9">
            <w:pPr>
              <w:pStyle w:val="ListBullet"/>
            </w:pPr>
            <w:r w:rsidRPr="004E7EA9">
              <w:t>compliance with all legislation and permit requirements</w:t>
            </w:r>
          </w:p>
          <w:p w:rsidR="00000000" w:rsidRPr="004E7EA9" w:rsidP="004E7EA9">
            <w:pPr>
              <w:pStyle w:val="ListBullet"/>
            </w:pPr>
            <w:r w:rsidRPr="004E7EA9">
              <w:t>cost effectiveness</w:t>
            </w:r>
          </w:p>
          <w:p w:rsidR="00000000" w:rsidRPr="004E7EA9" w:rsidP="004E7EA9">
            <w:pPr>
              <w:pStyle w:val="ListBullet"/>
            </w:pPr>
            <w:r w:rsidRPr="004E7EA9">
              <w:t>risk assessment (to nominee and corporate brokerage, regulatory authorities and client)</w:t>
            </w:r>
          </w:p>
          <w:p w:rsidR="00000000" w:rsidRPr="004E7EA9" w:rsidP="004E7EA9">
            <w:pPr>
              <w:pStyle w:val="ListBullet"/>
            </w:pPr>
            <w:r w:rsidRPr="004E7EA9">
              <w:t xml:space="preserve">source/s of information </w:t>
            </w:r>
          </w:p>
          <w:p w:rsidR="00000000" w:rsidP="004E7EA9">
            <w:pPr>
              <w:pStyle w:val="ListBullet"/>
              <w:rPr>
                <w:lang w:val="en-NZ"/>
              </w:rPr>
            </w:pPr>
            <w:r w:rsidRPr="004E7EA9">
              <w:t>timeliness</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New developments in border clearance requirements and operations may relate to:</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goods</w:t>
            </w:r>
          </w:p>
          <w:p w:rsidR="00000000" w:rsidRPr="004E7EA9" w:rsidP="004E7EA9">
            <w:pPr>
              <w:pStyle w:val="ListBullet"/>
            </w:pPr>
            <w:r w:rsidRPr="004E7EA9">
              <w:t>legislation</w:t>
            </w:r>
          </w:p>
          <w:p w:rsidR="00000000" w:rsidRPr="004E7EA9" w:rsidP="004E7EA9">
            <w:pPr>
              <w:pStyle w:val="ListBullet"/>
            </w:pPr>
            <w:r w:rsidRPr="004E7EA9">
              <w:t>policy and guidelines</w:t>
            </w:r>
          </w:p>
          <w:p w:rsidR="00000000" w:rsidRPr="004E7EA9" w:rsidP="004E7EA9">
            <w:pPr>
              <w:pStyle w:val="ListBullet"/>
            </w:pPr>
            <w:r w:rsidRPr="004E7EA9">
              <w:t>processes</w:t>
            </w:r>
          </w:p>
          <w:p w:rsidR="00000000" w:rsidRPr="004E7EA9" w:rsidP="004E7EA9">
            <w:pPr>
              <w:pStyle w:val="ListBullet"/>
            </w:pPr>
            <w:r w:rsidRPr="004E7EA9">
              <w:t>systems</w:t>
            </w:r>
          </w:p>
          <w:p w:rsidR="00000000" w:rsidP="004E7EA9">
            <w:pPr>
              <w:pStyle w:val="ListBullet"/>
              <w:rPr>
                <w:lang w:val="en-NZ"/>
              </w:rPr>
            </w:pPr>
            <w:r w:rsidRPr="004E7EA9">
              <w:t>technology</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 xml:space="preserve">Information on new developments in border </w:t>
            </w:r>
            <w:r w:rsidRPr="004E7EA9">
              <w:t>clearance requirements and operations may be obtained from:</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external networks such as staff in various regulatory authorities, airline, shipping, road transport and storage; personnel, staff in</w:t>
            </w:r>
            <w:r w:rsidRPr="004E7EA9">
              <w:t xml:space="preserve"> bond stores and </w:t>
            </w:r>
            <w:r w:rsidRPr="004E7EA9">
              <w:t>other customs broking firms, etc.</w:t>
            </w:r>
          </w:p>
          <w:p w:rsidR="00000000" w:rsidRPr="004E7EA9" w:rsidP="004E7EA9">
            <w:pPr>
              <w:pStyle w:val="ListBullet"/>
            </w:pPr>
            <w:r w:rsidRPr="004E7EA9">
              <w:t>internal and external training programs</w:t>
            </w:r>
          </w:p>
          <w:p w:rsidR="00000000" w:rsidRPr="004E7EA9" w:rsidP="004E7EA9">
            <w:pPr>
              <w:pStyle w:val="ListBullet"/>
            </w:pPr>
            <w:r w:rsidRPr="004E7EA9">
              <w:t>internal networks such as own operations team, staff in other departments, support staff, managers, training staff, etc.</w:t>
            </w:r>
          </w:p>
          <w:p w:rsidR="00000000" w:rsidRPr="004E7EA9" w:rsidP="004E7EA9">
            <w:pPr>
              <w:pStyle w:val="ListBullet"/>
            </w:pPr>
            <w:r w:rsidRPr="004E7EA9">
              <w:t>internet websites</w:t>
            </w:r>
          </w:p>
          <w:p w:rsidR="00000000" w:rsidP="004E7EA9">
            <w:pPr>
              <w:pStyle w:val="ListBullet"/>
              <w:rPr>
                <w:lang w:val="en-NZ"/>
              </w:rPr>
            </w:pPr>
            <w:r w:rsidRPr="004E7EA9">
              <w:t>official booklets, bulletins, journals, magazines, books, etc.</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Ways of learning skills and knowledge required for new developments in border clearance requirements and operations may include:</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coaching in the workplace</w:t>
            </w:r>
          </w:p>
          <w:p w:rsidR="00000000" w:rsidRPr="004E7EA9" w:rsidP="004E7EA9">
            <w:pPr>
              <w:pStyle w:val="ListBullet"/>
            </w:pPr>
            <w:r w:rsidRPr="004E7EA9">
              <w:t>external training programs</w:t>
            </w:r>
          </w:p>
          <w:p w:rsidR="00000000" w:rsidRPr="004E7EA9" w:rsidP="004E7EA9">
            <w:pPr>
              <w:pStyle w:val="ListBullet"/>
            </w:pPr>
            <w:r w:rsidRPr="004E7EA9">
              <w:t xml:space="preserve">internal </w:t>
            </w:r>
            <w:r w:rsidRPr="004E7EA9">
              <w:t>training programs</w:t>
            </w:r>
          </w:p>
          <w:p w:rsidR="00000000" w:rsidRPr="004E7EA9" w:rsidP="004E7EA9">
            <w:pPr>
              <w:pStyle w:val="ListBullet"/>
            </w:pPr>
            <w:r w:rsidRPr="004E7EA9">
              <w:t>networking with relevant internal and external contacts</w:t>
            </w:r>
          </w:p>
          <w:p w:rsidR="00000000" w:rsidRPr="004E7EA9" w:rsidP="004E7EA9">
            <w:pPr>
              <w:pStyle w:val="ListBullet"/>
            </w:pPr>
            <w:r w:rsidRPr="004E7EA9">
              <w:t>online learning</w:t>
            </w:r>
          </w:p>
          <w:p w:rsidR="00000000" w:rsidP="004E7EA9">
            <w:pPr>
              <w:pStyle w:val="ListBullet"/>
              <w:rPr>
                <w:lang w:val="en-NZ"/>
              </w:rPr>
            </w:pPr>
            <w:r w:rsidRPr="004E7EA9">
              <w:t>reading independently</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company procedures</w:t>
            </w:r>
          </w:p>
          <w:p w:rsidR="00000000" w:rsidRPr="004E7EA9" w:rsidP="004E7EA9">
            <w:pPr>
              <w:pStyle w:val="ListBullet"/>
            </w:pPr>
            <w:r w:rsidRPr="004E7EA9">
              <w:t>enterprise procedures</w:t>
            </w:r>
          </w:p>
          <w:p w:rsidR="00000000" w:rsidRPr="004E7EA9" w:rsidP="004E7EA9">
            <w:pPr>
              <w:pStyle w:val="ListBullet"/>
            </w:pPr>
            <w:r w:rsidRPr="004E7EA9">
              <w:t>established procedures</w:t>
            </w:r>
          </w:p>
          <w:p w:rsidR="00000000" w:rsidRPr="004E7EA9" w:rsidP="004E7EA9">
            <w:pPr>
              <w:pStyle w:val="ListBullet"/>
            </w:pPr>
            <w:r w:rsidRPr="004E7EA9">
              <w:t>organisational procedures</w:t>
            </w:r>
          </w:p>
          <w:p w:rsidR="00000000" w:rsidP="004E7EA9">
            <w:pPr>
              <w:pStyle w:val="ListBullet"/>
              <w:rPr>
                <w:lang w:val="en-NZ"/>
              </w:rPr>
            </w:pPr>
            <w:r w:rsidRPr="004E7EA9">
              <w:t>standard operating procedures (SOPs)</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electronic data interchange (EDI)</w:t>
            </w:r>
          </w:p>
          <w:p w:rsidR="00000000" w:rsidRPr="004E7EA9" w:rsidP="004E7EA9">
            <w:pPr>
              <w:pStyle w:val="ListBullet"/>
            </w:pPr>
            <w:r w:rsidRPr="004E7EA9">
              <w:t>email</w:t>
            </w:r>
          </w:p>
          <w:p w:rsidR="00000000" w:rsidRPr="004E7EA9" w:rsidP="004E7EA9">
            <w:pPr>
              <w:pStyle w:val="ListBullet"/>
            </w:pPr>
            <w:r w:rsidRPr="004E7EA9">
              <w:t>internet</w:t>
            </w:r>
          </w:p>
          <w:p w:rsidR="00000000" w:rsidRPr="004E7EA9" w:rsidP="004E7EA9">
            <w:pPr>
              <w:pStyle w:val="ListBullet"/>
            </w:pPr>
            <w:r w:rsidRPr="004E7EA9">
              <w:t xml:space="preserve">oral, aural or signed communications </w:t>
            </w:r>
          </w:p>
          <w:p w:rsidR="00000000" w:rsidP="004E7EA9">
            <w:pPr>
              <w:pStyle w:val="ListBullet"/>
              <w:rPr>
                <w:lang w:val="en-NZ"/>
              </w:rPr>
            </w:pPr>
            <w:r w:rsidRPr="004E7EA9">
              <w:t>phone</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Consultative processes may involve:</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clients</w:t>
            </w:r>
          </w:p>
          <w:p w:rsidR="00000000" w:rsidRPr="004E7EA9" w:rsidP="004E7EA9">
            <w:pPr>
              <w:pStyle w:val="ListBullet"/>
            </w:pPr>
            <w:r w:rsidRPr="004E7EA9">
              <w:t>management representatives</w:t>
            </w:r>
          </w:p>
          <w:p w:rsidR="00000000" w:rsidRPr="004E7EA9" w:rsidP="004E7EA9">
            <w:pPr>
              <w:pStyle w:val="ListBullet"/>
            </w:pPr>
            <w:r w:rsidRPr="004E7EA9">
              <w:t>other employees and supervisors</w:t>
            </w:r>
          </w:p>
          <w:p w:rsidR="00000000" w:rsidRPr="004E7EA9" w:rsidP="004E7EA9">
            <w:pPr>
              <w:pStyle w:val="ListBullet"/>
            </w:pPr>
            <w:r w:rsidRPr="004E7EA9">
              <w:t xml:space="preserve">other relevant government departments, authorities and institutions </w:t>
            </w:r>
          </w:p>
          <w:p w:rsidR="00000000" w:rsidP="004E7EA9">
            <w:pPr>
              <w:pStyle w:val="ListBullet"/>
              <w:rPr>
                <w:lang w:val="en-NZ"/>
              </w:rPr>
            </w:pPr>
            <w:r w:rsidRPr="004E7EA9">
              <w:t>relevant authorities and institutions</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Australian Taxation Office legislative requirements</w:t>
            </w:r>
          </w:p>
          <w:p w:rsidR="00000000" w:rsidRPr="004E7EA9" w:rsidP="004E7EA9">
            <w:pPr>
              <w:pStyle w:val="ListBullet"/>
            </w:pPr>
            <w:r w:rsidRPr="004E7EA9">
              <w:t>client instructions</w:t>
            </w:r>
          </w:p>
          <w:p w:rsidR="00000000" w:rsidRPr="004E7EA9" w:rsidP="004E7EA9">
            <w:pPr>
              <w:pStyle w:val="ListBullet"/>
            </w:pPr>
            <w:r w:rsidRPr="004E7EA9">
              <w:t>info</w:t>
            </w:r>
            <w:r w:rsidRPr="004E7EA9">
              <w:t>rmation from relevant websites</w:t>
            </w:r>
          </w:p>
          <w:p w:rsidR="00000000" w:rsidRPr="004E7EA9" w:rsidP="004E7EA9">
            <w:pPr>
              <w:pStyle w:val="ListBullet"/>
            </w:pPr>
            <w:r w:rsidRPr="004E7EA9">
              <w:t>internal documentation used for border clearance transactions</w:t>
            </w:r>
          </w:p>
          <w:p w:rsidR="00000000" w:rsidRPr="004E7EA9" w:rsidP="004E7EA9">
            <w:pPr>
              <w:pStyle w:val="ListBullet"/>
            </w:pPr>
            <w:r w:rsidRPr="004E7EA9">
              <w:t>manufacturer specifications for equipment required when conducting analysis</w:t>
            </w:r>
          </w:p>
          <w:p w:rsidR="00000000" w:rsidRPr="004E7EA9" w:rsidP="004E7EA9">
            <w:pPr>
              <w:pStyle w:val="ListBullet"/>
            </w:pPr>
            <w:r w:rsidRPr="004E7EA9">
              <w:t>operations manuals, job specifications and induction documentation</w:t>
            </w:r>
          </w:p>
          <w:p w:rsidR="00000000" w:rsidRPr="004E7EA9" w:rsidP="004E7EA9">
            <w:pPr>
              <w:pStyle w:val="ListBullet"/>
            </w:pPr>
            <w:r w:rsidRPr="004E7EA9">
              <w:t>other legislative re</w:t>
            </w:r>
            <w:r w:rsidRPr="004E7EA9">
              <w:t>quirements and publications pertaining to border clearance functions</w:t>
            </w:r>
          </w:p>
          <w:p w:rsidR="00000000" w:rsidRPr="004E7EA9" w:rsidP="004E7EA9">
            <w:pPr>
              <w:pStyle w:val="ListBullet"/>
            </w:pPr>
            <w:r w:rsidRPr="004E7EA9">
              <w:t>relevant Customs and related legislation</w:t>
            </w:r>
          </w:p>
          <w:p w:rsidR="00000000" w:rsidRPr="004E7EA9" w:rsidP="004E7EA9">
            <w:pPr>
              <w:pStyle w:val="ListBullet"/>
            </w:pPr>
            <w:r w:rsidRPr="004E7EA9">
              <w:t>relevant sections of Australian Customs and Border Protection publications</w:t>
            </w:r>
          </w:p>
          <w:p w:rsidR="00000000" w:rsidP="004E7EA9">
            <w:pPr>
              <w:pStyle w:val="ListBullet"/>
              <w:rPr>
                <w:lang w:val="en-NZ"/>
              </w:rPr>
            </w:pPr>
            <w:r w:rsidRPr="004E7EA9">
              <w:t>workplace procedures and policies</w:t>
            </w:r>
          </w:p>
        </w:tc>
      </w:tr>
      <w:tr w:rsidTr="004B61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EA9">
            <w:pPr>
              <w:pStyle w:val="BodyText"/>
              <w:rPr>
                <w:lang w:val="en-NZ"/>
              </w:rPr>
            </w:pPr>
            <w:r w:rsidRPr="004E7EA9">
              <w:t>Applicable legislation and regulations may include:</w:t>
            </w:r>
          </w:p>
        </w:tc>
        <w:tc>
          <w:tcPr>
            <w:tcW w:w="0" w:type="auto"/>
            <w:tcBorders>
              <w:top w:val="nil"/>
              <w:left w:val="nil"/>
              <w:bottom w:val="nil"/>
              <w:right w:val="nil"/>
            </w:tcBorders>
            <w:tcMar>
              <w:top w:w="0" w:type="dxa"/>
              <w:left w:w="62" w:type="dxa"/>
              <w:bottom w:w="0" w:type="dxa"/>
              <w:right w:w="62" w:type="dxa"/>
            </w:tcMar>
          </w:tcPr>
          <w:p w:rsidR="00000000" w:rsidRPr="004E7EA9" w:rsidP="004E7EA9">
            <w:pPr>
              <w:pStyle w:val="ListBullet"/>
            </w:pPr>
            <w:r w:rsidRPr="004E7EA9">
              <w:t xml:space="preserve">Customs Act 1901and related legislation </w:t>
            </w:r>
          </w:p>
          <w:p w:rsidR="00000000" w:rsidRPr="004E7EA9" w:rsidP="004E7EA9">
            <w:pPr>
              <w:pStyle w:val="ListBullet"/>
            </w:pPr>
            <w:r w:rsidRPr="004E7EA9">
              <w:t>export/import/quarantine/bond requirements</w:t>
            </w:r>
          </w:p>
          <w:p w:rsidR="00000000" w:rsidRPr="004E7EA9" w:rsidP="004E7EA9">
            <w:pPr>
              <w:pStyle w:val="ListBullet"/>
            </w:pPr>
            <w:r w:rsidRPr="004E7EA9">
              <w:t>privacy legislation</w:t>
            </w:r>
          </w:p>
          <w:p w:rsidR="00000000" w:rsidRPr="004E7EA9" w:rsidP="004E7EA9">
            <w:pPr>
              <w:pStyle w:val="ListBullet"/>
            </w:pPr>
            <w:r w:rsidRPr="004E7EA9">
              <w:t>taxation legislation</w:t>
            </w:r>
          </w:p>
          <w:p w:rsidR="00000000" w:rsidRPr="004E7EA9" w:rsidP="004E7EA9">
            <w:pPr>
              <w:pStyle w:val="ListBullet"/>
            </w:pPr>
            <w:r w:rsidRPr="004E7EA9">
              <w:t xml:space="preserve">other government and legislative requirements pertaining to border clearance </w:t>
            </w:r>
          </w:p>
        </w:tc>
      </w:tr>
    </w:tbl>
    <w:p w:rsidR="00000000" w:rsidRPr="004E7EA9" w:rsidP="004E7EA9">
      <w:pPr>
        <w:pStyle w:val="BodyText"/>
      </w:pPr>
    </w:p>
    <w:p w:rsidR="00000000" w:rsidRPr="004E7EA9" w:rsidP="004E7EA9">
      <w:pPr>
        <w:pStyle w:val="AllowPageBreak"/>
      </w:pPr>
    </w:p>
    <w:p w:rsidR="00000000" w:rsidRPr="004E7EA9" w:rsidP="004E7EA9">
      <w:pPr>
        <w:pStyle w:val="Heading1"/>
      </w:pPr>
      <w:bookmarkStart w:id="12" w:name="O_628374"/>
      <w:bookmarkEnd w:id="12"/>
      <w:r w:rsidRPr="004E7EA9">
        <w:t>Unit Sector(s)</w:t>
      </w:r>
    </w:p>
    <w:p w:rsidR="00000000" w:rsidRPr="004E7EA9" w:rsidP="004E7EA9">
      <w:pPr>
        <w:pStyle w:val="BodyText"/>
      </w:pPr>
      <w:r w:rsidRPr="004E7EA9">
        <w:t>Not applicable.</w:t>
      </w:r>
    </w:p>
    <w:p w:rsidR="00000000" w:rsidRPr="004E7EA9" w:rsidP="004E7EA9">
      <w:pPr>
        <w:pStyle w:val="AllowPageBreak"/>
      </w:pPr>
    </w:p>
    <w:p w:rsidR="00000000" w:rsidRPr="004E7EA9" w:rsidP="004E7EA9">
      <w:pPr>
        <w:pStyle w:val="Heading1"/>
      </w:pPr>
      <w:bookmarkStart w:id="13" w:name="O_628375"/>
      <w:bookmarkEnd w:id="13"/>
      <w:r w:rsidRPr="004E7EA9">
        <w:t>Competency Field</w:t>
      </w:r>
    </w:p>
    <w:p w:rsidR="00000000" w:rsidRPr="004E7EA9" w:rsidP="004E7EA9">
      <w:pPr>
        <w:pStyle w:val="BodyText"/>
      </w:pPr>
      <w:r w:rsidRPr="004E7EA9">
        <w:t>X – Logistics</w:t>
      </w:r>
    </w:p>
    <w:p w:rsidR="00000000" w:rsidRPr="004E7EA9" w:rsidP="004E7EA9"/>
    <w:sectPr w:rsidSect="004E7E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A9" w:rsidRPr="004B6126" w:rsidP="004B61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26" w:rsidP="004E7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B6126" w:rsidP="004E7E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B6126" w:rsidP="004E7E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A9" w:rsidRPr="004B6126" w:rsidP="004B61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26" w:rsidRPr="002D2AF8" w:rsidP="004E7EA9">
    <w:pPr>
      <w:pStyle w:val="Header"/>
      <w:framePr w:wrap="around"/>
    </w:pPr>
    <w:r>
      <w:fldChar w:fldCharType="begin"/>
    </w:r>
    <w:r>
      <w:instrText xml:space="preserve"> TITLE   \* MERGEFORMAT </w:instrText>
    </w:r>
    <w:r>
      <w:fldChar w:fldCharType="separate"/>
    </w:r>
    <w:r>
      <w:t>TLIX4036A Analyse, advise on and carry out integrated border clearance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4B6126" w:rsidP="004E7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BCD5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7A1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EA9"/>
    <w:pPr>
      <w:spacing w:before="360" w:after="60"/>
      <w:outlineLvl w:val="0"/>
    </w:pPr>
    <w:rPr>
      <w:sz w:val="32"/>
    </w:rPr>
  </w:style>
  <w:style w:type="paragraph" w:styleId="Heading2">
    <w:name w:val="heading 2"/>
    <w:basedOn w:val="HeadingBase"/>
    <w:next w:val="BodyText"/>
    <w:link w:val="Heading2Char"/>
    <w:qFormat/>
    <w:rsid w:val="004E7EA9"/>
    <w:pPr>
      <w:keepLines/>
      <w:spacing w:before="240" w:after="120"/>
      <w:outlineLvl w:val="1"/>
    </w:pPr>
    <w:rPr>
      <w:sz w:val="28"/>
      <w:szCs w:val="40"/>
    </w:rPr>
  </w:style>
  <w:style w:type="paragraph" w:styleId="Heading3">
    <w:name w:val="heading 3"/>
    <w:basedOn w:val="HeadingBase"/>
    <w:next w:val="BodyText"/>
    <w:link w:val="Heading3Char"/>
    <w:qFormat/>
    <w:rsid w:val="004E7EA9"/>
    <w:pPr>
      <w:spacing w:before="180" w:after="120"/>
      <w:outlineLvl w:val="2"/>
    </w:pPr>
    <w:rPr>
      <w:spacing w:val="-10"/>
      <w:kern w:val="32"/>
    </w:rPr>
  </w:style>
  <w:style w:type="paragraph" w:styleId="Heading4">
    <w:name w:val="heading 4"/>
    <w:basedOn w:val="HeadingBase"/>
    <w:next w:val="BodyText"/>
    <w:link w:val="Heading4Char"/>
    <w:qFormat/>
    <w:rsid w:val="004E7EA9"/>
    <w:pPr>
      <w:spacing w:before="160" w:after="120"/>
      <w:outlineLvl w:val="3"/>
    </w:pPr>
    <w:rPr>
      <w:sz w:val="22"/>
    </w:rPr>
  </w:style>
  <w:style w:type="paragraph" w:styleId="Heading5">
    <w:name w:val="heading 5"/>
    <w:basedOn w:val="HeadingBase"/>
    <w:next w:val="Normal"/>
    <w:link w:val="Heading5Char"/>
    <w:qFormat/>
    <w:rsid w:val="004E7EA9"/>
    <w:pPr>
      <w:spacing w:before="80"/>
      <w:outlineLvl w:val="4"/>
    </w:pPr>
    <w:rPr>
      <w:color w:val="918585"/>
      <w:sz w:val="20"/>
    </w:rPr>
  </w:style>
  <w:style w:type="paragraph" w:styleId="Heading6">
    <w:name w:val="heading 6"/>
    <w:basedOn w:val="HeadingBase"/>
    <w:next w:val="Normal"/>
    <w:link w:val="Heading6Char"/>
    <w:qFormat/>
    <w:rsid w:val="004E7EA9"/>
    <w:pPr>
      <w:spacing w:before="60"/>
      <w:outlineLvl w:val="5"/>
    </w:pPr>
    <w:rPr>
      <w:color w:val="918585"/>
      <w:sz w:val="20"/>
    </w:rPr>
  </w:style>
  <w:style w:type="paragraph" w:styleId="Heading7">
    <w:name w:val="heading 7"/>
    <w:basedOn w:val="Normal"/>
    <w:next w:val="Normal"/>
    <w:link w:val="Heading7Char"/>
    <w:qFormat/>
    <w:rsid w:val="004E7EA9"/>
    <w:pPr>
      <w:ind w:left="720"/>
      <w:outlineLvl w:val="6"/>
    </w:pPr>
    <w:rPr>
      <w:i/>
    </w:rPr>
  </w:style>
  <w:style w:type="paragraph" w:styleId="Heading8">
    <w:name w:val="heading 8"/>
    <w:basedOn w:val="Normal"/>
    <w:next w:val="Normal"/>
    <w:link w:val="Heading8Char"/>
    <w:qFormat/>
    <w:rsid w:val="004E7EA9"/>
    <w:pPr>
      <w:ind w:left="720"/>
      <w:outlineLvl w:val="7"/>
    </w:pPr>
    <w:rPr>
      <w:i/>
    </w:rPr>
  </w:style>
  <w:style w:type="paragraph" w:styleId="Heading9">
    <w:name w:val="heading 9"/>
    <w:basedOn w:val="Normal"/>
    <w:next w:val="Normal"/>
    <w:link w:val="Heading9Char"/>
    <w:qFormat/>
    <w:rsid w:val="004E7EA9"/>
    <w:pPr>
      <w:ind w:left="720"/>
      <w:outlineLvl w:val="8"/>
    </w:pPr>
    <w:rPr>
      <w:i/>
    </w:rPr>
  </w:style>
  <w:style w:type="character" w:default="1" w:styleId="DefaultParagraphFont">
    <w:name w:val="Default Paragraph Font"/>
    <w:uiPriority w:val="1"/>
    <w:unhideWhenUsed/>
    <w:rsid w:val="004E7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EA9"/>
  </w:style>
  <w:style w:type="character" w:customStyle="1" w:styleId="Heading1Char">
    <w:name w:val="Heading 1 Char"/>
    <w:basedOn w:val="DefaultParagraphFont"/>
    <w:link w:val="Heading1"/>
    <w:rsid w:val="004E7EA9"/>
    <w:rPr>
      <w:rFonts w:ascii="Times New Roman" w:eastAsia="Times New Roman" w:hAnsi="Times New Roman" w:cs="Times New Roman"/>
      <w:b/>
      <w:sz w:val="32"/>
      <w:szCs w:val="20"/>
      <w:lang w:eastAsia="en-US"/>
    </w:rPr>
  </w:style>
  <w:style w:type="paragraph" w:styleId="BodyText">
    <w:name w:val="Body Text"/>
    <w:basedOn w:val="Normal"/>
    <w:link w:val="BodyTextChar"/>
    <w:rsid w:val="004E7E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EA9"/>
    <w:rPr>
      <w:rFonts w:ascii="Times New Roman" w:eastAsia="Times New Roman" w:hAnsi="Times New Roman" w:cs="Times New Roman"/>
      <w:sz w:val="24"/>
      <w:lang w:eastAsia="en-US"/>
    </w:rPr>
  </w:style>
  <w:style w:type="paragraph" w:styleId="ListBullet">
    <w:name w:val="List Bullet"/>
    <w:basedOn w:val="List"/>
    <w:rsid w:val="004E7EA9"/>
    <w:pPr>
      <w:numPr>
        <w:numId w:val="12"/>
      </w:numPr>
      <w:tabs>
        <w:tab w:val="clear" w:pos="340"/>
      </w:tabs>
      <w:spacing w:before="40" w:after="40"/>
    </w:pPr>
  </w:style>
  <w:style w:type="character" w:customStyle="1" w:styleId="SpecialBold">
    <w:name w:val="Special Bold"/>
    <w:basedOn w:val="DefaultParagraphFont"/>
    <w:rsid w:val="004E7EA9"/>
    <w:rPr>
      <w:b/>
      <w:spacing w:val="0"/>
    </w:rPr>
  </w:style>
  <w:style w:type="paragraph" w:customStyle="1" w:styleId="SuperHeading">
    <w:name w:val="SuperHeading"/>
    <w:basedOn w:val="Normal"/>
    <w:rsid w:val="004E7EA9"/>
    <w:pPr>
      <w:spacing w:before="240" w:after="120"/>
      <w:outlineLvl w:val="0"/>
    </w:pPr>
    <w:rPr>
      <w:rFonts w:ascii="Times New Roman" w:hAnsi="Times New Roman"/>
      <w:b/>
      <w:sz w:val="32"/>
    </w:rPr>
  </w:style>
  <w:style w:type="paragraph" w:customStyle="1" w:styleId="AllowPageBreak">
    <w:name w:val="AllowPageBreak"/>
    <w:rsid w:val="004E7E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EA9"/>
    <w:rPr>
      <w:rFonts w:ascii="Courier New" w:eastAsia="Times New Roman" w:hAnsi="Courier New" w:cs="Times New Roman"/>
      <w:i/>
      <w:szCs w:val="20"/>
      <w:lang w:eastAsia="en-US"/>
    </w:rPr>
  </w:style>
  <w:style w:type="paragraph" w:customStyle="1" w:styleId="HeadingBase">
    <w:name w:val="Heading Base"/>
    <w:rsid w:val="004E7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EA9"/>
    <w:pPr>
      <w:tabs>
        <w:tab w:val="right" w:leader="dot" w:pos="9072"/>
      </w:tabs>
      <w:ind w:left="567"/>
    </w:pPr>
    <w:rPr>
      <w:szCs w:val="22"/>
    </w:rPr>
  </w:style>
  <w:style w:type="paragraph" w:customStyle="1" w:styleId="TOCBase">
    <w:name w:val="TOC Base"/>
    <w:rsid w:val="004E7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EA9"/>
    <w:pPr>
      <w:tabs>
        <w:tab w:val="right" w:leader="dot" w:pos="9072"/>
      </w:tabs>
      <w:spacing w:before="40" w:after="40"/>
      <w:ind w:left="284"/>
    </w:pPr>
    <w:rPr>
      <w:rFonts w:ascii="Times New Roman" w:hAnsi="Times New Roman"/>
    </w:rPr>
  </w:style>
  <w:style w:type="paragraph" w:styleId="TOC1">
    <w:name w:val="toc 1"/>
    <w:basedOn w:val="TOCBase"/>
    <w:next w:val="Normal"/>
    <w:rsid w:val="004E7E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EA9"/>
    <w:rPr>
      <w:rFonts w:ascii="Times New Roman" w:eastAsia="Times New Roman" w:hAnsi="Times New Roman" w:cs="Times New Roman"/>
      <w:sz w:val="16"/>
      <w:lang w:eastAsia="en-US"/>
    </w:rPr>
  </w:style>
  <w:style w:type="paragraph" w:styleId="Title">
    <w:name w:val="Title"/>
    <w:basedOn w:val="HeadingBase"/>
    <w:link w:val="TitleChar"/>
    <w:qFormat/>
    <w:rsid w:val="004E7EA9"/>
    <w:pPr>
      <w:spacing w:before="5040"/>
      <w:jc w:val="center"/>
    </w:pPr>
    <w:rPr>
      <w:sz w:val="48"/>
      <w:szCs w:val="72"/>
      <w:lang w:val="en-US"/>
    </w:rPr>
  </w:style>
  <w:style w:type="character" w:customStyle="1" w:styleId="TitleChar">
    <w:name w:val="Title Char"/>
    <w:basedOn w:val="DefaultParagraphFont"/>
    <w:link w:val="Title"/>
    <w:rsid w:val="004E7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EA9"/>
    <w:pPr>
      <w:tabs>
        <w:tab w:val="left" w:pos="3600"/>
        <w:tab w:val="left" w:pos="3958"/>
      </w:tabs>
    </w:pPr>
  </w:style>
  <w:style w:type="paragraph" w:styleId="List">
    <w:name w:val="List"/>
    <w:basedOn w:val="BodyText"/>
    <w:next w:val="BodyText"/>
    <w:rsid w:val="004E7EA9"/>
    <w:pPr>
      <w:tabs>
        <w:tab w:val="left" w:pos="340"/>
      </w:tabs>
      <w:spacing w:before="60" w:after="60"/>
      <w:ind w:left="340" w:hanging="340"/>
    </w:pPr>
  </w:style>
  <w:style w:type="paragraph" w:customStyle="1" w:styleId="Note">
    <w:name w:val="Note"/>
    <w:basedOn w:val="BodyText"/>
    <w:rsid w:val="004E7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EA9"/>
    <w:pPr>
      <w:framePr w:wrap="auto" w:hAnchor="text" w:y="6049"/>
    </w:pPr>
    <w:rPr>
      <w:color w:val="000000"/>
      <w:sz w:val="40"/>
    </w:rPr>
  </w:style>
  <w:style w:type="paragraph" w:customStyle="1" w:styleId="TOCTitle">
    <w:name w:val="TOCTitle"/>
    <w:basedOn w:val="Heading1"/>
    <w:rsid w:val="004E7EA9"/>
    <w:pPr>
      <w:spacing w:after="240"/>
      <w:jc w:val="center"/>
      <w:outlineLvl w:val="9"/>
    </w:pPr>
    <w:rPr>
      <w:caps/>
    </w:rPr>
  </w:style>
  <w:style w:type="paragraph" w:customStyle="1" w:styleId="Version">
    <w:name w:val="Version"/>
    <w:rsid w:val="004E7E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7EA9"/>
    <w:pPr>
      <w:numPr>
        <w:numId w:val="13"/>
      </w:numPr>
      <w:tabs>
        <w:tab w:val="clear" w:pos="680"/>
      </w:tabs>
    </w:pPr>
  </w:style>
  <w:style w:type="paragraph" w:styleId="Index1">
    <w:name w:val="index 1"/>
    <w:basedOn w:val="Normal"/>
    <w:next w:val="Normal"/>
    <w:semiHidden/>
    <w:rsid w:val="004E7EA9"/>
    <w:pPr>
      <w:keepNext w:val="0"/>
      <w:tabs>
        <w:tab w:val="right" w:pos="4176"/>
      </w:tabs>
      <w:ind w:left="198" w:hanging="198"/>
    </w:pPr>
    <w:rPr>
      <w:rFonts w:ascii="Garamond" w:hAnsi="Garamond"/>
    </w:rPr>
  </w:style>
  <w:style w:type="paragraph" w:styleId="IndexHeading">
    <w:name w:val="index heading"/>
    <w:basedOn w:val="Normal"/>
    <w:next w:val="Index1"/>
    <w:semiHidden/>
    <w:rsid w:val="004E7EA9"/>
    <w:pPr>
      <w:spacing w:before="120" w:after="120"/>
    </w:pPr>
    <w:rPr>
      <w:rFonts w:ascii="Arial" w:hAnsi="Arial"/>
      <w:b/>
      <w:color w:val="918585"/>
      <w:sz w:val="24"/>
    </w:rPr>
  </w:style>
  <w:style w:type="paragraph" w:styleId="Header">
    <w:name w:val="header"/>
    <w:basedOn w:val="Normal"/>
    <w:link w:val="HeaderChar"/>
    <w:rsid w:val="004E7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EA9"/>
    <w:rPr>
      <w:rFonts w:ascii="Times New Roman" w:eastAsia="Times New Roman" w:hAnsi="Times New Roman" w:cs="Times New Roman"/>
      <w:sz w:val="16"/>
      <w:szCs w:val="20"/>
      <w:lang w:val="en-GB" w:eastAsia="en-US"/>
    </w:rPr>
  </w:style>
  <w:style w:type="paragraph" w:customStyle="1" w:styleId="Chapter">
    <w:name w:val="Chapter"/>
    <w:basedOn w:val="Normal"/>
    <w:rsid w:val="004E7EA9"/>
    <w:pPr>
      <w:spacing w:before="240"/>
    </w:pPr>
    <w:rPr>
      <w:rFonts w:ascii="Times New Roman" w:hAnsi="Times New Roman"/>
      <w:smallCaps/>
      <w:spacing w:val="80"/>
      <w:sz w:val="28"/>
    </w:rPr>
  </w:style>
  <w:style w:type="paragraph" w:customStyle="1" w:styleId="InChapter">
    <w:name w:val="InChapter"/>
    <w:basedOn w:val="Heading3"/>
    <w:rsid w:val="004E7EA9"/>
    <w:pPr>
      <w:spacing w:after="240"/>
      <w:outlineLvl w:val="9"/>
    </w:pPr>
    <w:rPr>
      <w:noProof/>
    </w:rPr>
  </w:style>
  <w:style w:type="paragraph" w:styleId="Index2">
    <w:name w:val="index 2"/>
    <w:basedOn w:val="Normal"/>
    <w:next w:val="Normal"/>
    <w:semiHidden/>
    <w:rsid w:val="004E7EA9"/>
    <w:pPr>
      <w:tabs>
        <w:tab w:val="right" w:pos="4176"/>
      </w:tabs>
      <w:ind w:left="568" w:hanging="284"/>
    </w:pPr>
    <w:rPr>
      <w:rFonts w:ascii="Garamond" w:hAnsi="Garamond"/>
    </w:rPr>
  </w:style>
  <w:style w:type="paragraph" w:customStyle="1" w:styleId="Byline">
    <w:name w:val="Byline"/>
    <w:rsid w:val="004E7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EA9"/>
    <w:pPr>
      <w:tabs>
        <w:tab w:val="clear" w:pos="3600"/>
        <w:tab w:val="clear" w:pos="3958"/>
      </w:tabs>
      <w:jc w:val="right"/>
    </w:pPr>
  </w:style>
  <w:style w:type="character" w:styleId="Emphasis">
    <w:name w:val="Emphasis"/>
    <w:basedOn w:val="DefaultParagraphFont"/>
    <w:qFormat/>
    <w:rsid w:val="004E7EA9"/>
    <w:rPr>
      <w:i/>
    </w:rPr>
  </w:style>
  <w:style w:type="paragraph" w:styleId="Caption">
    <w:name w:val="caption"/>
    <w:basedOn w:val="BodyText"/>
    <w:next w:val="Normal"/>
    <w:qFormat/>
    <w:rsid w:val="004E7EA9"/>
    <w:pPr>
      <w:framePr w:w="2268" w:hSpace="181" w:vSpace="181" w:wrap="around" w:vAnchor="text" w:hAnchor="page" w:x="1135" w:y="285" w:anchorLock="1"/>
    </w:pPr>
    <w:rPr>
      <w:i/>
    </w:rPr>
  </w:style>
  <w:style w:type="paragraph" w:customStyle="1" w:styleId="MiniTOCTitle">
    <w:name w:val="MiniTOCTitle"/>
    <w:basedOn w:val="Heading4"/>
    <w:rsid w:val="004E7EA9"/>
    <w:pPr>
      <w:spacing w:before="240"/>
      <w:outlineLvl w:val="9"/>
    </w:pPr>
    <w:rPr>
      <w:noProof/>
      <w:sz w:val="24"/>
    </w:rPr>
  </w:style>
  <w:style w:type="paragraph" w:customStyle="1" w:styleId="MiniTOCItem">
    <w:name w:val="MiniTOCItem"/>
    <w:basedOn w:val="ListBullet"/>
    <w:rsid w:val="004E7EA9"/>
    <w:pPr>
      <w:numPr>
        <w:numId w:val="0"/>
      </w:numPr>
      <w:tabs>
        <w:tab w:val="right" w:leader="dot" w:pos="6521"/>
      </w:tabs>
      <w:spacing w:before="0" w:after="0"/>
    </w:pPr>
  </w:style>
  <w:style w:type="paragraph" w:customStyle="1" w:styleId="TOFTitle">
    <w:name w:val="TOFTitle"/>
    <w:basedOn w:val="TOCTitle"/>
    <w:rsid w:val="004E7EA9"/>
  </w:style>
  <w:style w:type="paragraph" w:styleId="TableofFigures">
    <w:name w:val="table of figures"/>
    <w:basedOn w:val="Normal"/>
    <w:next w:val="Normal"/>
    <w:semiHidden/>
    <w:rsid w:val="004E7EA9"/>
    <w:pPr>
      <w:tabs>
        <w:tab w:val="right" w:leader="dot" w:pos="9072"/>
      </w:tabs>
      <w:ind w:left="970" w:hanging="403"/>
    </w:pPr>
    <w:rPr>
      <w:rFonts w:ascii="Times New Roman" w:hAnsi="Times New Roman"/>
      <w:b/>
    </w:rPr>
  </w:style>
  <w:style w:type="paragraph" w:styleId="ListNumber">
    <w:name w:val="List Number"/>
    <w:basedOn w:val="List"/>
    <w:rsid w:val="004E7EA9"/>
    <w:pPr>
      <w:numPr>
        <w:numId w:val="10"/>
      </w:numPr>
    </w:pPr>
  </w:style>
  <w:style w:type="character" w:customStyle="1" w:styleId="WingdingSymbols">
    <w:name w:val="Wingding Symbols"/>
    <w:rsid w:val="004E7EA9"/>
    <w:rPr>
      <w:rFonts w:ascii="Wingdings" w:hAnsi="Wingdings"/>
    </w:rPr>
  </w:style>
  <w:style w:type="paragraph" w:customStyle="1" w:styleId="TableHeading">
    <w:name w:val="Table Heading"/>
    <w:basedOn w:val="HeadingBase"/>
    <w:rsid w:val="004E7EA9"/>
    <w:pPr>
      <w:keepLines/>
      <w:pBdr>
        <w:bottom w:val="single" w:sz="6" w:space="1" w:color="918585"/>
      </w:pBdr>
      <w:spacing w:before="240"/>
    </w:pPr>
  </w:style>
  <w:style w:type="character" w:customStyle="1" w:styleId="HotSpot">
    <w:name w:val="HotSpot"/>
    <w:rsid w:val="004E7EA9"/>
    <w:rPr>
      <w:color w:val="0033CC"/>
      <w:u w:val="none"/>
    </w:rPr>
  </w:style>
  <w:style w:type="paragraph" w:customStyle="1" w:styleId="BodyTextRight">
    <w:name w:val="Body Text Right"/>
    <w:basedOn w:val="BodyText"/>
    <w:rsid w:val="004E7EA9"/>
    <w:pPr>
      <w:spacing w:before="0" w:after="0"/>
      <w:jc w:val="right"/>
    </w:pPr>
  </w:style>
  <w:style w:type="paragraph" w:styleId="Index3">
    <w:name w:val="index 3"/>
    <w:basedOn w:val="ListNumber2"/>
    <w:next w:val="Normal"/>
    <w:semiHidden/>
    <w:rsid w:val="004E7EA9"/>
    <w:pPr>
      <w:numPr>
        <w:numId w:val="0"/>
      </w:numPr>
      <w:tabs>
        <w:tab w:val="right" w:leader="dot" w:pos="4176"/>
      </w:tabs>
    </w:pPr>
  </w:style>
  <w:style w:type="paragraph" w:styleId="ListNumber2">
    <w:name w:val="List Number 2"/>
    <w:basedOn w:val="List2"/>
    <w:rsid w:val="004E7EA9"/>
    <w:pPr>
      <w:numPr>
        <w:numId w:val="9"/>
      </w:numPr>
      <w:tabs>
        <w:tab w:val="clear" w:pos="1060"/>
      </w:tabs>
    </w:pPr>
  </w:style>
  <w:style w:type="paragraph" w:customStyle="1" w:styleId="MarginNote">
    <w:name w:val="Margin Note"/>
    <w:basedOn w:val="BodyText"/>
    <w:rsid w:val="004E7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EA9"/>
    <w:rPr>
      <w:sz w:val="32"/>
    </w:rPr>
  </w:style>
  <w:style w:type="paragraph" w:customStyle="1" w:styleId="HeadingProcedure">
    <w:name w:val="Heading Procedure"/>
    <w:basedOn w:val="HeadingBase"/>
    <w:next w:val="Normal"/>
    <w:rsid w:val="004E7EA9"/>
    <w:pPr>
      <w:tabs>
        <w:tab w:val="left" w:pos="0"/>
      </w:tabs>
      <w:spacing w:before="120" w:after="60"/>
    </w:pPr>
    <w:rPr>
      <w:i/>
      <w:color w:val="918585"/>
      <w:sz w:val="22"/>
    </w:rPr>
  </w:style>
  <w:style w:type="paragraph" w:customStyle="1" w:styleId="TableBodyText">
    <w:name w:val="Table Body Text"/>
    <w:basedOn w:val="BodyText"/>
    <w:rsid w:val="004E7EA9"/>
    <w:pPr>
      <w:spacing w:before="60" w:after="60"/>
    </w:pPr>
  </w:style>
  <w:style w:type="paragraph" w:styleId="ListContinue">
    <w:name w:val="List Continue"/>
    <w:basedOn w:val="List"/>
    <w:rsid w:val="004E7EA9"/>
    <w:pPr>
      <w:ind w:firstLine="0"/>
    </w:pPr>
  </w:style>
  <w:style w:type="paragraph" w:customStyle="1" w:styleId="ListNote">
    <w:name w:val="List Note"/>
    <w:basedOn w:val="List"/>
    <w:rsid w:val="004E7EA9"/>
    <w:pPr>
      <w:pBdr>
        <w:top w:val="single" w:sz="6" w:space="2" w:color="918585"/>
        <w:bottom w:val="single" w:sz="6" w:space="2" w:color="918585"/>
      </w:pBdr>
      <w:tabs>
        <w:tab w:val="left" w:pos="1021"/>
      </w:tabs>
      <w:ind w:firstLine="0"/>
    </w:pPr>
  </w:style>
  <w:style w:type="paragraph" w:customStyle="1" w:styleId="Warning">
    <w:name w:val="Warning"/>
    <w:basedOn w:val="BodyText"/>
    <w:rsid w:val="004E7EA9"/>
    <w:pPr>
      <w:shd w:val="clear" w:color="auto" w:fill="D9D9D9"/>
      <w:tabs>
        <w:tab w:val="left" w:pos="992"/>
      </w:tabs>
      <w:ind w:left="119" w:right="119"/>
    </w:pPr>
    <w:rPr>
      <w:sz w:val="20"/>
    </w:rPr>
  </w:style>
  <w:style w:type="paragraph" w:customStyle="1" w:styleId="MarginIcons">
    <w:name w:val="Margin Icons"/>
    <w:basedOn w:val="BodyText"/>
    <w:rsid w:val="004E7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EA9"/>
    <w:rPr>
      <w:rFonts w:ascii="Courier New" w:hAnsi="Courier New"/>
    </w:rPr>
  </w:style>
  <w:style w:type="paragraph" w:customStyle="1" w:styleId="NoteBullet">
    <w:name w:val="Note Bullet"/>
    <w:basedOn w:val="Note"/>
    <w:rsid w:val="004E7EA9"/>
    <w:pPr>
      <w:tabs>
        <w:tab w:val="clear" w:pos="680"/>
      </w:tabs>
      <w:spacing w:before="60" w:after="60"/>
    </w:pPr>
  </w:style>
  <w:style w:type="paragraph" w:customStyle="1" w:styleId="SubHeading2">
    <w:name w:val="SubHeading2"/>
    <w:basedOn w:val="HeadingBase"/>
    <w:rsid w:val="004E7EA9"/>
    <w:pPr>
      <w:spacing w:before="240" w:after="60"/>
    </w:pPr>
    <w:rPr>
      <w:sz w:val="20"/>
    </w:rPr>
  </w:style>
  <w:style w:type="paragraph" w:customStyle="1" w:styleId="SubHeading1">
    <w:name w:val="SubHeading1"/>
    <w:basedOn w:val="HeadingBase"/>
    <w:rsid w:val="004E7EA9"/>
    <w:pPr>
      <w:spacing w:before="240" w:after="60"/>
    </w:pPr>
    <w:rPr>
      <w:color w:val="918585"/>
      <w:sz w:val="22"/>
    </w:rPr>
  </w:style>
  <w:style w:type="paragraph" w:customStyle="1" w:styleId="SideHeading">
    <w:name w:val="Side Heading"/>
    <w:basedOn w:val="HeadingBase"/>
    <w:rsid w:val="004E7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EA9"/>
    <w:pPr>
      <w:tabs>
        <w:tab w:val="num" w:pos="360"/>
      </w:tabs>
    </w:pPr>
  </w:style>
  <w:style w:type="paragraph" w:styleId="PlainText">
    <w:name w:val="Plain Text"/>
    <w:basedOn w:val="Normal"/>
    <w:link w:val="PlainTextChar"/>
    <w:rsid w:val="004E7EA9"/>
    <w:rPr>
      <w:sz w:val="20"/>
    </w:rPr>
  </w:style>
  <w:style w:type="character" w:customStyle="1" w:styleId="PlainTextChar">
    <w:name w:val="Plain Text Char"/>
    <w:basedOn w:val="DefaultParagraphFont"/>
    <w:link w:val="PlainText"/>
    <w:rsid w:val="004E7EA9"/>
    <w:rPr>
      <w:rFonts w:ascii="Courier New" w:eastAsia="Times New Roman" w:hAnsi="Courier New" w:cs="Times New Roman"/>
      <w:sz w:val="20"/>
      <w:szCs w:val="20"/>
      <w:lang w:eastAsia="en-US"/>
    </w:rPr>
  </w:style>
  <w:style w:type="character" w:customStyle="1" w:styleId="MenuOption">
    <w:name w:val="Menu Option"/>
    <w:basedOn w:val="DefaultParagraphFont"/>
    <w:rsid w:val="004E7EA9"/>
    <w:rPr>
      <w:b/>
      <w:smallCaps/>
    </w:rPr>
  </w:style>
  <w:style w:type="paragraph" w:customStyle="1" w:styleId="TableListNumber">
    <w:name w:val="Table List Number"/>
    <w:basedOn w:val="ListNumber"/>
    <w:rsid w:val="004E7EA9"/>
    <w:pPr>
      <w:numPr>
        <w:numId w:val="0"/>
      </w:numPr>
    </w:pPr>
  </w:style>
  <w:style w:type="paragraph" w:styleId="TOC4">
    <w:name w:val="toc 4"/>
    <w:basedOn w:val="TOCBase"/>
    <w:next w:val="Normal"/>
    <w:semiHidden/>
    <w:rsid w:val="004E7EA9"/>
    <w:pPr>
      <w:tabs>
        <w:tab w:val="right" w:leader="dot" w:pos="9071"/>
      </w:tabs>
      <w:ind w:left="1701"/>
    </w:pPr>
  </w:style>
  <w:style w:type="paragraph" w:customStyle="1" w:styleId="ListAlpha">
    <w:name w:val="List Alpha"/>
    <w:basedOn w:val="List"/>
    <w:rsid w:val="004E7EA9"/>
    <w:pPr>
      <w:numPr>
        <w:numId w:val="8"/>
      </w:numPr>
    </w:pPr>
  </w:style>
  <w:style w:type="paragraph" w:customStyle="1" w:styleId="ListAlpha2">
    <w:name w:val="List Alpha 2"/>
    <w:basedOn w:val="List2"/>
    <w:rsid w:val="004E7EA9"/>
    <w:pPr>
      <w:numPr>
        <w:numId w:val="7"/>
      </w:numPr>
    </w:pPr>
  </w:style>
  <w:style w:type="paragraph" w:styleId="List2">
    <w:name w:val="List 2"/>
    <w:basedOn w:val="BodyText"/>
    <w:rsid w:val="004E7EA9"/>
    <w:pPr>
      <w:tabs>
        <w:tab w:val="left" w:pos="680"/>
      </w:tabs>
      <w:spacing w:before="60" w:after="60"/>
      <w:ind w:left="680" w:hanging="340"/>
    </w:pPr>
  </w:style>
  <w:style w:type="paragraph" w:styleId="List3">
    <w:name w:val="List 3"/>
    <w:basedOn w:val="BodyText"/>
    <w:rsid w:val="004E7EA9"/>
    <w:pPr>
      <w:tabs>
        <w:tab w:val="left" w:pos="1021"/>
      </w:tabs>
      <w:spacing w:before="60" w:after="60"/>
      <w:ind w:left="1020" w:hanging="340"/>
    </w:pPr>
  </w:style>
  <w:style w:type="paragraph" w:styleId="List4">
    <w:name w:val="List 4"/>
    <w:basedOn w:val="BodyText"/>
    <w:rsid w:val="004E7EA9"/>
    <w:pPr>
      <w:tabs>
        <w:tab w:val="left" w:pos="1361"/>
      </w:tabs>
      <w:spacing w:before="60" w:after="60"/>
      <w:ind w:left="1361" w:hanging="340"/>
    </w:pPr>
  </w:style>
  <w:style w:type="paragraph" w:styleId="List5">
    <w:name w:val="List 5"/>
    <w:basedOn w:val="BodyText"/>
    <w:rsid w:val="004E7EA9"/>
    <w:pPr>
      <w:tabs>
        <w:tab w:val="left" w:pos="1701"/>
      </w:tabs>
      <w:spacing w:before="60" w:after="60"/>
      <w:ind w:left="1701" w:hanging="340"/>
    </w:pPr>
  </w:style>
  <w:style w:type="paragraph" w:styleId="ListBullet3">
    <w:name w:val="List Bullet 3"/>
    <w:basedOn w:val="List3"/>
    <w:rsid w:val="004E7EA9"/>
    <w:pPr>
      <w:numPr>
        <w:numId w:val="14"/>
      </w:numPr>
      <w:tabs>
        <w:tab w:val="clear" w:pos="1021"/>
      </w:tabs>
      <w:ind w:left="1037" w:hanging="357"/>
    </w:pPr>
  </w:style>
  <w:style w:type="paragraph" w:styleId="ListBullet4">
    <w:name w:val="List Bullet 4"/>
    <w:basedOn w:val="List4"/>
    <w:rsid w:val="004E7EA9"/>
    <w:pPr>
      <w:numPr>
        <w:numId w:val="2"/>
      </w:numPr>
    </w:pPr>
  </w:style>
  <w:style w:type="paragraph" w:styleId="ListBullet5">
    <w:name w:val="List Bullet 5"/>
    <w:basedOn w:val="List5"/>
    <w:rsid w:val="004E7EA9"/>
    <w:pPr>
      <w:numPr>
        <w:numId w:val="3"/>
      </w:numPr>
    </w:pPr>
  </w:style>
  <w:style w:type="paragraph" w:styleId="ListContinue2">
    <w:name w:val="List Continue 2"/>
    <w:basedOn w:val="List2"/>
    <w:rsid w:val="004E7EA9"/>
    <w:pPr>
      <w:ind w:firstLine="0"/>
    </w:pPr>
  </w:style>
  <w:style w:type="paragraph" w:styleId="ListContinue3">
    <w:name w:val="List Continue 3"/>
    <w:basedOn w:val="List3"/>
    <w:rsid w:val="004E7EA9"/>
    <w:pPr>
      <w:ind w:left="1021" w:firstLine="0"/>
    </w:pPr>
  </w:style>
  <w:style w:type="paragraph" w:styleId="ListContinue4">
    <w:name w:val="List Continue 4"/>
    <w:basedOn w:val="List4"/>
    <w:rsid w:val="004E7EA9"/>
    <w:pPr>
      <w:ind w:firstLine="0"/>
    </w:pPr>
  </w:style>
  <w:style w:type="paragraph" w:styleId="ListContinue5">
    <w:name w:val="List Continue 5"/>
    <w:basedOn w:val="List5"/>
    <w:rsid w:val="004E7EA9"/>
    <w:pPr>
      <w:ind w:firstLine="0"/>
    </w:pPr>
  </w:style>
  <w:style w:type="paragraph" w:styleId="ListNumber3">
    <w:name w:val="List Number 3"/>
    <w:basedOn w:val="List3"/>
    <w:rsid w:val="004E7EA9"/>
    <w:pPr>
      <w:numPr>
        <w:numId w:val="4"/>
      </w:numPr>
    </w:pPr>
  </w:style>
  <w:style w:type="paragraph" w:styleId="ListNumber4">
    <w:name w:val="List Number 4"/>
    <w:basedOn w:val="List4"/>
    <w:rsid w:val="004E7EA9"/>
    <w:pPr>
      <w:numPr>
        <w:numId w:val="5"/>
      </w:numPr>
    </w:pPr>
  </w:style>
  <w:style w:type="paragraph" w:styleId="ListNumber5">
    <w:name w:val="List Number 5"/>
    <w:basedOn w:val="List5"/>
    <w:rsid w:val="004E7EA9"/>
    <w:pPr>
      <w:numPr>
        <w:numId w:val="6"/>
      </w:numPr>
    </w:pPr>
  </w:style>
  <w:style w:type="paragraph" w:styleId="BlockText">
    <w:name w:val="Block Text"/>
    <w:basedOn w:val="Normal"/>
    <w:rsid w:val="004E7EA9"/>
    <w:pPr>
      <w:spacing w:after="120"/>
      <w:ind w:left="1440" w:right="1440"/>
    </w:pPr>
  </w:style>
  <w:style w:type="character" w:customStyle="1" w:styleId="Subscript">
    <w:name w:val="Subscript"/>
    <w:basedOn w:val="DefaultParagraphFont"/>
    <w:rsid w:val="004E7EA9"/>
    <w:rPr>
      <w:sz w:val="16"/>
      <w:vertAlign w:val="subscript"/>
    </w:rPr>
  </w:style>
  <w:style w:type="character" w:customStyle="1" w:styleId="Superscript">
    <w:name w:val="Superscript"/>
    <w:basedOn w:val="DefaultParagraphFont"/>
    <w:rsid w:val="004E7EA9"/>
    <w:rPr>
      <w:sz w:val="16"/>
      <w:vertAlign w:val="superscript"/>
    </w:rPr>
  </w:style>
  <w:style w:type="character" w:customStyle="1" w:styleId="Symbols">
    <w:name w:val="Symbols"/>
    <w:basedOn w:val="DefaultParagraphFont"/>
    <w:rsid w:val="004E7EA9"/>
    <w:rPr>
      <w:rFonts w:ascii="Symbol" w:hAnsi="Symbol"/>
    </w:rPr>
  </w:style>
  <w:style w:type="character" w:customStyle="1" w:styleId="MenuOptions">
    <w:name w:val="Menu Options"/>
    <w:basedOn w:val="DefaultParagraphFont"/>
    <w:rsid w:val="004E7EA9"/>
    <w:rPr>
      <w:rFonts w:ascii="Arial Narrow" w:hAnsi="Arial Narrow"/>
      <w:smallCaps/>
    </w:rPr>
  </w:style>
  <w:style w:type="character" w:customStyle="1" w:styleId="Buttons">
    <w:name w:val="Buttons"/>
    <w:basedOn w:val="DefaultParagraphFont"/>
    <w:rsid w:val="004E7EA9"/>
    <w:rPr>
      <w:b/>
    </w:rPr>
  </w:style>
  <w:style w:type="character" w:customStyle="1" w:styleId="Underlined">
    <w:name w:val="Underlined"/>
    <w:basedOn w:val="DefaultParagraphFont"/>
    <w:rsid w:val="004E7EA9"/>
    <w:rPr>
      <w:u w:val="single"/>
    </w:rPr>
  </w:style>
  <w:style w:type="paragraph" w:customStyle="1" w:styleId="TableBodyTextRight">
    <w:name w:val="Table Body Text Right"/>
    <w:basedOn w:val="TableBodyText"/>
    <w:rsid w:val="004E7EA9"/>
    <w:pPr>
      <w:widowControl w:val="0"/>
      <w:autoSpaceDE w:val="0"/>
      <w:autoSpaceDN w:val="0"/>
      <w:adjustRightInd w:val="0"/>
      <w:jc w:val="right"/>
    </w:pPr>
    <w:rPr>
      <w:rFonts w:cs="Arial"/>
      <w:szCs w:val="18"/>
    </w:rPr>
  </w:style>
  <w:style w:type="paragraph" w:customStyle="1" w:styleId="CopyrightText">
    <w:name w:val="Copyright Text"/>
    <w:basedOn w:val="BodyText"/>
    <w:rsid w:val="004E7EA9"/>
    <w:rPr>
      <w:sz w:val="18"/>
    </w:rPr>
  </w:style>
  <w:style w:type="paragraph" w:customStyle="1" w:styleId="BodySmallRight">
    <w:name w:val="Body Small Right"/>
    <w:basedOn w:val="BodyTextRight"/>
    <w:rsid w:val="004E7EA9"/>
    <w:rPr>
      <w:sz w:val="18"/>
      <w:szCs w:val="18"/>
    </w:rPr>
  </w:style>
  <w:style w:type="paragraph" w:customStyle="1" w:styleId="MarginEdition">
    <w:name w:val="Margin Edition"/>
    <w:basedOn w:val="MarginNote"/>
    <w:rsid w:val="004E7EA9"/>
    <w:pPr>
      <w:spacing w:before="0" w:after="0"/>
    </w:pPr>
    <w:rPr>
      <w:rFonts w:ascii="Times New Roman" w:hAnsi="Times New Roman"/>
      <w:color w:val="999999"/>
    </w:rPr>
  </w:style>
  <w:style w:type="paragraph" w:customStyle="1" w:styleId="Spacer">
    <w:name w:val="Spacer"/>
    <w:basedOn w:val="Normal"/>
    <w:rsid w:val="004E7EA9"/>
    <w:rPr>
      <w:sz w:val="2"/>
      <w:szCs w:val="2"/>
    </w:rPr>
  </w:style>
  <w:style w:type="character" w:customStyle="1" w:styleId="Small">
    <w:name w:val="Small"/>
    <w:basedOn w:val="DefaultParagraphFont"/>
    <w:rsid w:val="004E7EA9"/>
    <w:rPr>
      <w:sz w:val="16"/>
    </w:rPr>
  </w:style>
  <w:style w:type="paragraph" w:customStyle="1" w:styleId="WideTable">
    <w:name w:val="Wide Table"/>
    <w:basedOn w:val="Normal"/>
    <w:rsid w:val="004E7EA9"/>
    <w:pPr>
      <w:ind w:left="-1418"/>
    </w:pPr>
    <w:rPr>
      <w:sz w:val="2"/>
      <w:szCs w:val="2"/>
    </w:rPr>
  </w:style>
  <w:style w:type="character" w:styleId="PageNumber">
    <w:name w:val="page number"/>
    <w:basedOn w:val="DefaultParagraphFont"/>
    <w:rsid w:val="004E7EA9"/>
  </w:style>
  <w:style w:type="paragraph" w:styleId="Quote">
    <w:name w:val="Quote"/>
    <w:basedOn w:val="Heading1"/>
    <w:link w:val="QuoteChar"/>
    <w:qFormat/>
    <w:rsid w:val="004E7EA9"/>
    <w:rPr>
      <w:b w:val="0"/>
      <w:sz w:val="72"/>
      <w:szCs w:val="72"/>
      <w:lang w:val="en-NZ"/>
    </w:rPr>
  </w:style>
  <w:style w:type="character" w:customStyle="1" w:styleId="QuoteChar">
    <w:name w:val="Quote Char"/>
    <w:basedOn w:val="DefaultParagraphFont"/>
    <w:link w:val="Quote"/>
    <w:rsid w:val="004E7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EA9"/>
    <w:pPr>
      <w:pageBreakBefore/>
    </w:pPr>
  </w:style>
  <w:style w:type="paragraph" w:customStyle="1" w:styleId="Border">
    <w:name w:val="Border"/>
    <w:basedOn w:val="Normal"/>
    <w:qFormat/>
    <w:rsid w:val="004E7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EA9"/>
    <w:rPr>
      <w:b/>
      <w:bCs/>
      <w:i/>
      <w:iCs/>
      <w:color w:val="auto"/>
    </w:rPr>
  </w:style>
  <w:style w:type="paragraph" w:styleId="IntenseQuote">
    <w:name w:val="Intense Quote"/>
    <w:basedOn w:val="Normal"/>
    <w:next w:val="Normal"/>
    <w:link w:val="IntenseQuoteChar"/>
    <w:uiPriority w:val="30"/>
    <w:qFormat/>
    <w:rsid w:val="004E7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EA9"/>
    <w:rPr>
      <w:smallCaps/>
      <w:color w:val="auto"/>
      <w:u w:val="single"/>
    </w:rPr>
  </w:style>
  <w:style w:type="character" w:styleId="IntenseReference">
    <w:name w:val="Intense Reference"/>
    <w:basedOn w:val="DefaultParagraphFont"/>
    <w:uiPriority w:val="32"/>
    <w:qFormat/>
    <w:rsid w:val="004E7EA9"/>
    <w:rPr>
      <w:b/>
      <w:bCs/>
      <w:smallCaps/>
      <w:color w:val="auto"/>
      <w:spacing w:val="5"/>
      <w:u w:val="single"/>
    </w:rPr>
  </w:style>
  <w:style w:type="paragraph" w:customStyle="1" w:styleId="2ColumnHeading">
    <w:name w:val="2Column Heading"/>
    <w:basedOn w:val="BodyText"/>
    <w:qFormat/>
    <w:rsid w:val="004E7EA9"/>
    <w:pPr>
      <w:spacing w:after="60"/>
      <w:ind w:left="-2268"/>
    </w:pPr>
    <w:rPr>
      <w:b/>
    </w:rPr>
  </w:style>
  <w:style w:type="paragraph" w:customStyle="1" w:styleId="Heading1TOC">
    <w:name w:val="Heading1 TOC"/>
    <w:basedOn w:val="Normal"/>
    <w:qFormat/>
    <w:rsid w:val="004E7EA9"/>
    <w:pPr>
      <w:spacing w:before="240" w:after="120"/>
    </w:pPr>
    <w:rPr>
      <w:rFonts w:ascii="Times New Roman" w:hAnsi="Times New Roman"/>
      <w:b/>
      <w:sz w:val="32"/>
    </w:rPr>
  </w:style>
  <w:style w:type="paragraph" w:customStyle="1" w:styleId="Heading2TOC">
    <w:name w:val="Heading2 TOC"/>
    <w:basedOn w:val="Normal"/>
    <w:qFormat/>
    <w:rsid w:val="004E7EA9"/>
    <w:pPr>
      <w:spacing w:before="240" w:after="60"/>
    </w:pPr>
    <w:rPr>
      <w:rFonts w:ascii="Times New Roman" w:hAnsi="Times New Roman"/>
      <w:b/>
      <w:sz w:val="28"/>
    </w:rPr>
  </w:style>
  <w:style w:type="character" w:customStyle="1" w:styleId="Underline">
    <w:name w:val="Underline"/>
    <w:basedOn w:val="DefaultParagraphFont"/>
    <w:qFormat/>
    <w:rsid w:val="004E7EA9"/>
    <w:rPr>
      <w:u w:val="single"/>
    </w:rPr>
  </w:style>
  <w:style w:type="character" w:customStyle="1" w:styleId="BoldandItalics">
    <w:name w:val="Bold and Italics"/>
    <w:qFormat/>
    <w:rsid w:val="004E7EA9"/>
    <w:rPr>
      <w:b/>
      <w:i/>
      <w:u w:val="none"/>
    </w:rPr>
  </w:style>
  <w:style w:type="paragraph" w:styleId="BalloonText">
    <w:name w:val="Balloon Text"/>
    <w:basedOn w:val="Normal"/>
    <w:link w:val="BalloonTextChar"/>
    <w:rsid w:val="004E7EA9"/>
    <w:rPr>
      <w:rFonts w:ascii="Tahoma" w:hAnsi="Tahoma" w:cs="Tahoma"/>
      <w:sz w:val="16"/>
      <w:szCs w:val="16"/>
    </w:rPr>
  </w:style>
  <w:style w:type="character" w:customStyle="1" w:styleId="BalloonTextChar">
    <w:name w:val="Balloon Text Char"/>
    <w:basedOn w:val="DefaultParagraphFont"/>
    <w:link w:val="BalloonText"/>
    <w:rsid w:val="004E7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E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EA9"/>
    <w:rPr>
      <w:b/>
      <w:color w:val="660033"/>
      <w:spacing w:val="0"/>
    </w:rPr>
  </w:style>
  <w:style w:type="paragraph" w:customStyle="1" w:styleId="Nameditemlist">
    <w:name w:val="Named item list"/>
    <w:basedOn w:val="BodyText"/>
    <w:qFormat/>
    <w:rsid w:val="004E7E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1773</Words>
  <Characters>11762</Characters>
  <Application>Microsoft Office Word</Application>
  <DocSecurity>0</DocSecurity>
  <Lines>427</Lines>
  <Paragraphs>223</Paragraphs>
  <ScaleCrop>false</ScaleCrop>
  <Company>Author-it Software Corporation Ltd.</Company>
  <LinksUpToDate>false</LinksUpToDate>
  <CharactersWithSpaces>13432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TLIX4036A Analyse, advise on and carry out integrated border clearance transactions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2013-12-24T08:53:28Z</dcterms:created>
  <dcterms:modified xsi:type="dcterms:W3CDTF">2013-12-23T05:23:00Z</dcterms:modified>
</cp:coreProperties>
</file>