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2319" w:rsidP="00862319">
      <w:pPr>
        <w:pStyle w:val="Title"/>
      </w:pPr>
      <w:r>
        <w:fldChar w:fldCharType="begin"/>
      </w:r>
      <w:r>
        <w:instrText xml:space="preserve"> TITLE   \* MERGEFORMAT </w:instrText>
      </w:r>
      <w:r>
        <w:fldChar w:fldCharType="separate"/>
      </w:r>
      <w:r>
        <w:t>TLIX4034A Apply technical risk management systems and techniques</w:t>
      </w:r>
      <w:r>
        <w:fldChar w:fldCharType="end"/>
      </w:r>
    </w:p>
    <w:p w:rsidR="00862319" w:rsidP="00862319">
      <w:pPr>
        <w:pStyle w:val="Version"/>
        <w:sectPr w:rsidSect="001335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35F0" w:rsidP="001335F0">
      <w:pPr>
        <w:pStyle w:val="SuperHeading"/>
      </w:pPr>
      <w:r w:rsidRPr="001335F0">
        <w:t>TLIX4034A Apply technical risk management systems and techniques</w:t>
      </w:r>
    </w:p>
    <w:p w:rsidR="00000000" w:rsidRPr="001335F0" w:rsidP="001335F0">
      <w:pPr>
        <w:pStyle w:val="Heading1"/>
      </w:pPr>
      <w:bookmarkStart w:id="1" w:name="O_274394"/>
      <w:bookmarkEnd w:id="1"/>
      <w:r w:rsidRPr="001335F0">
        <w:t>Modification History</w:t>
      </w:r>
    </w:p>
    <w:p w:rsidR="00000000" w:rsidRPr="001335F0" w:rsidP="001335F0">
      <w:pPr>
        <w:pStyle w:val="BodyText"/>
      </w:pPr>
      <w:r w:rsidRPr="001335F0">
        <w:t>Not Applicable</w:t>
      </w:r>
    </w:p>
    <w:p w:rsidR="00000000" w:rsidRPr="001335F0" w:rsidP="001335F0">
      <w:pPr>
        <w:pStyle w:val="AllowPageBreak"/>
      </w:pPr>
    </w:p>
    <w:p w:rsidR="00000000" w:rsidRPr="001335F0" w:rsidP="001335F0">
      <w:pPr>
        <w:pStyle w:val="Heading1"/>
      </w:pPr>
      <w:bookmarkStart w:id="2" w:name="O_224638"/>
      <w:bookmarkEnd w:id="2"/>
      <w:r w:rsidRPr="001335F0">
        <w:t>Unit Descriptor</w:t>
      </w:r>
    </w:p>
    <w:tbl>
      <w:tblPr>
        <w:tblW w:w="9640" w:type="dxa"/>
        <w:tblLayout w:type="fixed"/>
        <w:tblCellMar>
          <w:left w:w="62" w:type="dxa"/>
          <w:right w:w="62" w:type="dxa"/>
        </w:tblCellMar>
        <w:tblLook w:val="0000"/>
      </w:tblPr>
      <w:tblGrid>
        <w:gridCol w:w="2978"/>
        <w:gridCol w:w="6662"/>
      </w:tblGrid>
      <w:tr w:rsidTr="008623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1335F0" w:rsidP="001335F0">
            <w:pPr>
              <w:pStyle w:val="BodyText"/>
            </w:pPr>
            <w:r w:rsidRPr="001335F0">
              <w:t>This unit involves the skills and knowledge required to assist with aspect</w:t>
            </w:r>
            <w:r w:rsidRPr="001335F0">
              <w:t>s of risk management in relation to the technical integrity of an organisation's materiel. It specifically involves assisting in the planning, control and review of risks associated with the organisation's materiel. There are no specific licensing or certi</w:t>
            </w:r>
            <w:r w:rsidRPr="001335F0">
              <w:t>fication requirements applicable to this unit.</w:t>
            </w:r>
          </w:p>
        </w:tc>
      </w:tr>
    </w:tbl>
    <w:p w:rsidR="00862319" w:rsidP="001335F0">
      <w:pPr>
        <w:pStyle w:val="BodyText"/>
      </w:pPr>
    </w:p>
    <w:p w:rsidR="00862319" w:rsidP="001335F0">
      <w:pPr>
        <w:pStyle w:val="BodyText"/>
      </w:pPr>
    </w:p>
    <w:p w:rsidR="00000000" w:rsidRPr="001335F0" w:rsidP="001335F0">
      <w:pPr>
        <w:pStyle w:val="Heading1"/>
      </w:pPr>
      <w:bookmarkStart w:id="3" w:name="O_224640"/>
      <w:bookmarkEnd w:id="3"/>
      <w:r w:rsidRPr="001335F0">
        <w:t>Application of the Unit</w:t>
      </w:r>
    </w:p>
    <w:tbl>
      <w:tblPr>
        <w:tblW w:w="9640" w:type="dxa"/>
        <w:tblLayout w:type="fixed"/>
        <w:tblCellMar>
          <w:left w:w="62" w:type="dxa"/>
          <w:right w:w="62" w:type="dxa"/>
        </w:tblCellMar>
        <w:tblLook w:val="0000"/>
      </w:tblPr>
      <w:tblGrid>
        <w:gridCol w:w="2978"/>
        <w:gridCol w:w="6662"/>
      </w:tblGrid>
      <w:tr w:rsidTr="008623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1335F0" w:rsidP="001335F0">
            <w:pPr>
              <w:pStyle w:val="BodyText"/>
            </w:pPr>
            <w:r w:rsidRPr="001335F0">
              <w:t xml:space="preserve">This unit was developed for technical regulatory framework specialists working within materiel logistics but is applicable to any individual </w:t>
            </w:r>
            <w:r w:rsidRPr="001335F0">
              <w:t>in this field of work.</w:t>
            </w:r>
          </w:p>
          <w:p w:rsidR="00000000" w:rsidRPr="001335F0" w:rsidP="001335F0">
            <w:pPr>
              <w:pStyle w:val="BodyText"/>
            </w:pPr>
            <w:r w:rsidRPr="001335F0">
              <w:t>Typically these individuals must demonstrate the ability to work independently or as part of a team under direct and/or indirect supervision, use discretion and judgement, and take responsibility for the quality of their outputs. All</w:t>
            </w:r>
            <w:r w:rsidRPr="001335F0">
              <w:t xml:space="preserve"> activities are carried out in accordance with relevant organisational policy and procedures.</w:t>
            </w:r>
          </w:p>
        </w:tc>
      </w:tr>
    </w:tbl>
    <w:p w:rsidR="00862319" w:rsidP="001335F0">
      <w:pPr>
        <w:pStyle w:val="BodyText"/>
      </w:pPr>
    </w:p>
    <w:p w:rsidR="00862319" w:rsidP="001335F0">
      <w:pPr>
        <w:pStyle w:val="BodyText"/>
      </w:pPr>
    </w:p>
    <w:p w:rsidR="00000000" w:rsidRPr="001335F0" w:rsidP="001335F0">
      <w:pPr>
        <w:pStyle w:val="Heading1"/>
      </w:pPr>
      <w:bookmarkStart w:id="4" w:name="O_282654"/>
      <w:bookmarkEnd w:id="4"/>
      <w:r w:rsidRPr="001335F0">
        <w:t>Licensing/Regulatory Information</w:t>
      </w:r>
    </w:p>
    <w:p w:rsidR="00000000" w:rsidRPr="001335F0" w:rsidP="001335F0">
      <w:pPr>
        <w:pStyle w:val="BodyText"/>
      </w:pPr>
      <w:r w:rsidRPr="001335F0">
        <w:t>Refer to Unit Descriptor</w:t>
      </w:r>
    </w:p>
    <w:p w:rsidR="00000000" w:rsidRPr="001335F0" w:rsidP="001335F0">
      <w:pPr>
        <w:pStyle w:val="AllowPageBreak"/>
      </w:pPr>
    </w:p>
    <w:p w:rsidR="00000000" w:rsidRPr="001335F0" w:rsidP="001335F0">
      <w:pPr>
        <w:pStyle w:val="Heading1"/>
      </w:pPr>
      <w:bookmarkStart w:id="5" w:name="O_285104"/>
      <w:bookmarkEnd w:id="5"/>
      <w:r w:rsidRPr="001335F0">
        <w:t>Pre-Requisites</w:t>
      </w:r>
    </w:p>
    <w:p w:rsidR="00000000" w:rsidRPr="001335F0" w:rsidP="001335F0">
      <w:pPr>
        <w:pStyle w:val="BodyText"/>
      </w:pPr>
      <w:r w:rsidRPr="001335F0">
        <w:t>Not Applicable</w:t>
      </w:r>
    </w:p>
    <w:p w:rsidR="00000000" w:rsidRPr="001335F0" w:rsidP="001335F0">
      <w:pPr>
        <w:pStyle w:val="AllowPageBreak"/>
      </w:pPr>
    </w:p>
    <w:p w:rsidR="00000000" w:rsidRPr="001335F0" w:rsidP="001335F0">
      <w:pPr>
        <w:pStyle w:val="Heading1"/>
      </w:pPr>
      <w:bookmarkStart w:id="6" w:name="O_224639"/>
      <w:bookmarkEnd w:id="6"/>
      <w:r w:rsidRPr="001335F0">
        <w:t>Employability Skills Information</w:t>
      </w:r>
    </w:p>
    <w:tbl>
      <w:tblPr>
        <w:tblW w:w="9640" w:type="dxa"/>
        <w:tblLayout w:type="fixed"/>
        <w:tblCellMar>
          <w:left w:w="62" w:type="dxa"/>
          <w:right w:w="62" w:type="dxa"/>
        </w:tblCellMar>
        <w:tblLook w:val="0000"/>
      </w:tblPr>
      <w:tblGrid>
        <w:gridCol w:w="2978"/>
        <w:gridCol w:w="6662"/>
      </w:tblGrid>
      <w:tr w:rsidTr="0086231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1335F0" w:rsidP="001335F0">
            <w:pPr>
              <w:pStyle w:val="BodyText"/>
            </w:pPr>
            <w:r w:rsidRPr="001335F0">
              <w:t>This unit contains employability skills.</w:t>
            </w:r>
          </w:p>
        </w:tc>
      </w:tr>
    </w:tbl>
    <w:p w:rsidR="00862319" w:rsidP="001335F0">
      <w:pPr>
        <w:pStyle w:val="BodyText"/>
      </w:pPr>
    </w:p>
    <w:p w:rsidR="00862319" w:rsidP="001335F0">
      <w:pPr>
        <w:pStyle w:val="BodyText"/>
      </w:pPr>
    </w:p>
    <w:p w:rsidR="00000000" w:rsidRPr="001335F0" w:rsidP="001335F0">
      <w:pPr>
        <w:pStyle w:val="Heading1"/>
      </w:pPr>
      <w:bookmarkStart w:id="7" w:name="O_292440"/>
      <w:bookmarkEnd w:id="7"/>
      <w:r w:rsidRPr="001335F0">
        <w:t>Elements and Performance Criteria Pre-Content</w:t>
      </w:r>
    </w:p>
    <w:tbl>
      <w:tblPr>
        <w:tblW w:w="9640" w:type="dxa"/>
        <w:tblLayout w:type="fixed"/>
        <w:tblCellMar>
          <w:left w:w="62" w:type="dxa"/>
          <w:right w:w="62" w:type="dxa"/>
        </w:tblCellMar>
        <w:tblLook w:val="0000"/>
      </w:tblPr>
      <w:tblGrid>
        <w:gridCol w:w="2978"/>
        <w:gridCol w:w="6662"/>
      </w:tblGrid>
      <w:tr w:rsidTr="008623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1335F0" w:rsidP="001335F0">
            <w:pPr>
              <w:pStyle w:val="BodyText"/>
            </w:pPr>
            <w:r w:rsidRPr="001335F0">
              <w:t>Performance criteria describe the required performance needed to demonstrate achievement of the element. Assessment of performance is to be consistent with the evidence guide.</w:t>
            </w:r>
          </w:p>
        </w:tc>
      </w:tr>
    </w:tbl>
    <w:p w:rsidR="00000000" w:rsidRPr="001335F0" w:rsidP="001335F0">
      <w:pPr>
        <w:pStyle w:val="BodyText"/>
      </w:pPr>
    </w:p>
    <w:p w:rsidR="00000000" w:rsidRPr="001335F0" w:rsidP="001335F0">
      <w:pPr>
        <w:pStyle w:val="AllowPageBreak"/>
      </w:pPr>
    </w:p>
    <w:p w:rsidR="00000000" w:rsidRPr="001335F0" w:rsidP="001335F0">
      <w:pPr>
        <w:pStyle w:val="Heading1"/>
      </w:pPr>
      <w:bookmarkStart w:id="8" w:name="O_239108"/>
      <w:bookmarkEnd w:id="8"/>
      <w:r w:rsidRPr="001335F0">
        <w:t>Elements and Performance Criteria</w:t>
      </w:r>
    </w:p>
    <w:tbl>
      <w:tblPr>
        <w:tblW w:w="9640" w:type="dxa"/>
        <w:tblLayout w:type="fixed"/>
        <w:tblCellMar>
          <w:left w:w="62" w:type="dxa"/>
          <w:right w:w="62" w:type="dxa"/>
        </w:tblCellMar>
        <w:tblLook w:val="0000"/>
      </w:tblPr>
      <w:tblGrid>
        <w:gridCol w:w="2978"/>
        <w:gridCol w:w="6662"/>
      </w:tblGrid>
      <w:tr w:rsidTr="0086231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1335F0" w:rsidP="001335F0">
            <w:pPr>
              <w:pStyle w:val="List"/>
            </w:pPr>
            <w:r w:rsidRPr="001335F0">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1335F0">
            <w:pPr>
              <w:pStyle w:val="List"/>
              <w:rPr>
                <w:lang w:val="en-NZ"/>
              </w:rPr>
            </w:pPr>
            <w:r w:rsidRPr="001335F0">
              <w:rPr>
                <w:rStyle w:val="SpecialBold"/>
              </w:rPr>
              <w:t>PERFORMANCE CRITERI</w:t>
            </w:r>
            <w:r w:rsidRPr="001335F0">
              <w:rPr>
                <w:rStyle w:val="SpecialBold"/>
              </w:rPr>
              <w:t>A</w:t>
            </w:r>
          </w:p>
        </w:tc>
      </w:tr>
      <w:tr w:rsidTr="008623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35F0">
            <w:pPr>
              <w:pStyle w:val="List"/>
              <w:rPr>
                <w:lang w:val="en-NZ"/>
              </w:rPr>
            </w:pPr>
            <w:r w:rsidRPr="001335F0">
              <w:rPr>
                <w:rStyle w:val="SpecialBold"/>
              </w:rPr>
              <w:t>1</w:t>
            </w:r>
            <w:r w:rsidRPr="001335F0">
              <w:tab/>
            </w:r>
            <w:r w:rsidRPr="001335F0">
              <w:rPr>
                <w:rStyle w:val="SpecialBold"/>
              </w:rPr>
              <w:t>Assist with risk analysis and planning</w:t>
            </w:r>
          </w:p>
        </w:tc>
        <w:tc>
          <w:tcPr>
            <w:tcW w:w="6662" w:type="dxa"/>
            <w:tcBorders>
              <w:top w:val="nil"/>
              <w:left w:val="nil"/>
              <w:bottom w:val="nil"/>
              <w:right w:val="nil"/>
            </w:tcBorders>
            <w:tcMar>
              <w:top w:w="0" w:type="dxa"/>
              <w:left w:w="62" w:type="dxa"/>
              <w:bottom w:w="0" w:type="dxa"/>
              <w:right w:w="62" w:type="dxa"/>
            </w:tcMar>
          </w:tcPr>
          <w:p w:rsidR="00000000" w:rsidRPr="001335F0" w:rsidP="001335F0">
            <w:pPr>
              <w:pStyle w:val="List"/>
            </w:pPr>
            <w:r w:rsidRPr="001335F0">
              <w:t>1.1</w:t>
            </w:r>
            <w:r w:rsidRPr="001335F0">
              <w:tab/>
              <w:t>Contribution is made to identify and prioritise risks to the technical integrity of the organisation's materiel</w:t>
            </w:r>
          </w:p>
          <w:p w:rsidR="00000000" w:rsidRPr="001335F0" w:rsidP="001335F0">
            <w:pPr>
              <w:pStyle w:val="List"/>
            </w:pPr>
            <w:r w:rsidRPr="001335F0">
              <w:t>1.2</w:t>
            </w:r>
            <w:r w:rsidRPr="001335F0">
              <w:tab/>
            </w:r>
            <w:r w:rsidRPr="001335F0">
              <w:t>Within delegated technical/engineering authority, input is provided to develop risk management strategies and risk management plans within established guidelines</w:t>
            </w:r>
          </w:p>
          <w:p w:rsidR="00000000" w:rsidRPr="001335F0" w:rsidP="001335F0">
            <w:pPr>
              <w:pStyle w:val="List"/>
            </w:pPr>
            <w:r w:rsidRPr="001335F0">
              <w:t>1.3</w:t>
            </w:r>
            <w:r w:rsidRPr="001335F0">
              <w:tab/>
              <w:t>Established risk analysis methods, techniques and tools are used to assist in the analysis</w:t>
            </w:r>
            <w:r w:rsidRPr="001335F0">
              <w:t xml:space="preserve"> of risks in accordance with organisational plans</w:t>
            </w:r>
          </w:p>
          <w:p w:rsidR="00000000" w:rsidP="001335F0">
            <w:pPr>
              <w:pStyle w:val="List"/>
              <w:rPr>
                <w:lang w:val="en-NZ"/>
              </w:rPr>
            </w:pPr>
            <w:r w:rsidRPr="001335F0">
              <w:t>1.4</w:t>
            </w:r>
            <w:r w:rsidRPr="001335F0">
              <w:tab/>
              <w:t>Reporting mechanisms for risks to technical integrity are incorporated, in accordance with organisational plans</w:t>
            </w:r>
          </w:p>
        </w:tc>
      </w:tr>
      <w:tr w:rsidTr="008623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35F0">
            <w:pPr>
              <w:pStyle w:val="List"/>
              <w:rPr>
                <w:lang w:val="en-NZ"/>
              </w:rPr>
            </w:pPr>
            <w:r w:rsidRPr="001335F0">
              <w:rPr>
                <w:rStyle w:val="SpecialBold"/>
              </w:rPr>
              <w:t>2</w:t>
            </w:r>
            <w:r w:rsidRPr="001335F0">
              <w:tab/>
            </w:r>
            <w:r w:rsidRPr="001335F0">
              <w:rPr>
                <w:rStyle w:val="SpecialBold"/>
              </w:rPr>
              <w:t>Conduct risk control activities</w:t>
            </w:r>
          </w:p>
        </w:tc>
        <w:tc>
          <w:tcPr>
            <w:tcW w:w="6662" w:type="dxa"/>
            <w:tcBorders>
              <w:top w:val="nil"/>
              <w:left w:val="nil"/>
              <w:bottom w:val="nil"/>
              <w:right w:val="nil"/>
            </w:tcBorders>
            <w:tcMar>
              <w:top w:w="0" w:type="dxa"/>
              <w:left w:w="62" w:type="dxa"/>
              <w:bottom w:w="0" w:type="dxa"/>
              <w:right w:w="62" w:type="dxa"/>
            </w:tcMar>
          </w:tcPr>
          <w:p w:rsidR="00000000" w:rsidRPr="001335F0" w:rsidP="001335F0">
            <w:pPr>
              <w:pStyle w:val="List"/>
            </w:pPr>
            <w:r w:rsidRPr="001335F0">
              <w:t>2.1</w:t>
            </w:r>
            <w:r w:rsidRPr="001335F0">
              <w:tab/>
              <w:t>Risk control activities are undertaken in accordanc</w:t>
            </w:r>
            <w:r w:rsidRPr="001335F0">
              <w:t>e with organisational plans</w:t>
            </w:r>
          </w:p>
          <w:p w:rsidR="00000000" w:rsidRPr="001335F0" w:rsidP="001335F0">
            <w:pPr>
              <w:pStyle w:val="List"/>
            </w:pPr>
            <w:r w:rsidRPr="001335F0">
              <w:t>2.2</w:t>
            </w:r>
            <w:r w:rsidRPr="001335F0">
              <w:tab/>
              <w:t>Risks to technical integrity are acted on within technical/engineering authority or reported to others for response</w:t>
            </w:r>
          </w:p>
          <w:p w:rsidR="00000000" w:rsidRPr="001335F0" w:rsidP="001335F0">
            <w:pPr>
              <w:pStyle w:val="List"/>
            </w:pPr>
            <w:r w:rsidRPr="001335F0">
              <w:t>2.3</w:t>
            </w:r>
            <w:r w:rsidRPr="001335F0">
              <w:tab/>
              <w:t>Contribution is made to the implementation of agreed risk approaches and the amendment of plans to refle</w:t>
            </w:r>
            <w:r w:rsidRPr="001335F0">
              <w:t>ct the changing context</w:t>
            </w:r>
          </w:p>
          <w:p w:rsidR="00000000" w:rsidP="001335F0">
            <w:pPr>
              <w:pStyle w:val="List"/>
              <w:rPr>
                <w:lang w:val="en-NZ"/>
              </w:rPr>
            </w:pPr>
            <w:r w:rsidRPr="001335F0">
              <w:t>2.4</w:t>
            </w:r>
            <w:r w:rsidRPr="001335F0">
              <w:tab/>
              <w:t>Opportunities are identified and reported for action in the same way as risks</w:t>
            </w:r>
          </w:p>
        </w:tc>
      </w:tr>
      <w:tr w:rsidTr="00862319">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1335F0">
            <w:pPr>
              <w:pStyle w:val="List"/>
              <w:rPr>
                <w:lang w:val="en-NZ"/>
              </w:rPr>
            </w:pPr>
            <w:r w:rsidRPr="001335F0">
              <w:rPr>
                <w:rStyle w:val="SpecialBold"/>
              </w:rPr>
              <w:t>3</w:t>
            </w:r>
            <w:r w:rsidRPr="001335F0">
              <w:tab/>
            </w:r>
            <w:r w:rsidRPr="001335F0">
              <w:rPr>
                <w:rStyle w:val="SpecialBold"/>
              </w:rPr>
              <w:t>Contribute to assessing risk management outcomes</w:t>
            </w:r>
          </w:p>
        </w:tc>
        <w:tc>
          <w:tcPr>
            <w:tcW w:w="6662" w:type="dxa"/>
            <w:tcBorders>
              <w:top w:val="nil"/>
              <w:left w:val="nil"/>
              <w:bottom w:val="nil"/>
              <w:right w:val="nil"/>
            </w:tcBorders>
            <w:tcMar>
              <w:top w:w="0" w:type="dxa"/>
              <w:left w:w="62" w:type="dxa"/>
              <w:bottom w:w="0" w:type="dxa"/>
              <w:right w:w="62" w:type="dxa"/>
            </w:tcMar>
          </w:tcPr>
          <w:p w:rsidR="00000000" w:rsidRPr="001335F0" w:rsidP="001335F0">
            <w:pPr>
              <w:pStyle w:val="List"/>
            </w:pPr>
            <w:r w:rsidRPr="001335F0">
              <w:t>3.1</w:t>
            </w:r>
            <w:r w:rsidRPr="001335F0">
              <w:tab/>
              <w:t>Contribution is made to the ongoing review of the technical integrity of organisational materi</w:t>
            </w:r>
            <w:r w:rsidRPr="001335F0">
              <w:t>el to determine the effectiveness of risk management activities by accessing data and available information</w:t>
            </w:r>
          </w:p>
          <w:p w:rsidR="00000000" w:rsidRPr="001335F0" w:rsidP="001335F0">
            <w:pPr>
              <w:pStyle w:val="List"/>
            </w:pPr>
            <w:r w:rsidRPr="001335F0">
              <w:t>3.2</w:t>
            </w:r>
            <w:r w:rsidRPr="001335F0">
              <w:tab/>
              <w:t>Risk management issues and responses are reported to others for lessons learned or application in future technical/engineering activities</w:t>
            </w:r>
          </w:p>
        </w:tc>
      </w:tr>
    </w:tbl>
    <w:p w:rsidR="00862319" w:rsidP="001335F0">
      <w:pPr>
        <w:pStyle w:val="BodyText"/>
      </w:pPr>
    </w:p>
    <w:p w:rsidR="00862319" w:rsidP="001335F0">
      <w:pPr>
        <w:pStyle w:val="BodyText"/>
      </w:pPr>
    </w:p>
    <w:p w:rsidR="00000000" w:rsidRPr="001335F0" w:rsidP="001335F0">
      <w:pPr>
        <w:pStyle w:val="Heading1"/>
      </w:pPr>
      <w:bookmarkStart w:id="9" w:name="O_262899"/>
      <w:bookmarkEnd w:id="9"/>
      <w:r w:rsidRPr="001335F0">
        <w:t>Required Skills and Knowledge</w:t>
      </w:r>
    </w:p>
    <w:tbl>
      <w:tblPr>
        <w:tblW w:w="9640" w:type="dxa"/>
        <w:tblLayout w:type="fixed"/>
        <w:tblCellMar>
          <w:left w:w="62" w:type="dxa"/>
          <w:right w:w="62" w:type="dxa"/>
        </w:tblCellMar>
        <w:tblLook w:val="0000"/>
      </w:tblPr>
      <w:tblGrid>
        <w:gridCol w:w="9640"/>
      </w:tblGrid>
      <w:tr w:rsidTr="0086231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REQUIRED KNOWLEDGE AND SKILLS</w:t>
            </w:r>
          </w:p>
        </w:tc>
      </w:tr>
      <w:tr w:rsidTr="008623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This describes the essential knowledge and skills and their level required for this unit.</w:t>
            </w:r>
          </w:p>
        </w:tc>
      </w:tr>
      <w:tr w:rsidTr="008623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Required knowledge</w:t>
            </w:r>
            <w:r w:rsidRPr="001335F0">
              <w:t>:</w:t>
            </w:r>
          </w:p>
        </w:tc>
      </w:tr>
      <w:tr w:rsidTr="008623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5F0">
            <w:pPr>
              <w:pStyle w:val="ListBullet"/>
              <w:rPr>
                <w:lang w:val="en-NZ"/>
              </w:rPr>
            </w:pPr>
            <w:r w:rsidRPr="001335F0">
              <w:t>Risk management as applied in a technical/engineering context, including principles, tools, techniques, standards and processes</w:t>
            </w:r>
          </w:p>
        </w:tc>
      </w:tr>
      <w:tr w:rsidTr="008623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Technical regulatory framework, organisation's engineering management plan and risk management plan</w:t>
            </w:r>
          </w:p>
        </w:tc>
      </w:tr>
    </w:tbl>
    <w:p w:rsidR="00000000" w:rsidRPr="001335F0" w:rsidP="001335F0">
      <w:pPr>
        <w:pStyle w:val="BodyText"/>
      </w:pPr>
    </w:p>
    <w:tbl>
      <w:tblPr>
        <w:tblW w:w="9640" w:type="dxa"/>
        <w:tblLayout w:type="fixed"/>
        <w:tblCellMar>
          <w:left w:w="62" w:type="dxa"/>
          <w:right w:w="62" w:type="dxa"/>
        </w:tblCellMar>
        <w:tblLook w:val="0000"/>
      </w:tblPr>
      <w:tblGrid>
        <w:gridCol w:w="9640"/>
      </w:tblGrid>
      <w:tr w:rsidTr="00862319">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Required skills</w:t>
            </w:r>
            <w:r w:rsidRPr="001335F0">
              <w:t>:</w:t>
            </w:r>
          </w:p>
        </w:tc>
      </w:tr>
      <w:tr w:rsidTr="008623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5F0">
            <w:pPr>
              <w:pStyle w:val="ListBullet"/>
              <w:rPr>
                <w:lang w:val="en-NZ"/>
              </w:rPr>
            </w:pPr>
            <w:r w:rsidRPr="001335F0">
              <w:t>Apply safety, legislative and statutory requirements, including environmental, sustainability issues relevant to technical risk management</w:t>
            </w:r>
          </w:p>
        </w:tc>
      </w:tr>
      <w:tr w:rsidTr="008623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5F0">
            <w:pPr>
              <w:pStyle w:val="ListBullet"/>
              <w:rPr>
                <w:lang w:val="en-NZ"/>
              </w:rPr>
            </w:pPr>
            <w:r w:rsidRPr="001335F0">
              <w:t>Apply technical risk management knowledge relevant to work being performed</w:t>
            </w:r>
          </w:p>
        </w:tc>
      </w:tr>
      <w:tr w:rsidTr="008623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5F0">
            <w:pPr>
              <w:pStyle w:val="ListBullet"/>
              <w:rPr>
                <w:lang w:val="en-NZ"/>
              </w:rPr>
            </w:pPr>
            <w:r w:rsidRPr="001335F0">
              <w:t>Interpret organisational role relevant</w:t>
            </w:r>
            <w:r w:rsidRPr="001335F0">
              <w:t xml:space="preserve"> to technical risk management</w:t>
            </w:r>
          </w:p>
        </w:tc>
      </w:tr>
      <w:tr w:rsidTr="008623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1335F0">
            <w:pPr>
              <w:pStyle w:val="ListBullet"/>
              <w:rPr>
                <w:lang w:val="en-NZ"/>
              </w:rPr>
            </w:pPr>
            <w:r w:rsidRPr="001335F0">
              <w:t>Operate equipment and systems relevant to technical risk management activities</w:t>
            </w:r>
          </w:p>
        </w:tc>
      </w:tr>
      <w:tr w:rsidTr="00862319">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Use appropriate information technology and software</w:t>
            </w:r>
          </w:p>
        </w:tc>
      </w:tr>
    </w:tbl>
    <w:p w:rsidR="00862319" w:rsidP="001335F0">
      <w:pPr>
        <w:pStyle w:val="BodyText"/>
      </w:pPr>
    </w:p>
    <w:p w:rsidR="00862319" w:rsidP="001335F0">
      <w:pPr>
        <w:pStyle w:val="BodyText"/>
      </w:pPr>
    </w:p>
    <w:p w:rsidR="00000000" w:rsidRPr="001335F0" w:rsidP="001335F0">
      <w:pPr>
        <w:pStyle w:val="Heading1"/>
      </w:pPr>
      <w:bookmarkStart w:id="10" w:name="O_247092"/>
      <w:bookmarkEnd w:id="10"/>
      <w:r w:rsidRPr="001335F0">
        <w:t>Evidence Guide</w:t>
      </w:r>
    </w:p>
    <w:tbl>
      <w:tblPr>
        <w:tblW w:w="9499" w:type="dxa"/>
        <w:tblLayout w:type="fixed"/>
        <w:tblCellMar>
          <w:left w:w="62" w:type="dxa"/>
          <w:right w:w="62" w:type="dxa"/>
        </w:tblCellMar>
        <w:tblLook w:val="0000"/>
      </w:tblPr>
      <w:tblGrid>
        <w:gridCol w:w="3524"/>
        <w:gridCol w:w="5975"/>
      </w:tblGrid>
      <w:tr w:rsidTr="00862319">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EVIDENCE GUIDE</w:t>
            </w:r>
          </w:p>
        </w:tc>
      </w:tr>
      <w:tr w:rsidTr="00862319">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The evidence guide provides advice</w:t>
            </w:r>
            <w:r w:rsidRPr="001335F0">
              <w:t xml:space="preserve"> on assessment and must be read in conjunction with the performance criteria, required knowledge and skills, the range statement and the assessment guidelines for this Training Package.</w:t>
            </w:r>
          </w:p>
        </w:tc>
      </w:tr>
      <w:tr w:rsidTr="0086231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Critical aspects for assessment and evidence required to demonstrate</w:t>
            </w:r>
            <w:r w:rsidRPr="001335F0">
              <w:rPr>
                <w:rStyle w:val="SpecialBold"/>
              </w:rPr>
              <w:t xml:space="preserve"> competency in this unit</w:t>
            </w:r>
          </w:p>
        </w:tc>
        <w:tc>
          <w:tcPr>
            <w:tcW w:w="5975"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Assessment must confirm the ability to:</w:t>
            </w:r>
          </w:p>
          <w:p w:rsidR="00000000" w:rsidRPr="001335F0" w:rsidP="001335F0">
            <w:pPr>
              <w:pStyle w:val="ListBullet2"/>
            </w:pPr>
            <w:r w:rsidRPr="001335F0">
              <w:t>adhere to and apply relevant data collection, storage and retrieval requirements</w:t>
            </w:r>
          </w:p>
          <w:p w:rsidR="00000000" w:rsidRPr="001335F0" w:rsidP="001335F0">
            <w:pPr>
              <w:pStyle w:val="ListBullet2"/>
            </w:pPr>
            <w:r w:rsidRPr="001335F0">
              <w:t>apply knowledge of technical risk management systems to assist in work and to guide problem solving</w:t>
            </w:r>
          </w:p>
          <w:p w:rsidR="00000000" w:rsidRPr="001335F0" w:rsidP="001335F0">
            <w:pPr>
              <w:pStyle w:val="ListBullet2"/>
            </w:pPr>
            <w:r w:rsidRPr="001335F0">
              <w:t>demonstrate understanding of personal role in relation to wider organisational or project context</w:t>
            </w:r>
          </w:p>
          <w:p w:rsidR="00000000" w:rsidRPr="001335F0" w:rsidP="001335F0">
            <w:pPr>
              <w:pStyle w:val="ListBullet"/>
            </w:pPr>
            <w:r w:rsidRPr="001335F0">
              <w:t>Competency should be demonstrated over time and should be observed in a range of actual or simulated work contexts</w:t>
            </w:r>
          </w:p>
          <w:p w:rsidR="00000000" w:rsidRPr="001335F0" w:rsidP="001335F0">
            <w:pPr>
              <w:pStyle w:val="ListBullet"/>
            </w:pPr>
            <w:r w:rsidRPr="001335F0">
              <w:t>Consistency in performance and evidence th</w:t>
            </w:r>
            <w:r w:rsidRPr="001335F0">
              <w:t>at candidates have contributed to the management of risk within projects includes applying, within authority, the requirements of the job or work role in relation to:</w:t>
            </w:r>
          </w:p>
          <w:p w:rsidR="00000000" w:rsidRPr="001335F0" w:rsidP="001335F0">
            <w:pPr>
              <w:pStyle w:val="ListBullet2"/>
            </w:pPr>
            <w:r w:rsidRPr="001335F0">
              <w:t>implementing, monitoring, and successfully completing risk management activities</w:t>
            </w:r>
          </w:p>
          <w:p w:rsidR="00000000" w:rsidRPr="001335F0" w:rsidP="001335F0">
            <w:pPr>
              <w:pStyle w:val="ListBullet2"/>
            </w:pPr>
            <w:r w:rsidRPr="001335F0">
              <w:t>contrib</w:t>
            </w:r>
            <w:r w:rsidRPr="001335F0">
              <w:t>uting to reports of results</w:t>
            </w:r>
          </w:p>
          <w:p w:rsidR="00000000" w:rsidRPr="001335F0" w:rsidP="001335F0">
            <w:pPr>
              <w:pStyle w:val="ListBullet2"/>
            </w:pPr>
            <w:r w:rsidRPr="001335F0">
              <w:t>completing work area housekeeping requirements including the documentation of risk management activity and process outcomes</w:t>
            </w:r>
          </w:p>
          <w:p w:rsidR="00000000" w:rsidRPr="001335F0" w:rsidP="001335F0">
            <w:pPr>
              <w:pStyle w:val="ListBullet2"/>
            </w:pPr>
            <w:r w:rsidRPr="001335F0">
              <w:t>identifying risk</w:t>
            </w:r>
          </w:p>
          <w:p w:rsidR="00000000" w:rsidRPr="001335F0" w:rsidP="001335F0">
            <w:pPr>
              <w:pStyle w:val="ListBullet2"/>
            </w:pPr>
            <w:r w:rsidRPr="001335F0">
              <w:t>controlling risks</w:t>
            </w:r>
          </w:p>
          <w:p w:rsidR="00000000" w:rsidRPr="001335F0" w:rsidP="001335F0">
            <w:pPr>
              <w:pStyle w:val="ListBullet2"/>
            </w:pPr>
            <w:r w:rsidRPr="001335F0">
              <w:t>developing risk management strategies</w:t>
            </w:r>
          </w:p>
          <w:p w:rsidR="00000000" w:rsidRPr="001335F0" w:rsidP="001335F0">
            <w:pPr>
              <w:pStyle w:val="ListBullet2"/>
            </w:pPr>
            <w:r w:rsidRPr="001335F0">
              <w:t>modifying activities to cater f</w:t>
            </w:r>
            <w:r w:rsidRPr="001335F0">
              <w:t>or variations in workplace context and environment</w:t>
            </w:r>
          </w:p>
          <w:p w:rsidR="00000000" w:rsidRPr="001335F0" w:rsidP="001335F0">
            <w:pPr>
              <w:pStyle w:val="ListBullet2"/>
            </w:pPr>
            <w:r w:rsidRPr="001335F0">
              <w:t>monitoring risks (with emphasis on variation management)</w:t>
            </w:r>
          </w:p>
          <w:p w:rsidR="00000000" w:rsidRPr="001335F0" w:rsidP="001335F0">
            <w:pPr>
              <w:pStyle w:val="ListBullet2"/>
            </w:pPr>
            <w:r w:rsidRPr="001335F0">
              <w:t>reviewing risk management within the project</w:t>
            </w:r>
          </w:p>
          <w:p w:rsidR="00000000" w:rsidP="001335F0">
            <w:pPr>
              <w:pStyle w:val="ListBullet2"/>
              <w:rPr>
                <w:lang w:val="en-NZ"/>
              </w:rPr>
            </w:pPr>
            <w:r w:rsidRPr="001335F0">
              <w:t>working and communicating effectively and positively with others involved in the work</w:t>
            </w:r>
          </w:p>
        </w:tc>
      </w:tr>
      <w:tr w:rsidTr="0086231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Competency should be assessed in the workplace or in a simulated workplace environment</w:t>
            </w:r>
          </w:p>
          <w:p w:rsidR="00000000" w:rsidRPr="001335F0" w:rsidP="001335F0">
            <w:pPr>
              <w:pStyle w:val="ListBullet"/>
            </w:pPr>
            <w:r w:rsidRPr="001335F0">
              <w:t>Access is required to:</w:t>
            </w:r>
          </w:p>
          <w:p w:rsidR="00000000" w:rsidRPr="001335F0" w:rsidP="001335F0">
            <w:pPr>
              <w:pStyle w:val="ListBullet2"/>
            </w:pPr>
            <w:r w:rsidRPr="001335F0">
              <w:t>computer and relevant software</w:t>
            </w:r>
          </w:p>
          <w:p w:rsidR="00000000" w:rsidRPr="001335F0" w:rsidP="001335F0">
            <w:pPr>
              <w:pStyle w:val="ListBullet2"/>
            </w:pPr>
            <w:r w:rsidRPr="001335F0">
              <w:t>legislation, guidelines, procedures and protocols relating to technical risk management systems and techniques</w:t>
            </w:r>
          </w:p>
          <w:p w:rsidR="00000000" w:rsidRPr="001335F0" w:rsidP="001335F0">
            <w:pPr>
              <w:pStyle w:val="ListBullet2"/>
            </w:pPr>
            <w:r w:rsidRPr="001335F0">
              <w:t>plans</w:t>
            </w:r>
          </w:p>
          <w:p w:rsidR="00000000" w:rsidP="001335F0">
            <w:pPr>
              <w:pStyle w:val="ListBullet2"/>
              <w:rPr>
                <w:lang w:val="en-NZ"/>
              </w:rPr>
            </w:pPr>
            <w:r w:rsidRPr="001335F0">
              <w:t>workplace documentation</w:t>
            </w:r>
          </w:p>
        </w:tc>
      </w:tr>
      <w:tr w:rsidTr="00862319">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Assessment of this unit must be undertaken by a registered training organisation</w:t>
            </w:r>
          </w:p>
          <w:p w:rsidR="00000000" w:rsidRPr="001335F0" w:rsidP="001335F0">
            <w:pPr>
              <w:pStyle w:val="ListBullet"/>
            </w:pPr>
            <w:r w:rsidRPr="001335F0">
              <w:t>Where possible, assessment should be supported by questions to assess required knowledge. Questioning techniques should suit the language and literacy levels of the candidate</w:t>
            </w:r>
          </w:p>
          <w:p w:rsidR="00000000" w:rsidRPr="001335F0" w:rsidP="001335F0">
            <w:pPr>
              <w:pStyle w:val="ListBullet"/>
            </w:pPr>
            <w:r w:rsidRPr="001335F0">
              <w:t>Assessment methods should reflect workplace demands such as literacy and the need</w:t>
            </w:r>
            <w:r w:rsidRPr="001335F0">
              <w:t>s of particular groups</w:t>
            </w:r>
          </w:p>
          <w:p w:rsidR="00000000" w:rsidRPr="001335F0" w:rsidP="001335F0">
            <w:pPr>
              <w:pStyle w:val="ListBullet"/>
            </w:pPr>
            <w:r w:rsidRPr="001335F0">
              <w:t>Assessment methods suitable for valid and reliable assessment of this unit of competency may include a combination of methods such as:</w:t>
            </w:r>
          </w:p>
          <w:p w:rsidR="00000000" w:rsidRPr="001335F0" w:rsidP="001335F0">
            <w:pPr>
              <w:pStyle w:val="ListBullet2"/>
            </w:pPr>
            <w:r w:rsidRPr="001335F0">
              <w:t>authenticated evidence from the workplace and/or training programs</w:t>
            </w:r>
          </w:p>
          <w:p w:rsidR="00000000" w:rsidRPr="001335F0" w:rsidP="001335F0">
            <w:pPr>
              <w:pStyle w:val="ListBullet2"/>
            </w:pPr>
            <w:r w:rsidRPr="001335F0">
              <w:t>case studies</w:t>
            </w:r>
          </w:p>
          <w:p w:rsidR="00000000" w:rsidRPr="001335F0" w:rsidP="001335F0">
            <w:pPr>
              <w:pStyle w:val="ListBullet2"/>
            </w:pPr>
            <w:r w:rsidRPr="001335F0">
              <w:t>demonstration</w:t>
            </w:r>
          </w:p>
          <w:p w:rsidR="00000000" w:rsidRPr="001335F0" w:rsidP="001335F0">
            <w:pPr>
              <w:pStyle w:val="ListBullet2"/>
            </w:pPr>
            <w:r w:rsidRPr="001335F0">
              <w:t>fee</w:t>
            </w:r>
            <w:r w:rsidRPr="001335F0">
              <w:t>dback from supervisors and peers regarding the candidate's ability</w:t>
            </w:r>
          </w:p>
          <w:p w:rsidR="00000000" w:rsidRPr="001335F0" w:rsidP="001335F0">
            <w:pPr>
              <w:pStyle w:val="ListBullet2"/>
            </w:pPr>
            <w:r w:rsidRPr="001335F0">
              <w:t>observation</w:t>
            </w:r>
          </w:p>
          <w:p w:rsidR="00000000" w:rsidRPr="001335F0" w:rsidP="001335F0">
            <w:pPr>
              <w:pStyle w:val="ListBullet2"/>
            </w:pPr>
            <w:r w:rsidRPr="001335F0">
              <w:t>portfolios</w:t>
            </w:r>
          </w:p>
          <w:p w:rsidR="00000000" w:rsidRPr="001335F0" w:rsidP="001335F0">
            <w:pPr>
              <w:pStyle w:val="ListBullet2"/>
            </w:pPr>
            <w:r w:rsidRPr="001335F0">
              <w:t>projects</w:t>
            </w:r>
          </w:p>
          <w:p w:rsidR="00000000" w:rsidRPr="001335F0" w:rsidP="001335F0">
            <w:pPr>
              <w:pStyle w:val="ListBullet2"/>
            </w:pPr>
            <w:r w:rsidRPr="001335F0">
              <w:t>questioning</w:t>
            </w:r>
          </w:p>
          <w:p w:rsidR="00000000" w:rsidRPr="001335F0" w:rsidP="001335F0">
            <w:pPr>
              <w:pStyle w:val="ListBullet2"/>
            </w:pPr>
            <w:r w:rsidRPr="001335F0">
              <w:t>reviews or reports prepared by the candidate</w:t>
            </w:r>
          </w:p>
          <w:p w:rsidR="00000000" w:rsidRPr="001335F0" w:rsidP="001335F0">
            <w:pPr>
              <w:pStyle w:val="ListBullet2"/>
            </w:pPr>
            <w:r w:rsidRPr="001335F0">
              <w:t>scenarios</w:t>
            </w:r>
          </w:p>
          <w:p w:rsidR="00000000" w:rsidRPr="001335F0" w:rsidP="001335F0">
            <w:pPr>
              <w:pStyle w:val="ListBullet2"/>
            </w:pPr>
            <w:r w:rsidRPr="001335F0">
              <w:t>simulation or role plays</w:t>
            </w:r>
          </w:p>
        </w:tc>
      </w:tr>
    </w:tbl>
    <w:p w:rsidR="00862319" w:rsidP="001335F0">
      <w:pPr>
        <w:pStyle w:val="BodyText"/>
      </w:pPr>
    </w:p>
    <w:p w:rsidR="00862319" w:rsidP="001335F0">
      <w:pPr>
        <w:pStyle w:val="BodyText"/>
      </w:pPr>
    </w:p>
    <w:p w:rsidR="00000000" w:rsidRPr="001335F0" w:rsidP="001335F0">
      <w:pPr>
        <w:pStyle w:val="Heading1"/>
      </w:pPr>
      <w:bookmarkStart w:id="11" w:name="O_255075"/>
      <w:bookmarkEnd w:id="11"/>
      <w:r w:rsidRPr="001335F0">
        <w:t>Range Statement</w:t>
      </w:r>
    </w:p>
    <w:tbl>
      <w:tblPr>
        <w:tblW w:w="9640" w:type="dxa"/>
        <w:tblLayout w:type="fixed"/>
        <w:tblCellMar>
          <w:left w:w="62" w:type="dxa"/>
          <w:right w:w="62" w:type="dxa"/>
        </w:tblCellMar>
        <w:tblLook w:val="0000"/>
      </w:tblPr>
      <w:tblGrid>
        <w:gridCol w:w="3486"/>
        <w:gridCol w:w="6154"/>
      </w:tblGrid>
      <w:tr w:rsidTr="00862319">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RANGE STATEMENT</w:t>
            </w:r>
            <w:r w:rsidRPr="001335F0">
              <w:t xml:space="preserve"> </w:t>
            </w:r>
          </w:p>
        </w:tc>
      </w:tr>
      <w:tr w:rsidTr="00862319">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The range statement relates to the unit of competency as a whole. It allows for different work environments and situations that may affect performance.</w:t>
            </w:r>
          </w:p>
        </w:tc>
      </w:tr>
      <w:tr w:rsidTr="008623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Risks may include:</w:t>
            </w:r>
          </w:p>
        </w:tc>
        <w:tc>
          <w:tcPr>
            <w:tcW w:w="6154"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actual</w:t>
            </w:r>
          </w:p>
          <w:p w:rsidR="00000000" w:rsidRPr="001335F0" w:rsidP="001335F0">
            <w:pPr>
              <w:pStyle w:val="ListBullet"/>
            </w:pPr>
            <w:r w:rsidRPr="001335F0">
              <w:t>likely/probable</w:t>
            </w:r>
          </w:p>
          <w:p w:rsidR="00000000" w:rsidRPr="001335F0" w:rsidP="001335F0">
            <w:pPr>
              <w:pStyle w:val="ListBullet"/>
            </w:pPr>
            <w:r w:rsidRPr="001335F0">
              <w:t>perceived</w:t>
            </w:r>
          </w:p>
          <w:p w:rsidR="00000000" w:rsidRPr="001335F0" w:rsidP="001335F0">
            <w:pPr>
              <w:pStyle w:val="ListBullet"/>
            </w:pPr>
            <w:r w:rsidRPr="001335F0">
              <w:t>potential</w:t>
            </w:r>
          </w:p>
          <w:p w:rsidR="00000000" w:rsidRPr="001335F0" w:rsidP="001335F0">
            <w:pPr>
              <w:pStyle w:val="ListBullet"/>
            </w:pPr>
            <w:r w:rsidRPr="001335F0">
              <w:t>sources of technical risk and associated documents may include:</w:t>
            </w:r>
          </w:p>
          <w:p w:rsidR="00000000" w:rsidRPr="001335F0" w:rsidP="001335F0">
            <w:pPr>
              <w:pStyle w:val="ListBullet2"/>
            </w:pPr>
            <w:r w:rsidRPr="001335F0">
              <w:t>design change</w:t>
            </w:r>
          </w:p>
          <w:p w:rsidR="00000000" w:rsidRPr="001335F0" w:rsidP="001335F0">
            <w:pPr>
              <w:pStyle w:val="ListBullet2"/>
            </w:pPr>
            <w:r w:rsidRPr="001335F0">
              <w:t>Engineering Management Plan</w:t>
            </w:r>
          </w:p>
          <w:p w:rsidR="00000000" w:rsidRPr="001335F0" w:rsidP="001335F0">
            <w:pPr>
              <w:pStyle w:val="ListBullet2"/>
            </w:pPr>
            <w:r w:rsidRPr="001335F0">
              <w:t>Risk Management Plan</w:t>
            </w:r>
          </w:p>
          <w:p w:rsidR="00000000" w:rsidP="001335F0">
            <w:pPr>
              <w:pStyle w:val="ListBullet2"/>
              <w:rPr>
                <w:lang w:val="en-NZ"/>
              </w:rPr>
            </w:pPr>
            <w:r w:rsidRPr="001335F0">
              <w:t>appropriate standards</w:t>
            </w:r>
          </w:p>
        </w:tc>
      </w:tr>
      <w:tr w:rsidTr="008623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Delegated technical/engineering authority may include authority:</w:t>
            </w:r>
          </w:p>
        </w:tc>
        <w:tc>
          <w:tcPr>
            <w:tcW w:w="6154"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appointed in accordance with the relevant technical regulatory framework</w:t>
            </w:r>
          </w:p>
          <w:p w:rsidR="00000000" w:rsidRPr="001335F0" w:rsidP="001335F0">
            <w:pPr>
              <w:pStyle w:val="ListBullet"/>
            </w:pPr>
            <w:r w:rsidRPr="001335F0">
              <w:t>subject to frequent change in a multi-disciplinary environment</w:t>
            </w:r>
          </w:p>
          <w:p w:rsidR="00000000" w:rsidRPr="001335F0" w:rsidP="001335F0">
            <w:pPr>
              <w:pStyle w:val="ListBullet"/>
            </w:pPr>
            <w:r w:rsidRPr="001335F0">
              <w:t>under limited guidance and supervision</w:t>
            </w:r>
          </w:p>
          <w:p w:rsidR="00000000" w:rsidRPr="001335F0" w:rsidP="001335F0">
            <w:pPr>
              <w:pStyle w:val="ListBullet"/>
            </w:pPr>
            <w:r w:rsidRPr="001335F0">
              <w:t>within agreed authorisation and limits</w:t>
            </w:r>
          </w:p>
          <w:p w:rsidR="00000000" w:rsidP="001335F0">
            <w:pPr>
              <w:pStyle w:val="ListBullet"/>
              <w:rPr>
                <w:lang w:val="en-NZ"/>
              </w:rPr>
            </w:pPr>
            <w:r w:rsidRPr="001335F0">
              <w:t>within established organisational framewor</w:t>
            </w:r>
            <w:r w:rsidRPr="001335F0">
              <w:t>k, procedures and routines</w:t>
            </w:r>
          </w:p>
        </w:tc>
      </w:tr>
      <w:tr w:rsidTr="008623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Risk analysis methods, techniques and tools may include:</w:t>
            </w:r>
          </w:p>
        </w:tc>
        <w:tc>
          <w:tcPr>
            <w:tcW w:w="6154"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assisting in qualitative and/or quantitative risk analysis, such as schedule simulation, decision analysis, contingency planning and alternative strategy development</w:t>
            </w:r>
          </w:p>
          <w:p w:rsidR="00000000" w:rsidRPr="001335F0" w:rsidP="001335F0">
            <w:pPr>
              <w:pStyle w:val="ListBullet"/>
            </w:pPr>
            <w:r w:rsidRPr="001335F0">
              <w:t>usin</w:t>
            </w:r>
            <w:r w:rsidRPr="001335F0">
              <w:t>g personal experience and/or subject matter experts</w:t>
            </w:r>
          </w:p>
          <w:p w:rsidR="00000000" w:rsidP="001335F0">
            <w:pPr>
              <w:pStyle w:val="ListBullet"/>
              <w:rPr>
                <w:lang w:val="en-NZ"/>
              </w:rPr>
            </w:pPr>
            <w:r w:rsidRPr="001335F0">
              <w:t>using specialist risk analysis tools to assist in the decision making process</w:t>
            </w:r>
          </w:p>
        </w:tc>
      </w:tr>
      <w:tr w:rsidTr="008623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Organisational plans may include:</w:t>
            </w:r>
          </w:p>
        </w:tc>
        <w:tc>
          <w:tcPr>
            <w:tcW w:w="6154"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engineer management plans</w:t>
            </w:r>
          </w:p>
          <w:p w:rsidR="00000000" w:rsidP="001335F0">
            <w:pPr>
              <w:pStyle w:val="ListBullet"/>
              <w:rPr>
                <w:lang w:val="en-NZ"/>
              </w:rPr>
            </w:pPr>
            <w:r w:rsidRPr="001335F0">
              <w:t>risk management plans</w:t>
            </w:r>
          </w:p>
        </w:tc>
      </w:tr>
      <w:tr w:rsidTr="008623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Others may include:</w:t>
            </w:r>
          </w:p>
        </w:tc>
        <w:tc>
          <w:tcPr>
            <w:tcW w:w="6154"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executive authorities</w:t>
            </w:r>
          </w:p>
          <w:p w:rsidR="00000000" w:rsidRPr="001335F0" w:rsidP="001335F0">
            <w:pPr>
              <w:pStyle w:val="ListBullet"/>
            </w:pPr>
            <w:r w:rsidRPr="001335F0">
              <w:t>higher project authorities</w:t>
            </w:r>
          </w:p>
          <w:p w:rsidR="00000000" w:rsidRPr="001335F0" w:rsidP="001335F0">
            <w:pPr>
              <w:pStyle w:val="ListBullet"/>
            </w:pPr>
            <w:r w:rsidRPr="001335F0">
              <w:t>other stakeholders</w:t>
            </w:r>
          </w:p>
          <w:p w:rsidR="00000000" w:rsidRPr="001335F0" w:rsidP="001335F0">
            <w:pPr>
              <w:pStyle w:val="ListBullet"/>
            </w:pPr>
            <w:r w:rsidRPr="001335F0">
              <w:t>project specialists or personnel</w:t>
            </w:r>
          </w:p>
          <w:p w:rsidR="00000000" w:rsidRPr="001335F0" w:rsidP="001335F0">
            <w:pPr>
              <w:pStyle w:val="ListBullet"/>
            </w:pPr>
            <w:r w:rsidRPr="001335F0">
              <w:t>regulatory authorities</w:t>
            </w:r>
          </w:p>
          <w:p w:rsidR="00000000" w:rsidP="001335F0">
            <w:pPr>
              <w:pStyle w:val="ListBullet"/>
              <w:rPr>
                <w:lang w:val="en-NZ"/>
              </w:rPr>
            </w:pPr>
            <w:r w:rsidRPr="001335F0">
              <w:t>team members</w:t>
            </w:r>
          </w:p>
        </w:tc>
      </w:tr>
      <w:tr w:rsidTr="008623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Opportunities may include:</w:t>
            </w:r>
          </w:p>
        </w:tc>
        <w:tc>
          <w:tcPr>
            <w:tcW w:w="6154"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better means of achieving a result</w:t>
            </w:r>
          </w:p>
          <w:p w:rsidR="00000000" w:rsidRPr="001335F0" w:rsidP="001335F0">
            <w:pPr>
              <w:pStyle w:val="ListBullet"/>
            </w:pPr>
            <w:r w:rsidRPr="001335F0">
              <w:t>changes in the regulatory framework or broader environm</w:t>
            </w:r>
            <w:r w:rsidRPr="001335F0">
              <w:t>ent that offer scope for rescheduling activities to better effect</w:t>
            </w:r>
          </w:p>
          <w:p w:rsidR="00000000" w:rsidRPr="001335F0" w:rsidP="001335F0">
            <w:pPr>
              <w:pStyle w:val="ListBullet"/>
            </w:pPr>
            <w:r w:rsidRPr="001335F0">
              <w:t>efficiencies or methods to work more effectively, such as ways of shortening an activity</w:t>
            </w:r>
          </w:p>
          <w:p w:rsidR="00000000" w:rsidRPr="001335F0" w:rsidP="001335F0">
            <w:pPr>
              <w:pStyle w:val="ListBullet"/>
            </w:pPr>
            <w:r w:rsidRPr="001335F0">
              <w:t>environmental load minimisation and waste minimisation</w:t>
            </w:r>
          </w:p>
          <w:p w:rsidR="00000000" w:rsidRPr="001335F0" w:rsidP="001335F0">
            <w:pPr>
              <w:pStyle w:val="ListBullet"/>
            </w:pPr>
            <w:r w:rsidRPr="001335F0">
              <w:t>improvements to technical integrity</w:t>
            </w:r>
          </w:p>
          <w:p w:rsidR="00000000" w:rsidP="001335F0">
            <w:pPr>
              <w:pStyle w:val="ListBullet"/>
              <w:rPr>
                <w:lang w:val="en-NZ"/>
              </w:rPr>
            </w:pPr>
            <w:r w:rsidRPr="001335F0">
              <w:t>risk mitig</w:t>
            </w:r>
            <w:r w:rsidRPr="001335F0">
              <w:t>ation</w:t>
            </w:r>
          </w:p>
        </w:tc>
      </w:tr>
      <w:tr w:rsidTr="008623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Review may include:</w:t>
            </w:r>
          </w:p>
        </w:tc>
        <w:tc>
          <w:tcPr>
            <w:tcW w:w="6154"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changes to technical regulatory authority</w:t>
            </w:r>
          </w:p>
          <w:p w:rsidR="00000000" w:rsidP="001335F0">
            <w:pPr>
              <w:pStyle w:val="ListBullet"/>
              <w:rPr>
                <w:lang w:val="en-NZ"/>
              </w:rPr>
            </w:pPr>
            <w:r w:rsidRPr="001335F0">
              <w:t>technical integrity of organisation's materiel</w:t>
            </w:r>
          </w:p>
        </w:tc>
      </w:tr>
      <w:tr w:rsidTr="00862319">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t>Data and information may include:</w:t>
            </w:r>
          </w:p>
        </w:tc>
        <w:tc>
          <w:tcPr>
            <w:tcW w:w="6154" w:type="dxa"/>
            <w:tcBorders>
              <w:top w:val="nil"/>
              <w:left w:val="nil"/>
              <w:bottom w:val="nil"/>
              <w:right w:val="nil"/>
            </w:tcBorders>
            <w:tcMar>
              <w:top w:w="0" w:type="dxa"/>
              <w:left w:w="62" w:type="dxa"/>
              <w:bottom w:w="0" w:type="dxa"/>
              <w:right w:w="62" w:type="dxa"/>
            </w:tcMar>
          </w:tcPr>
          <w:p w:rsidR="00000000" w:rsidRPr="001335F0" w:rsidP="001335F0">
            <w:pPr>
              <w:pStyle w:val="ListBullet"/>
            </w:pPr>
            <w:r w:rsidRPr="001335F0">
              <w:t>financial data</w:t>
            </w:r>
          </w:p>
          <w:p w:rsidR="00000000" w:rsidRPr="001335F0" w:rsidP="001335F0">
            <w:pPr>
              <w:pStyle w:val="ListBullet"/>
            </w:pPr>
            <w:r w:rsidRPr="001335F0">
              <w:t>list of potential risk events (risk register/log)</w:t>
            </w:r>
          </w:p>
          <w:p w:rsidR="00000000" w:rsidRPr="001335F0" w:rsidP="001335F0">
            <w:pPr>
              <w:pStyle w:val="ListBullet"/>
            </w:pPr>
            <w:r w:rsidRPr="001335F0">
              <w:t>logistics data, including environmental, sustainability issues</w:t>
            </w:r>
          </w:p>
          <w:p w:rsidR="00000000" w:rsidRPr="001335F0" w:rsidP="001335F0">
            <w:pPr>
              <w:pStyle w:val="ListBullet"/>
            </w:pPr>
            <w:r w:rsidRPr="001335F0">
              <w:t>organisational files and records</w:t>
            </w:r>
          </w:p>
          <w:p w:rsidR="00000000" w:rsidRPr="001335F0" w:rsidP="001335F0">
            <w:pPr>
              <w:pStyle w:val="ListBullet"/>
            </w:pPr>
            <w:r w:rsidRPr="001335F0">
              <w:t>risk analysis and reappraisal</w:t>
            </w:r>
          </w:p>
          <w:p w:rsidR="00000000" w:rsidRPr="001335F0" w:rsidP="001335F0">
            <w:pPr>
              <w:pStyle w:val="ListBullet"/>
            </w:pPr>
            <w:r w:rsidRPr="001335F0">
              <w:t>risk diaries, incident logs, occurrence reports and other such documentation</w:t>
            </w:r>
          </w:p>
          <w:p w:rsidR="00000000" w:rsidRPr="001335F0" w:rsidP="001335F0">
            <w:pPr>
              <w:pStyle w:val="ListBullet"/>
            </w:pPr>
            <w:r w:rsidRPr="001335F0">
              <w:t>risk management lessons learned</w:t>
            </w:r>
          </w:p>
          <w:p w:rsidR="00000000" w:rsidRPr="001335F0" w:rsidP="001335F0">
            <w:pPr>
              <w:pStyle w:val="ListBullet"/>
            </w:pPr>
            <w:r w:rsidRPr="001335F0">
              <w:t>risk management plan</w:t>
            </w:r>
          </w:p>
          <w:p w:rsidR="00000000" w:rsidRPr="001335F0" w:rsidP="001335F0">
            <w:pPr>
              <w:pStyle w:val="ListBullet"/>
            </w:pPr>
            <w:r w:rsidRPr="001335F0">
              <w:t>technical data</w:t>
            </w:r>
          </w:p>
        </w:tc>
      </w:tr>
    </w:tbl>
    <w:p w:rsidR="00862319" w:rsidP="001335F0">
      <w:pPr>
        <w:pStyle w:val="BodyText"/>
      </w:pPr>
    </w:p>
    <w:p w:rsidR="00862319" w:rsidP="001335F0">
      <w:pPr>
        <w:pStyle w:val="BodyText"/>
      </w:pPr>
    </w:p>
    <w:p w:rsidR="00000000" w:rsidRPr="001335F0" w:rsidP="001335F0">
      <w:pPr>
        <w:pStyle w:val="Heading1"/>
      </w:pPr>
      <w:bookmarkStart w:id="12" w:name="O_296088"/>
      <w:bookmarkEnd w:id="12"/>
      <w:r w:rsidRPr="001335F0">
        <w:t>Unit Sector(s)</w:t>
      </w:r>
    </w:p>
    <w:p w:rsidR="00000000" w:rsidRPr="001335F0" w:rsidP="001335F0">
      <w:pPr>
        <w:pStyle w:val="BodyText"/>
      </w:pPr>
      <w:r w:rsidRPr="001335F0">
        <w:t>Not Applicable</w:t>
      </w:r>
    </w:p>
    <w:p w:rsidR="00000000" w:rsidRPr="001335F0" w:rsidP="001335F0">
      <w:pPr>
        <w:pStyle w:val="AllowPageBreak"/>
      </w:pPr>
    </w:p>
    <w:p w:rsidR="00000000" w:rsidRPr="001335F0" w:rsidP="001335F0">
      <w:pPr>
        <w:pStyle w:val="Heading1"/>
      </w:pPr>
      <w:bookmarkStart w:id="13" w:name="O_224641"/>
      <w:bookmarkEnd w:id="13"/>
      <w:r w:rsidRPr="001335F0">
        <w:t>Competency Field</w:t>
      </w:r>
    </w:p>
    <w:tbl>
      <w:tblPr>
        <w:tblW w:w="9640" w:type="dxa"/>
        <w:tblLayout w:type="fixed"/>
        <w:tblCellMar>
          <w:left w:w="62" w:type="dxa"/>
          <w:right w:w="62" w:type="dxa"/>
        </w:tblCellMar>
        <w:tblLook w:val="0000"/>
      </w:tblPr>
      <w:tblGrid>
        <w:gridCol w:w="2978"/>
        <w:gridCol w:w="6662"/>
      </w:tblGrid>
      <w:tr w:rsidTr="00862319">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1335F0">
            <w:pPr>
              <w:pStyle w:val="BodyText"/>
              <w:rPr>
                <w:lang w:val="en-NZ"/>
              </w:rPr>
            </w:pPr>
            <w:r w:rsidRPr="001335F0">
              <w:rPr>
                <w:rStyle w:val="SpecialBold"/>
              </w:rPr>
              <w:t>Competency Field</w:t>
            </w:r>
            <w:r w:rsidRPr="001335F0">
              <w:t xml:space="preserve"> </w:t>
            </w:r>
          </w:p>
        </w:tc>
        <w:tc>
          <w:tcPr>
            <w:tcW w:w="6662" w:type="dxa"/>
            <w:tcBorders>
              <w:top w:val="nil"/>
              <w:left w:val="nil"/>
              <w:bottom w:val="nil"/>
              <w:right w:val="nil"/>
            </w:tcBorders>
            <w:tcMar>
              <w:top w:w="0" w:type="dxa"/>
              <w:left w:w="62" w:type="dxa"/>
              <w:bottom w:w="0" w:type="dxa"/>
              <w:right w:w="62" w:type="dxa"/>
            </w:tcMar>
          </w:tcPr>
          <w:p w:rsidR="00000000" w:rsidRPr="001335F0" w:rsidP="001335F0">
            <w:pPr>
              <w:pStyle w:val="BodyText"/>
            </w:pPr>
            <w:r w:rsidRPr="001335F0">
              <w:t>X - Logistics</w:t>
            </w:r>
          </w:p>
        </w:tc>
      </w:tr>
    </w:tbl>
    <w:p w:rsidR="00862319" w:rsidP="001335F0">
      <w:pPr>
        <w:pStyle w:val="BodyText"/>
      </w:pPr>
    </w:p>
    <w:p w:rsidR="00862319" w:rsidP="001335F0">
      <w:pPr>
        <w:pStyle w:val="BodyText"/>
      </w:pPr>
    </w:p>
    <w:p w:rsidR="00000000" w:rsidRPr="001335F0" w:rsidP="001335F0"/>
    <w:sectPr w:rsidSect="001335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319" w:rsidP="008623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319" w:rsidP="001335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62319" w:rsidP="001335F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862319" w:rsidP="001335F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62319" w:rsidP="0086231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35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2319" w:rsidP="001335F0">
    <w:pPr>
      <w:pStyle w:val="Header"/>
      <w:framePr w:wrap="around"/>
    </w:pPr>
    <w:r>
      <w:fldChar w:fldCharType="begin"/>
    </w:r>
    <w:r>
      <w:instrText xml:space="preserve"> TITLE   \* MERGEFORMAT </w:instrText>
    </w:r>
    <w:r>
      <w:fldChar w:fldCharType="separate"/>
    </w:r>
    <w:r>
      <w:t>TLIX4034A Apply technical risk management systems and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62319" w:rsidP="001335F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11EA8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2AA8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3A17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35F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335F0"/>
    <w:pPr>
      <w:spacing w:before="360" w:after="60"/>
      <w:outlineLvl w:val="0"/>
    </w:pPr>
    <w:rPr>
      <w:sz w:val="32"/>
    </w:rPr>
  </w:style>
  <w:style w:type="paragraph" w:styleId="Heading2">
    <w:name w:val="heading 2"/>
    <w:basedOn w:val="HeadingBase"/>
    <w:next w:val="BodyText"/>
    <w:link w:val="Heading2Char"/>
    <w:qFormat/>
    <w:rsid w:val="001335F0"/>
    <w:pPr>
      <w:keepLines/>
      <w:spacing w:before="240" w:after="120"/>
      <w:outlineLvl w:val="1"/>
    </w:pPr>
    <w:rPr>
      <w:sz w:val="28"/>
      <w:szCs w:val="40"/>
    </w:rPr>
  </w:style>
  <w:style w:type="paragraph" w:styleId="Heading3">
    <w:name w:val="heading 3"/>
    <w:basedOn w:val="HeadingBase"/>
    <w:next w:val="BodyText"/>
    <w:link w:val="Heading3Char"/>
    <w:qFormat/>
    <w:rsid w:val="001335F0"/>
    <w:pPr>
      <w:spacing w:before="180" w:after="120"/>
      <w:outlineLvl w:val="2"/>
    </w:pPr>
    <w:rPr>
      <w:spacing w:val="-10"/>
      <w:kern w:val="32"/>
    </w:rPr>
  </w:style>
  <w:style w:type="paragraph" w:styleId="Heading4">
    <w:name w:val="heading 4"/>
    <w:basedOn w:val="HeadingBase"/>
    <w:next w:val="BodyText"/>
    <w:link w:val="Heading4Char"/>
    <w:qFormat/>
    <w:rsid w:val="001335F0"/>
    <w:pPr>
      <w:spacing w:before="160" w:after="120"/>
      <w:outlineLvl w:val="3"/>
    </w:pPr>
    <w:rPr>
      <w:sz w:val="22"/>
    </w:rPr>
  </w:style>
  <w:style w:type="paragraph" w:styleId="Heading5">
    <w:name w:val="heading 5"/>
    <w:basedOn w:val="HeadingBase"/>
    <w:next w:val="Normal"/>
    <w:link w:val="Heading5Char"/>
    <w:qFormat/>
    <w:rsid w:val="001335F0"/>
    <w:pPr>
      <w:spacing w:before="80"/>
      <w:outlineLvl w:val="4"/>
    </w:pPr>
    <w:rPr>
      <w:color w:val="918585"/>
      <w:sz w:val="20"/>
    </w:rPr>
  </w:style>
  <w:style w:type="paragraph" w:styleId="Heading6">
    <w:name w:val="heading 6"/>
    <w:basedOn w:val="HeadingBase"/>
    <w:next w:val="Normal"/>
    <w:link w:val="Heading6Char"/>
    <w:qFormat/>
    <w:rsid w:val="001335F0"/>
    <w:pPr>
      <w:spacing w:before="60"/>
      <w:outlineLvl w:val="5"/>
    </w:pPr>
    <w:rPr>
      <w:color w:val="918585"/>
      <w:sz w:val="20"/>
    </w:rPr>
  </w:style>
  <w:style w:type="paragraph" w:styleId="Heading7">
    <w:name w:val="heading 7"/>
    <w:basedOn w:val="Normal"/>
    <w:next w:val="Normal"/>
    <w:link w:val="Heading7Char"/>
    <w:qFormat/>
    <w:rsid w:val="001335F0"/>
    <w:pPr>
      <w:ind w:left="720"/>
      <w:outlineLvl w:val="6"/>
    </w:pPr>
    <w:rPr>
      <w:i/>
    </w:rPr>
  </w:style>
  <w:style w:type="paragraph" w:styleId="Heading8">
    <w:name w:val="heading 8"/>
    <w:basedOn w:val="Normal"/>
    <w:next w:val="Normal"/>
    <w:link w:val="Heading8Char"/>
    <w:qFormat/>
    <w:rsid w:val="001335F0"/>
    <w:pPr>
      <w:ind w:left="720"/>
      <w:outlineLvl w:val="7"/>
    </w:pPr>
    <w:rPr>
      <w:i/>
    </w:rPr>
  </w:style>
  <w:style w:type="paragraph" w:styleId="Heading9">
    <w:name w:val="heading 9"/>
    <w:basedOn w:val="Normal"/>
    <w:next w:val="Normal"/>
    <w:link w:val="Heading9Char"/>
    <w:qFormat/>
    <w:rsid w:val="001335F0"/>
    <w:pPr>
      <w:ind w:left="720"/>
      <w:outlineLvl w:val="8"/>
    </w:pPr>
    <w:rPr>
      <w:i/>
    </w:rPr>
  </w:style>
  <w:style w:type="character" w:default="1" w:styleId="DefaultParagraphFont">
    <w:name w:val="Default Paragraph Font"/>
    <w:uiPriority w:val="1"/>
    <w:unhideWhenUsed/>
    <w:rsid w:val="001335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35F0"/>
  </w:style>
  <w:style w:type="character" w:customStyle="1" w:styleId="Heading1Char">
    <w:name w:val="Heading 1 Char"/>
    <w:link w:val="Heading1"/>
    <w:rsid w:val="001335F0"/>
    <w:rPr>
      <w:rFonts w:ascii="Times New Roman" w:eastAsia="Times New Roman" w:hAnsi="Times New Roman" w:cs="Times New Roman"/>
      <w:b/>
      <w:sz w:val="32"/>
      <w:szCs w:val="20"/>
      <w:lang w:eastAsia="en-US"/>
    </w:rPr>
  </w:style>
  <w:style w:type="paragraph" w:styleId="BodyText">
    <w:name w:val="Body Text"/>
    <w:basedOn w:val="Normal"/>
    <w:link w:val="BodyTextChar"/>
    <w:rsid w:val="001335F0"/>
    <w:pPr>
      <w:spacing w:before="120" w:after="120"/>
      <w:contextualSpacing/>
    </w:pPr>
    <w:rPr>
      <w:rFonts w:ascii="Times New Roman" w:hAnsi="Times New Roman"/>
      <w:sz w:val="24"/>
      <w:szCs w:val="22"/>
    </w:rPr>
  </w:style>
  <w:style w:type="character" w:customStyle="1" w:styleId="BodyTextChar">
    <w:name w:val="Body Text Char"/>
    <w:link w:val="BodyText"/>
    <w:rsid w:val="001335F0"/>
    <w:rPr>
      <w:rFonts w:ascii="Times New Roman" w:eastAsia="Times New Roman" w:hAnsi="Times New Roman" w:cs="Times New Roman"/>
      <w:sz w:val="24"/>
      <w:lang w:val="en-US" w:eastAsia="en-US"/>
    </w:rPr>
  </w:style>
  <w:style w:type="paragraph" w:styleId="Footer">
    <w:name w:val="footer"/>
    <w:basedOn w:val="Normal"/>
    <w:link w:val="FooterChar"/>
    <w:rsid w:val="001335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335F0"/>
    <w:rPr>
      <w:rFonts w:ascii="Times New Roman" w:eastAsia="Times New Roman" w:hAnsi="Times New Roman" w:cs="Times New Roman"/>
      <w:sz w:val="16"/>
      <w:lang w:val="en-US" w:eastAsia="en-US"/>
    </w:rPr>
  </w:style>
  <w:style w:type="paragraph" w:styleId="List">
    <w:name w:val="List"/>
    <w:basedOn w:val="BodyText"/>
    <w:next w:val="BodyText"/>
    <w:rsid w:val="001335F0"/>
    <w:pPr>
      <w:tabs>
        <w:tab w:val="left" w:pos="340"/>
      </w:tabs>
      <w:spacing w:before="60" w:after="60"/>
      <w:ind w:left="340" w:hanging="340"/>
    </w:pPr>
  </w:style>
  <w:style w:type="paragraph" w:styleId="ListBullet">
    <w:name w:val="List Bullet"/>
    <w:basedOn w:val="List"/>
    <w:rsid w:val="001335F0"/>
    <w:pPr>
      <w:numPr>
        <w:numId w:val="13"/>
      </w:numPr>
      <w:tabs>
        <w:tab w:val="clear" w:pos="340"/>
      </w:tabs>
      <w:spacing w:before="40" w:after="40"/>
    </w:pPr>
  </w:style>
  <w:style w:type="character" w:customStyle="1" w:styleId="SpecialBold">
    <w:name w:val="Special Bold"/>
    <w:rsid w:val="001335F0"/>
    <w:rPr>
      <w:b/>
      <w:spacing w:val="0"/>
    </w:rPr>
  </w:style>
  <w:style w:type="paragraph" w:styleId="ListBullet2">
    <w:name w:val="List Bullet 2"/>
    <w:basedOn w:val="List2"/>
    <w:rsid w:val="001335F0"/>
    <w:pPr>
      <w:numPr>
        <w:numId w:val="14"/>
      </w:numPr>
      <w:tabs>
        <w:tab w:val="clear" w:pos="680"/>
      </w:tabs>
    </w:pPr>
  </w:style>
  <w:style w:type="paragraph" w:styleId="Header">
    <w:name w:val="header"/>
    <w:basedOn w:val="Normal"/>
    <w:link w:val="HeaderChar"/>
    <w:rsid w:val="001335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335F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335F0"/>
    <w:pPr>
      <w:spacing w:before="240" w:after="120"/>
      <w:outlineLvl w:val="0"/>
    </w:pPr>
    <w:rPr>
      <w:rFonts w:ascii="Times New Roman" w:hAnsi="Times New Roman"/>
      <w:b/>
      <w:sz w:val="28"/>
    </w:rPr>
  </w:style>
  <w:style w:type="paragraph" w:customStyle="1" w:styleId="AllowPageBreak">
    <w:name w:val="AllowPageBreak"/>
    <w:rsid w:val="001335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1335F0"/>
    <w:rPr>
      <w:rFonts w:ascii="Times New Roman" w:eastAsia="Times New Roman" w:hAnsi="Times New Roman" w:cs="Times New Roman"/>
      <w:b/>
      <w:sz w:val="28"/>
      <w:szCs w:val="40"/>
      <w:lang w:eastAsia="en-US"/>
    </w:rPr>
  </w:style>
  <w:style w:type="character" w:customStyle="1" w:styleId="Heading3Char">
    <w:name w:val="Heading 3 Char"/>
    <w:link w:val="Heading3"/>
    <w:rsid w:val="001335F0"/>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335F0"/>
    <w:rPr>
      <w:rFonts w:ascii="Times New Roman" w:eastAsia="Times New Roman" w:hAnsi="Times New Roman" w:cs="Times New Roman"/>
      <w:b/>
      <w:szCs w:val="20"/>
      <w:lang w:eastAsia="en-US"/>
    </w:rPr>
  </w:style>
  <w:style w:type="character" w:customStyle="1" w:styleId="Heading5Char">
    <w:name w:val="Heading 5 Char"/>
    <w:link w:val="Heading5"/>
    <w:rsid w:val="001335F0"/>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335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35F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335F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335F0"/>
    <w:rPr>
      <w:rFonts w:ascii="Courier New" w:eastAsia="Times New Roman" w:hAnsi="Courier New" w:cs="Times New Roman"/>
      <w:i/>
      <w:szCs w:val="20"/>
      <w:lang w:val="en-US" w:eastAsia="en-US"/>
    </w:rPr>
  </w:style>
  <w:style w:type="paragraph" w:customStyle="1" w:styleId="HeadingBase">
    <w:name w:val="Heading Base"/>
    <w:rsid w:val="001335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35F0"/>
    <w:pPr>
      <w:tabs>
        <w:tab w:val="right" w:leader="dot" w:pos="9072"/>
      </w:tabs>
      <w:ind w:left="567"/>
    </w:pPr>
    <w:rPr>
      <w:szCs w:val="22"/>
    </w:rPr>
  </w:style>
  <w:style w:type="paragraph" w:customStyle="1" w:styleId="TOCBase">
    <w:name w:val="TOC Base"/>
    <w:rsid w:val="001335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35F0"/>
    <w:pPr>
      <w:tabs>
        <w:tab w:val="right" w:leader="dot" w:pos="9072"/>
      </w:tabs>
      <w:spacing w:before="40" w:after="40"/>
      <w:ind w:left="284"/>
    </w:pPr>
    <w:rPr>
      <w:rFonts w:ascii="Times New Roman" w:hAnsi="Times New Roman"/>
    </w:rPr>
  </w:style>
  <w:style w:type="paragraph" w:styleId="TOC1">
    <w:name w:val="toc 1"/>
    <w:basedOn w:val="TOCBase"/>
    <w:next w:val="Normal"/>
    <w:rsid w:val="001335F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335F0"/>
    <w:pPr>
      <w:spacing w:before="5040"/>
      <w:jc w:val="center"/>
    </w:pPr>
    <w:rPr>
      <w:sz w:val="48"/>
      <w:szCs w:val="72"/>
      <w:lang w:val="en-US"/>
    </w:rPr>
  </w:style>
  <w:style w:type="character" w:customStyle="1" w:styleId="TitleChar">
    <w:name w:val="Title Char"/>
    <w:link w:val="Title"/>
    <w:rsid w:val="001335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35F0"/>
    <w:pPr>
      <w:tabs>
        <w:tab w:val="left" w:pos="3600"/>
        <w:tab w:val="left" w:pos="3958"/>
      </w:tabs>
    </w:pPr>
  </w:style>
  <w:style w:type="paragraph" w:customStyle="1" w:styleId="Note">
    <w:name w:val="Note"/>
    <w:basedOn w:val="BodyText"/>
    <w:rsid w:val="001335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35F0"/>
    <w:pPr>
      <w:framePr w:wrap="auto" w:hAnchor="text" w:y="6049"/>
    </w:pPr>
    <w:rPr>
      <w:color w:val="000000"/>
      <w:sz w:val="40"/>
    </w:rPr>
  </w:style>
  <w:style w:type="paragraph" w:customStyle="1" w:styleId="TOCTitle">
    <w:name w:val="TOCTitle"/>
    <w:basedOn w:val="Heading1"/>
    <w:rsid w:val="001335F0"/>
    <w:pPr>
      <w:spacing w:after="240"/>
      <w:jc w:val="center"/>
      <w:outlineLvl w:val="9"/>
    </w:pPr>
    <w:rPr>
      <w:caps/>
    </w:rPr>
  </w:style>
  <w:style w:type="paragraph" w:customStyle="1" w:styleId="Version">
    <w:name w:val="Version"/>
    <w:rsid w:val="001335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35F0"/>
    <w:pPr>
      <w:keepNext w:val="0"/>
      <w:tabs>
        <w:tab w:val="right" w:pos="4176"/>
      </w:tabs>
      <w:ind w:left="198" w:hanging="198"/>
    </w:pPr>
    <w:rPr>
      <w:rFonts w:ascii="Garamond" w:hAnsi="Garamond"/>
    </w:rPr>
  </w:style>
  <w:style w:type="paragraph" w:styleId="IndexHeading">
    <w:name w:val="index heading"/>
    <w:basedOn w:val="Normal"/>
    <w:next w:val="Index1"/>
    <w:semiHidden/>
    <w:rsid w:val="001335F0"/>
    <w:pPr>
      <w:spacing w:before="120" w:after="120"/>
    </w:pPr>
    <w:rPr>
      <w:rFonts w:ascii="Arial" w:hAnsi="Arial"/>
      <w:b/>
      <w:color w:val="918585"/>
      <w:sz w:val="24"/>
    </w:rPr>
  </w:style>
  <w:style w:type="paragraph" w:customStyle="1" w:styleId="Chapter">
    <w:name w:val="Chapter"/>
    <w:basedOn w:val="Normal"/>
    <w:rsid w:val="001335F0"/>
    <w:pPr>
      <w:spacing w:before="240"/>
    </w:pPr>
    <w:rPr>
      <w:rFonts w:ascii="Times New Roman" w:hAnsi="Times New Roman"/>
      <w:smallCaps/>
      <w:spacing w:val="80"/>
      <w:sz w:val="28"/>
    </w:rPr>
  </w:style>
  <w:style w:type="paragraph" w:customStyle="1" w:styleId="InChapter">
    <w:name w:val="InChapter"/>
    <w:basedOn w:val="Heading3"/>
    <w:rsid w:val="001335F0"/>
    <w:pPr>
      <w:spacing w:after="240"/>
      <w:outlineLvl w:val="9"/>
    </w:pPr>
    <w:rPr>
      <w:noProof/>
    </w:rPr>
  </w:style>
  <w:style w:type="paragraph" w:styleId="Index2">
    <w:name w:val="index 2"/>
    <w:basedOn w:val="Normal"/>
    <w:next w:val="Normal"/>
    <w:semiHidden/>
    <w:rsid w:val="001335F0"/>
    <w:pPr>
      <w:tabs>
        <w:tab w:val="right" w:pos="4176"/>
      </w:tabs>
      <w:ind w:left="568" w:hanging="284"/>
    </w:pPr>
    <w:rPr>
      <w:rFonts w:ascii="Garamond" w:hAnsi="Garamond"/>
    </w:rPr>
  </w:style>
  <w:style w:type="paragraph" w:customStyle="1" w:styleId="Byline">
    <w:name w:val="Byline"/>
    <w:rsid w:val="001335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35F0"/>
    <w:pPr>
      <w:tabs>
        <w:tab w:val="clear" w:pos="3600"/>
        <w:tab w:val="clear" w:pos="3958"/>
      </w:tabs>
      <w:jc w:val="right"/>
    </w:pPr>
  </w:style>
  <w:style w:type="character" w:styleId="Emphasis">
    <w:name w:val="Emphasis"/>
    <w:qFormat/>
    <w:rsid w:val="001335F0"/>
    <w:rPr>
      <w:i/>
    </w:rPr>
  </w:style>
  <w:style w:type="paragraph" w:styleId="Caption">
    <w:name w:val="caption"/>
    <w:basedOn w:val="BodyText"/>
    <w:next w:val="Normal"/>
    <w:qFormat/>
    <w:rsid w:val="001335F0"/>
    <w:pPr>
      <w:framePr w:w="2268" w:hSpace="181" w:vSpace="181" w:wrap="around" w:vAnchor="text" w:hAnchor="page" w:x="1135" w:y="285" w:anchorLock="1"/>
    </w:pPr>
    <w:rPr>
      <w:i/>
    </w:rPr>
  </w:style>
  <w:style w:type="paragraph" w:customStyle="1" w:styleId="MiniTOCTitle">
    <w:name w:val="MiniTOCTitle"/>
    <w:basedOn w:val="Heading4"/>
    <w:rsid w:val="001335F0"/>
    <w:pPr>
      <w:spacing w:before="240"/>
      <w:outlineLvl w:val="9"/>
    </w:pPr>
    <w:rPr>
      <w:noProof/>
      <w:sz w:val="24"/>
    </w:rPr>
  </w:style>
  <w:style w:type="paragraph" w:customStyle="1" w:styleId="MiniTOCItem">
    <w:name w:val="MiniTOCItem"/>
    <w:basedOn w:val="ListBullet"/>
    <w:rsid w:val="001335F0"/>
    <w:pPr>
      <w:numPr>
        <w:numId w:val="0"/>
      </w:numPr>
      <w:tabs>
        <w:tab w:val="right" w:leader="dot" w:pos="6521"/>
      </w:tabs>
      <w:spacing w:before="0" w:after="0"/>
    </w:pPr>
  </w:style>
  <w:style w:type="paragraph" w:customStyle="1" w:styleId="TOFTitle">
    <w:name w:val="TOFTitle"/>
    <w:basedOn w:val="TOCTitle"/>
    <w:rsid w:val="001335F0"/>
  </w:style>
  <w:style w:type="paragraph" w:styleId="TableofFigures">
    <w:name w:val="table of figures"/>
    <w:basedOn w:val="Normal"/>
    <w:next w:val="Normal"/>
    <w:semiHidden/>
    <w:rsid w:val="001335F0"/>
    <w:pPr>
      <w:tabs>
        <w:tab w:val="right" w:leader="dot" w:pos="9072"/>
      </w:tabs>
      <w:ind w:left="970" w:hanging="403"/>
    </w:pPr>
    <w:rPr>
      <w:rFonts w:ascii="Times New Roman" w:hAnsi="Times New Roman"/>
      <w:b/>
    </w:rPr>
  </w:style>
  <w:style w:type="paragraph" w:styleId="ListNumber">
    <w:name w:val="List Number"/>
    <w:basedOn w:val="List"/>
    <w:rsid w:val="001335F0"/>
    <w:pPr>
      <w:numPr>
        <w:numId w:val="11"/>
      </w:numPr>
    </w:pPr>
  </w:style>
  <w:style w:type="character" w:customStyle="1" w:styleId="WingdingSymbols">
    <w:name w:val="Wingding Symbols"/>
    <w:rsid w:val="001335F0"/>
    <w:rPr>
      <w:rFonts w:ascii="Wingdings" w:hAnsi="Wingdings"/>
    </w:rPr>
  </w:style>
  <w:style w:type="paragraph" w:customStyle="1" w:styleId="TableHeading">
    <w:name w:val="Table Heading"/>
    <w:basedOn w:val="HeadingBase"/>
    <w:rsid w:val="001335F0"/>
    <w:pPr>
      <w:keepLines/>
      <w:pBdr>
        <w:bottom w:val="single" w:sz="6" w:space="1" w:color="918585"/>
      </w:pBdr>
      <w:spacing w:before="240"/>
    </w:pPr>
  </w:style>
  <w:style w:type="character" w:customStyle="1" w:styleId="HotSpot">
    <w:name w:val="HotSpot"/>
    <w:rsid w:val="001335F0"/>
    <w:rPr>
      <w:color w:val="0033CC"/>
      <w:u w:val="none"/>
    </w:rPr>
  </w:style>
  <w:style w:type="paragraph" w:customStyle="1" w:styleId="BodyTextRight">
    <w:name w:val="Body Text Right"/>
    <w:basedOn w:val="BodyText"/>
    <w:rsid w:val="001335F0"/>
    <w:pPr>
      <w:spacing w:before="0" w:after="0"/>
      <w:jc w:val="right"/>
    </w:pPr>
  </w:style>
  <w:style w:type="paragraph" w:styleId="Index3">
    <w:name w:val="index 3"/>
    <w:basedOn w:val="ListNumber2"/>
    <w:next w:val="Normal"/>
    <w:semiHidden/>
    <w:rsid w:val="001335F0"/>
    <w:pPr>
      <w:numPr>
        <w:numId w:val="0"/>
      </w:numPr>
      <w:tabs>
        <w:tab w:val="right" w:leader="dot" w:pos="4176"/>
      </w:tabs>
    </w:pPr>
  </w:style>
  <w:style w:type="paragraph" w:styleId="ListNumber2">
    <w:name w:val="List Number 2"/>
    <w:basedOn w:val="List2"/>
    <w:rsid w:val="001335F0"/>
    <w:pPr>
      <w:numPr>
        <w:numId w:val="10"/>
      </w:numPr>
      <w:tabs>
        <w:tab w:val="clear" w:pos="1060"/>
      </w:tabs>
    </w:pPr>
  </w:style>
  <w:style w:type="paragraph" w:customStyle="1" w:styleId="MarginNote">
    <w:name w:val="Margin Note"/>
    <w:basedOn w:val="BodyText"/>
    <w:rsid w:val="001335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35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335F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335F0"/>
    <w:rPr>
      <w:sz w:val="32"/>
    </w:rPr>
  </w:style>
  <w:style w:type="paragraph" w:customStyle="1" w:styleId="HeadingProcedure">
    <w:name w:val="Heading Procedure"/>
    <w:basedOn w:val="HeadingBase"/>
    <w:next w:val="Normal"/>
    <w:rsid w:val="001335F0"/>
    <w:pPr>
      <w:tabs>
        <w:tab w:val="left" w:pos="0"/>
      </w:tabs>
      <w:spacing w:before="120" w:after="60"/>
    </w:pPr>
    <w:rPr>
      <w:i/>
      <w:color w:val="918585"/>
      <w:sz w:val="22"/>
    </w:rPr>
  </w:style>
  <w:style w:type="paragraph" w:customStyle="1" w:styleId="TableBodyText">
    <w:name w:val="Table Body Text"/>
    <w:basedOn w:val="BodyText"/>
    <w:rsid w:val="001335F0"/>
    <w:pPr>
      <w:spacing w:before="60" w:after="60"/>
    </w:pPr>
  </w:style>
  <w:style w:type="paragraph" w:styleId="ListContinue">
    <w:name w:val="List Continue"/>
    <w:basedOn w:val="List"/>
    <w:rsid w:val="001335F0"/>
    <w:pPr>
      <w:ind w:firstLine="0"/>
    </w:pPr>
  </w:style>
  <w:style w:type="paragraph" w:customStyle="1" w:styleId="ListNote">
    <w:name w:val="List Note"/>
    <w:basedOn w:val="List"/>
    <w:rsid w:val="001335F0"/>
    <w:pPr>
      <w:pBdr>
        <w:top w:val="single" w:sz="6" w:space="2" w:color="918585"/>
        <w:bottom w:val="single" w:sz="6" w:space="2" w:color="918585"/>
      </w:pBdr>
      <w:tabs>
        <w:tab w:val="left" w:pos="1021"/>
      </w:tabs>
      <w:ind w:firstLine="0"/>
    </w:pPr>
  </w:style>
  <w:style w:type="paragraph" w:customStyle="1" w:styleId="Warning">
    <w:name w:val="Warning"/>
    <w:basedOn w:val="BodyText"/>
    <w:rsid w:val="001335F0"/>
    <w:pPr>
      <w:shd w:val="clear" w:color="auto" w:fill="D9D9D9"/>
      <w:tabs>
        <w:tab w:val="left" w:pos="992"/>
      </w:tabs>
      <w:ind w:left="119" w:right="119"/>
    </w:pPr>
    <w:rPr>
      <w:sz w:val="20"/>
    </w:rPr>
  </w:style>
  <w:style w:type="paragraph" w:customStyle="1" w:styleId="MarginIcons">
    <w:name w:val="Margin Icons"/>
    <w:basedOn w:val="BodyText"/>
    <w:rsid w:val="001335F0"/>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335F0"/>
    <w:rPr>
      <w:rFonts w:ascii="Courier New" w:hAnsi="Courier New"/>
    </w:rPr>
  </w:style>
  <w:style w:type="paragraph" w:customStyle="1" w:styleId="NoteBullet">
    <w:name w:val="Note Bullet"/>
    <w:basedOn w:val="Note"/>
    <w:rsid w:val="001335F0"/>
    <w:pPr>
      <w:tabs>
        <w:tab w:val="clear" w:pos="680"/>
      </w:tabs>
      <w:spacing w:before="60" w:after="60"/>
    </w:pPr>
  </w:style>
  <w:style w:type="paragraph" w:customStyle="1" w:styleId="SubHeading2">
    <w:name w:val="SubHeading2"/>
    <w:basedOn w:val="HeadingBase"/>
    <w:rsid w:val="001335F0"/>
    <w:pPr>
      <w:spacing w:before="240" w:after="60"/>
    </w:pPr>
    <w:rPr>
      <w:sz w:val="20"/>
    </w:rPr>
  </w:style>
  <w:style w:type="paragraph" w:customStyle="1" w:styleId="SubHeading1">
    <w:name w:val="SubHeading1"/>
    <w:basedOn w:val="HeadingBase"/>
    <w:rsid w:val="001335F0"/>
    <w:pPr>
      <w:spacing w:before="240" w:after="60"/>
    </w:pPr>
    <w:rPr>
      <w:color w:val="918585"/>
      <w:sz w:val="22"/>
    </w:rPr>
  </w:style>
  <w:style w:type="paragraph" w:customStyle="1" w:styleId="SideHeading">
    <w:name w:val="Side Heading"/>
    <w:basedOn w:val="HeadingBase"/>
    <w:rsid w:val="001335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35F0"/>
    <w:pPr>
      <w:numPr>
        <w:numId w:val="12"/>
      </w:numPr>
    </w:pPr>
  </w:style>
  <w:style w:type="paragraph" w:styleId="PlainText">
    <w:name w:val="Plain Text"/>
    <w:basedOn w:val="Normal"/>
    <w:link w:val="PlainTextChar"/>
    <w:rsid w:val="001335F0"/>
    <w:rPr>
      <w:sz w:val="20"/>
    </w:rPr>
  </w:style>
  <w:style w:type="character" w:customStyle="1" w:styleId="PlainTextChar">
    <w:name w:val="Plain Text Char"/>
    <w:basedOn w:val="DefaultParagraphFont"/>
    <w:link w:val="PlainText"/>
    <w:rsid w:val="001335F0"/>
    <w:rPr>
      <w:rFonts w:ascii="Courier New" w:eastAsia="Times New Roman" w:hAnsi="Courier New" w:cs="Times New Roman"/>
      <w:sz w:val="20"/>
      <w:szCs w:val="20"/>
      <w:lang w:val="en-US" w:eastAsia="en-US"/>
    </w:rPr>
  </w:style>
  <w:style w:type="character" w:customStyle="1" w:styleId="MenuOption">
    <w:name w:val="Menu Option"/>
    <w:rsid w:val="001335F0"/>
    <w:rPr>
      <w:b/>
      <w:smallCaps/>
    </w:rPr>
  </w:style>
  <w:style w:type="paragraph" w:customStyle="1" w:styleId="TableListNumber">
    <w:name w:val="Table List Number"/>
    <w:basedOn w:val="ListNumber"/>
    <w:rsid w:val="001335F0"/>
    <w:pPr>
      <w:numPr>
        <w:numId w:val="0"/>
      </w:numPr>
    </w:pPr>
  </w:style>
  <w:style w:type="paragraph" w:styleId="TOC4">
    <w:name w:val="toc 4"/>
    <w:basedOn w:val="TOCBase"/>
    <w:next w:val="Normal"/>
    <w:semiHidden/>
    <w:rsid w:val="001335F0"/>
    <w:pPr>
      <w:tabs>
        <w:tab w:val="right" w:leader="dot" w:pos="9071"/>
      </w:tabs>
      <w:ind w:left="1701"/>
    </w:pPr>
  </w:style>
  <w:style w:type="paragraph" w:customStyle="1" w:styleId="ListAlpha">
    <w:name w:val="List Alpha"/>
    <w:basedOn w:val="List"/>
    <w:rsid w:val="001335F0"/>
    <w:pPr>
      <w:numPr>
        <w:numId w:val="9"/>
      </w:numPr>
    </w:pPr>
  </w:style>
  <w:style w:type="paragraph" w:customStyle="1" w:styleId="ListAlpha2">
    <w:name w:val="List Alpha 2"/>
    <w:basedOn w:val="List2"/>
    <w:rsid w:val="001335F0"/>
    <w:pPr>
      <w:numPr>
        <w:numId w:val="8"/>
      </w:numPr>
    </w:pPr>
  </w:style>
  <w:style w:type="paragraph" w:styleId="List2">
    <w:name w:val="List 2"/>
    <w:basedOn w:val="BodyText"/>
    <w:rsid w:val="001335F0"/>
    <w:pPr>
      <w:tabs>
        <w:tab w:val="left" w:pos="680"/>
      </w:tabs>
      <w:spacing w:before="60" w:after="60"/>
      <w:ind w:left="680" w:hanging="340"/>
    </w:pPr>
  </w:style>
  <w:style w:type="paragraph" w:styleId="List3">
    <w:name w:val="List 3"/>
    <w:basedOn w:val="BodyText"/>
    <w:rsid w:val="001335F0"/>
    <w:pPr>
      <w:tabs>
        <w:tab w:val="left" w:pos="1021"/>
      </w:tabs>
      <w:spacing w:before="60" w:after="60"/>
      <w:ind w:left="1020" w:hanging="340"/>
    </w:pPr>
  </w:style>
  <w:style w:type="paragraph" w:styleId="List4">
    <w:name w:val="List 4"/>
    <w:basedOn w:val="BodyText"/>
    <w:rsid w:val="001335F0"/>
    <w:pPr>
      <w:tabs>
        <w:tab w:val="left" w:pos="1361"/>
      </w:tabs>
      <w:spacing w:before="60" w:after="60"/>
      <w:ind w:left="1361" w:hanging="340"/>
    </w:pPr>
  </w:style>
  <w:style w:type="paragraph" w:styleId="List5">
    <w:name w:val="List 5"/>
    <w:basedOn w:val="BodyText"/>
    <w:rsid w:val="001335F0"/>
    <w:pPr>
      <w:tabs>
        <w:tab w:val="left" w:pos="1701"/>
      </w:tabs>
      <w:spacing w:before="60" w:after="60"/>
      <w:ind w:left="1701" w:hanging="340"/>
    </w:pPr>
  </w:style>
  <w:style w:type="paragraph" w:styleId="ListBullet3">
    <w:name w:val="List Bullet 3"/>
    <w:basedOn w:val="List3"/>
    <w:rsid w:val="001335F0"/>
    <w:pPr>
      <w:numPr>
        <w:numId w:val="15"/>
      </w:numPr>
      <w:tabs>
        <w:tab w:val="clear" w:pos="1021"/>
      </w:tabs>
      <w:ind w:left="1037" w:hanging="357"/>
    </w:pPr>
  </w:style>
  <w:style w:type="paragraph" w:styleId="ListBullet4">
    <w:name w:val="List Bullet 4"/>
    <w:basedOn w:val="List4"/>
    <w:rsid w:val="001335F0"/>
    <w:pPr>
      <w:numPr>
        <w:numId w:val="3"/>
      </w:numPr>
    </w:pPr>
  </w:style>
  <w:style w:type="paragraph" w:styleId="ListBullet5">
    <w:name w:val="List Bullet 5"/>
    <w:basedOn w:val="List5"/>
    <w:rsid w:val="001335F0"/>
    <w:pPr>
      <w:numPr>
        <w:numId w:val="4"/>
      </w:numPr>
    </w:pPr>
  </w:style>
  <w:style w:type="paragraph" w:styleId="ListContinue2">
    <w:name w:val="List Continue 2"/>
    <w:basedOn w:val="List2"/>
    <w:rsid w:val="001335F0"/>
    <w:pPr>
      <w:ind w:firstLine="0"/>
    </w:pPr>
  </w:style>
  <w:style w:type="paragraph" w:styleId="ListContinue3">
    <w:name w:val="List Continue 3"/>
    <w:basedOn w:val="List3"/>
    <w:rsid w:val="001335F0"/>
    <w:pPr>
      <w:ind w:left="1021" w:firstLine="0"/>
    </w:pPr>
  </w:style>
  <w:style w:type="paragraph" w:styleId="ListContinue4">
    <w:name w:val="List Continue 4"/>
    <w:basedOn w:val="List4"/>
    <w:rsid w:val="001335F0"/>
    <w:pPr>
      <w:ind w:firstLine="0"/>
    </w:pPr>
  </w:style>
  <w:style w:type="paragraph" w:styleId="ListContinue5">
    <w:name w:val="List Continue 5"/>
    <w:basedOn w:val="List5"/>
    <w:rsid w:val="001335F0"/>
    <w:pPr>
      <w:ind w:firstLine="0"/>
    </w:pPr>
  </w:style>
  <w:style w:type="paragraph" w:styleId="ListNumber3">
    <w:name w:val="List Number 3"/>
    <w:basedOn w:val="List3"/>
    <w:rsid w:val="001335F0"/>
    <w:pPr>
      <w:numPr>
        <w:numId w:val="5"/>
      </w:numPr>
    </w:pPr>
  </w:style>
  <w:style w:type="paragraph" w:styleId="ListNumber4">
    <w:name w:val="List Number 4"/>
    <w:basedOn w:val="List4"/>
    <w:rsid w:val="001335F0"/>
    <w:pPr>
      <w:numPr>
        <w:numId w:val="6"/>
      </w:numPr>
    </w:pPr>
  </w:style>
  <w:style w:type="paragraph" w:styleId="ListNumber5">
    <w:name w:val="List Number 5"/>
    <w:basedOn w:val="List5"/>
    <w:rsid w:val="001335F0"/>
    <w:pPr>
      <w:numPr>
        <w:numId w:val="7"/>
      </w:numPr>
    </w:pPr>
  </w:style>
  <w:style w:type="paragraph" w:styleId="BlockText">
    <w:name w:val="Block Text"/>
    <w:basedOn w:val="Normal"/>
    <w:rsid w:val="001335F0"/>
    <w:pPr>
      <w:spacing w:after="120"/>
      <w:ind w:left="1440" w:right="1440"/>
    </w:pPr>
  </w:style>
  <w:style w:type="character" w:customStyle="1" w:styleId="Subscript">
    <w:name w:val="Subscript"/>
    <w:rsid w:val="001335F0"/>
    <w:rPr>
      <w:sz w:val="16"/>
      <w:vertAlign w:val="subscript"/>
    </w:rPr>
  </w:style>
  <w:style w:type="character" w:customStyle="1" w:styleId="Superscript">
    <w:name w:val="Superscript"/>
    <w:rsid w:val="001335F0"/>
    <w:rPr>
      <w:sz w:val="16"/>
      <w:vertAlign w:val="superscript"/>
    </w:rPr>
  </w:style>
  <w:style w:type="character" w:customStyle="1" w:styleId="Symbols">
    <w:name w:val="Symbols"/>
    <w:rsid w:val="001335F0"/>
    <w:rPr>
      <w:rFonts w:ascii="Symbol" w:hAnsi="Symbol"/>
    </w:rPr>
  </w:style>
  <w:style w:type="character" w:customStyle="1" w:styleId="MenuOptions">
    <w:name w:val="Menu Options"/>
    <w:rsid w:val="001335F0"/>
    <w:rPr>
      <w:rFonts w:ascii="Arial Narrow" w:hAnsi="Arial Narrow"/>
      <w:smallCaps/>
    </w:rPr>
  </w:style>
  <w:style w:type="character" w:customStyle="1" w:styleId="Buttons">
    <w:name w:val="Buttons"/>
    <w:rsid w:val="001335F0"/>
    <w:rPr>
      <w:b/>
    </w:rPr>
  </w:style>
  <w:style w:type="character" w:customStyle="1" w:styleId="Underlined">
    <w:name w:val="Underlined"/>
    <w:rsid w:val="001335F0"/>
    <w:rPr>
      <w:u w:val="single"/>
    </w:rPr>
  </w:style>
  <w:style w:type="paragraph" w:customStyle="1" w:styleId="TableBodyTextRight">
    <w:name w:val="Table Body Text Right"/>
    <w:basedOn w:val="TableBodyText"/>
    <w:rsid w:val="001335F0"/>
    <w:pPr>
      <w:widowControl w:val="0"/>
      <w:autoSpaceDE w:val="0"/>
      <w:autoSpaceDN w:val="0"/>
      <w:adjustRightInd w:val="0"/>
      <w:jc w:val="right"/>
    </w:pPr>
    <w:rPr>
      <w:rFonts w:cs="Arial"/>
      <w:szCs w:val="18"/>
    </w:rPr>
  </w:style>
  <w:style w:type="paragraph" w:customStyle="1" w:styleId="CopyrightText">
    <w:name w:val="Copyright Text"/>
    <w:basedOn w:val="BodyText"/>
    <w:rsid w:val="001335F0"/>
    <w:rPr>
      <w:sz w:val="18"/>
    </w:rPr>
  </w:style>
  <w:style w:type="paragraph" w:customStyle="1" w:styleId="BodySmallRight">
    <w:name w:val="Body Small Right"/>
    <w:basedOn w:val="BodyTextRight"/>
    <w:rsid w:val="001335F0"/>
    <w:rPr>
      <w:sz w:val="18"/>
      <w:szCs w:val="18"/>
    </w:rPr>
  </w:style>
  <w:style w:type="paragraph" w:customStyle="1" w:styleId="MarginEdition">
    <w:name w:val="Margin Edition"/>
    <w:basedOn w:val="MarginNote"/>
    <w:rsid w:val="001335F0"/>
    <w:pPr>
      <w:spacing w:before="0" w:after="0"/>
    </w:pPr>
    <w:rPr>
      <w:rFonts w:ascii="Times New Roman" w:hAnsi="Times New Roman"/>
      <w:color w:val="999999"/>
    </w:rPr>
  </w:style>
  <w:style w:type="paragraph" w:customStyle="1" w:styleId="Spacer">
    <w:name w:val="Spacer"/>
    <w:basedOn w:val="Normal"/>
    <w:rsid w:val="001335F0"/>
    <w:rPr>
      <w:sz w:val="2"/>
      <w:szCs w:val="2"/>
    </w:rPr>
  </w:style>
  <w:style w:type="character" w:customStyle="1" w:styleId="Small">
    <w:name w:val="Small"/>
    <w:rsid w:val="001335F0"/>
    <w:rPr>
      <w:sz w:val="16"/>
    </w:rPr>
  </w:style>
  <w:style w:type="paragraph" w:customStyle="1" w:styleId="WideTable">
    <w:name w:val="Wide Table"/>
    <w:basedOn w:val="Normal"/>
    <w:rsid w:val="001335F0"/>
    <w:pPr>
      <w:ind w:left="-1418"/>
    </w:pPr>
    <w:rPr>
      <w:sz w:val="2"/>
      <w:szCs w:val="2"/>
    </w:rPr>
  </w:style>
  <w:style w:type="character" w:styleId="PageNumber">
    <w:name w:val="page number"/>
    <w:rsid w:val="001335F0"/>
  </w:style>
  <w:style w:type="paragraph" w:styleId="Quote">
    <w:name w:val="Quote"/>
    <w:basedOn w:val="Heading1"/>
    <w:link w:val="QuoteChar"/>
    <w:qFormat/>
    <w:rsid w:val="001335F0"/>
    <w:rPr>
      <w:b w:val="0"/>
      <w:sz w:val="72"/>
      <w:szCs w:val="72"/>
      <w:lang w:val="en-NZ"/>
    </w:rPr>
  </w:style>
  <w:style w:type="character" w:customStyle="1" w:styleId="QuoteChar">
    <w:name w:val="Quote Char"/>
    <w:link w:val="Quote"/>
    <w:rsid w:val="001335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35F0"/>
    <w:pPr>
      <w:pageBreakBefore/>
    </w:pPr>
  </w:style>
  <w:style w:type="paragraph" w:customStyle="1" w:styleId="Border">
    <w:name w:val="Border"/>
    <w:basedOn w:val="Normal"/>
    <w:qFormat/>
    <w:rsid w:val="001335F0"/>
    <w:pPr>
      <w:pBdr>
        <w:top w:val="single" w:sz="18" w:space="1" w:color="auto"/>
      </w:pBdr>
    </w:pPr>
    <w:rPr>
      <w:rFonts w:ascii="Times New Roman" w:hAnsi="Times New Roman"/>
      <w:color w:val="FFFFFF"/>
      <w:sz w:val="2"/>
    </w:rPr>
  </w:style>
  <w:style w:type="character" w:styleId="IntenseEmphasis">
    <w:name w:val="Intense Emphasis"/>
    <w:uiPriority w:val="21"/>
    <w:qFormat/>
    <w:rsid w:val="001335F0"/>
    <w:rPr>
      <w:b/>
      <w:bCs/>
      <w:i/>
      <w:iCs/>
      <w:color w:val="auto"/>
    </w:rPr>
  </w:style>
  <w:style w:type="paragraph" w:styleId="IntenseQuote">
    <w:name w:val="Intense Quote"/>
    <w:basedOn w:val="Normal"/>
    <w:next w:val="Normal"/>
    <w:link w:val="IntenseQuoteChar"/>
    <w:uiPriority w:val="30"/>
    <w:qFormat/>
    <w:rsid w:val="001335F0"/>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335F0"/>
    <w:rPr>
      <w:rFonts w:ascii="Courier New" w:eastAsia="Times New Roman" w:hAnsi="Courier New" w:cs="Times New Roman"/>
      <w:b/>
      <w:bCs/>
      <w:i/>
      <w:iCs/>
      <w:szCs w:val="20"/>
      <w:lang w:val="en-US" w:eastAsia="en-US"/>
    </w:rPr>
  </w:style>
  <w:style w:type="character" w:styleId="SubtleReference">
    <w:name w:val="Subtle Reference"/>
    <w:uiPriority w:val="31"/>
    <w:qFormat/>
    <w:rsid w:val="001335F0"/>
    <w:rPr>
      <w:smallCaps/>
      <w:color w:val="auto"/>
      <w:u w:val="single"/>
    </w:rPr>
  </w:style>
  <w:style w:type="character" w:styleId="IntenseReference">
    <w:name w:val="Intense Reference"/>
    <w:uiPriority w:val="32"/>
    <w:qFormat/>
    <w:rsid w:val="001335F0"/>
    <w:rPr>
      <w:b/>
      <w:bCs/>
      <w:smallCaps/>
      <w:color w:val="auto"/>
      <w:spacing w:val="5"/>
      <w:u w:val="single"/>
    </w:rPr>
  </w:style>
  <w:style w:type="paragraph" w:customStyle="1" w:styleId="2ColumnHeading">
    <w:name w:val="2Column Heading"/>
    <w:basedOn w:val="BodyText"/>
    <w:qFormat/>
    <w:rsid w:val="001335F0"/>
    <w:pPr>
      <w:spacing w:after="60"/>
      <w:ind w:left="-2268"/>
    </w:pPr>
    <w:rPr>
      <w:b/>
    </w:rPr>
  </w:style>
  <w:style w:type="paragraph" w:customStyle="1" w:styleId="Heading1TOC">
    <w:name w:val="Heading1 TOC"/>
    <w:basedOn w:val="Normal"/>
    <w:qFormat/>
    <w:rsid w:val="001335F0"/>
    <w:pPr>
      <w:spacing w:before="240" w:after="120"/>
    </w:pPr>
    <w:rPr>
      <w:rFonts w:ascii="Times New Roman" w:hAnsi="Times New Roman"/>
      <w:b/>
      <w:sz w:val="32"/>
    </w:rPr>
  </w:style>
  <w:style w:type="paragraph" w:customStyle="1" w:styleId="Heading2TOC">
    <w:name w:val="Heading2 TOC"/>
    <w:basedOn w:val="Normal"/>
    <w:qFormat/>
    <w:rsid w:val="001335F0"/>
    <w:pPr>
      <w:spacing w:before="240" w:after="60"/>
    </w:pPr>
    <w:rPr>
      <w:rFonts w:ascii="Times New Roman" w:hAnsi="Times New Roman"/>
      <w:b/>
      <w:sz w:val="28"/>
    </w:rPr>
  </w:style>
  <w:style w:type="character" w:customStyle="1" w:styleId="Underline">
    <w:name w:val="Underline"/>
    <w:qFormat/>
    <w:rsid w:val="001335F0"/>
    <w:rPr>
      <w:u w:val="single"/>
    </w:rPr>
  </w:style>
  <w:style w:type="character" w:customStyle="1" w:styleId="BoldandItalics">
    <w:name w:val="Bold and Italics"/>
    <w:qFormat/>
    <w:rsid w:val="001335F0"/>
    <w:rPr>
      <w:b/>
      <w:i/>
      <w:u w:val="none"/>
    </w:rPr>
  </w:style>
  <w:style w:type="paragraph" w:styleId="BalloonText">
    <w:name w:val="Balloon Text"/>
    <w:basedOn w:val="Normal"/>
    <w:link w:val="BalloonTextChar"/>
    <w:rsid w:val="001335F0"/>
    <w:rPr>
      <w:rFonts w:ascii="Tahoma" w:hAnsi="Tahoma" w:cs="Tahoma"/>
      <w:sz w:val="16"/>
      <w:szCs w:val="16"/>
    </w:rPr>
  </w:style>
  <w:style w:type="character" w:customStyle="1" w:styleId="BalloonTextChar">
    <w:name w:val="Balloon Text Char"/>
    <w:link w:val="BalloonText"/>
    <w:rsid w:val="001335F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335F0"/>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335F0"/>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1192</Words>
  <Characters>7793</Characters>
  <Application>Microsoft Office Word</Application>
  <DocSecurity>0</DocSecurity>
  <Lines>264</Lines>
  <Paragraphs>151</Paragraphs>
  <ScaleCrop>false</ScaleCrop>
  <Company>Author-it Software Corporation Ltd.</Company>
  <LinksUpToDate>false</LinksUpToDate>
  <CharactersWithSpaces>8921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TLIX4034A Apply technical risk management systems and techniques</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2012-05-27T04:13:00Z</dcterms:created>
  <dcterms:modified xsi:type="dcterms:W3CDTF">2012-05-27T04:13:00Z</dcterms:modified>
</cp:coreProperties>
</file>