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3BF8" w:rsidP="00F93BF8">
      <w:pPr>
        <w:pStyle w:val="Title"/>
      </w:pPr>
      <w:r>
        <w:fldChar w:fldCharType="begin"/>
      </w:r>
      <w:r>
        <w:instrText xml:space="preserve"> TITLE   \* MERGEFORMAT </w:instrText>
      </w:r>
      <w:r>
        <w:fldChar w:fldCharType="separate"/>
      </w:r>
      <w:r>
        <w:t>TLIX4018A Apply materiel sustainment processes and procedures</w:t>
      </w:r>
      <w:r>
        <w:fldChar w:fldCharType="end"/>
      </w:r>
    </w:p>
    <w:p w:rsidR="00F93BF8" w:rsidP="00F93BF8">
      <w:pPr>
        <w:pStyle w:val="Version"/>
        <w:sectPr w:rsidSect="001C30D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C30DA" w:rsidP="001C30DA">
      <w:pPr>
        <w:pStyle w:val="SuperHeading"/>
      </w:pPr>
      <w:r w:rsidRPr="001C30DA">
        <w:t>TLIX4018A Apply materiel sustainment processes and procedures</w:t>
      </w:r>
    </w:p>
    <w:p w:rsidR="00000000" w:rsidRPr="001C30DA" w:rsidP="001C30DA">
      <w:pPr>
        <w:pStyle w:val="Heading1"/>
      </w:pPr>
      <w:bookmarkStart w:id="1" w:name="O_274382"/>
      <w:bookmarkEnd w:id="1"/>
      <w:r w:rsidRPr="001C30DA">
        <w:t>Modification History</w:t>
      </w:r>
    </w:p>
    <w:p w:rsidR="00000000" w:rsidRPr="001C30DA" w:rsidP="001C30DA">
      <w:pPr>
        <w:pStyle w:val="BodyText"/>
      </w:pPr>
      <w:r w:rsidRPr="001C30DA">
        <w:t>Not Applicable</w:t>
      </w:r>
    </w:p>
    <w:p w:rsidR="00000000" w:rsidRPr="001C30DA" w:rsidP="001C30DA">
      <w:pPr>
        <w:pStyle w:val="AllowPageBreak"/>
      </w:pPr>
    </w:p>
    <w:p w:rsidR="00000000" w:rsidRPr="001C30DA" w:rsidP="001C30DA">
      <w:pPr>
        <w:pStyle w:val="Heading1"/>
      </w:pPr>
      <w:bookmarkStart w:id="2" w:name="O_224590"/>
      <w:bookmarkEnd w:id="2"/>
      <w:r w:rsidRPr="001C30DA">
        <w:t>Unit Descriptor</w:t>
      </w:r>
    </w:p>
    <w:tbl>
      <w:tblPr>
        <w:tblW w:w="9640" w:type="dxa"/>
        <w:tblLayout w:type="fixed"/>
        <w:tblCellMar>
          <w:left w:w="62" w:type="dxa"/>
          <w:right w:w="62" w:type="dxa"/>
        </w:tblCellMar>
        <w:tblLook w:val="0000"/>
      </w:tblPr>
      <w:tblGrid>
        <w:gridCol w:w="2978"/>
        <w:gridCol w:w="6662"/>
      </w:tblGrid>
      <w:tr w:rsidTr="00F93BF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C30DA">
            <w:pPr>
              <w:pStyle w:val="BodyText"/>
              <w:rPr>
                <w:lang w:val="en-NZ"/>
              </w:rPr>
            </w:pPr>
            <w:r w:rsidRPr="001C30DA">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1C30DA" w:rsidP="001C30DA">
            <w:pPr>
              <w:pStyle w:val="BodyText"/>
            </w:pPr>
            <w:r w:rsidRPr="001C30DA">
              <w:t>This unit involves the skills and knowledge required to apply materiel sustainment proces</w:t>
            </w:r>
            <w:r w:rsidRPr="001C30DA">
              <w:t>ses and procedures. The application of processes and procedures is specific to a variety of component processes including: materiel sustainment administrative procedures, materiel sustainment data collection and storage, and materiel sustainment data retri</w:t>
            </w:r>
            <w:r w:rsidRPr="001C30DA">
              <w:t>eval. There are no specific licensing or certification requirements applicable to this unit.</w:t>
            </w:r>
          </w:p>
        </w:tc>
      </w:tr>
    </w:tbl>
    <w:p w:rsidR="00F93BF8" w:rsidP="001C30DA">
      <w:pPr>
        <w:pStyle w:val="BodyText"/>
      </w:pPr>
    </w:p>
    <w:p w:rsidR="00F93BF8" w:rsidP="001C30DA">
      <w:pPr>
        <w:pStyle w:val="BodyText"/>
      </w:pPr>
    </w:p>
    <w:p w:rsidR="00000000" w:rsidRPr="001C30DA" w:rsidP="001C30DA">
      <w:pPr>
        <w:pStyle w:val="Heading1"/>
      </w:pPr>
      <w:bookmarkStart w:id="3" w:name="O_224592"/>
      <w:bookmarkEnd w:id="3"/>
      <w:r w:rsidRPr="001C30DA">
        <w:t>Application of the Unit</w:t>
      </w:r>
    </w:p>
    <w:tbl>
      <w:tblPr>
        <w:tblW w:w="9640" w:type="dxa"/>
        <w:tblLayout w:type="fixed"/>
        <w:tblCellMar>
          <w:left w:w="62" w:type="dxa"/>
          <w:right w:w="62" w:type="dxa"/>
        </w:tblCellMar>
        <w:tblLook w:val="0000"/>
      </w:tblPr>
      <w:tblGrid>
        <w:gridCol w:w="2978"/>
        <w:gridCol w:w="6662"/>
      </w:tblGrid>
      <w:tr w:rsidTr="00F93BF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C30DA">
            <w:pPr>
              <w:pStyle w:val="BodyText"/>
              <w:rPr>
                <w:lang w:val="en-NZ"/>
              </w:rPr>
            </w:pPr>
            <w:r w:rsidRPr="001C30DA">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1C30DA" w:rsidP="001C30DA">
            <w:pPr>
              <w:pStyle w:val="BodyText"/>
            </w:pPr>
            <w:r w:rsidRPr="001C30DA">
              <w:t>This unit was developed for materiel sustainment specialists working within materiel logistics but is applicable to any individual in broader logistic roles.</w:t>
            </w:r>
          </w:p>
          <w:p w:rsidR="00000000" w:rsidRPr="001C30DA" w:rsidP="001C30DA">
            <w:pPr>
              <w:pStyle w:val="BodyText"/>
            </w:pPr>
            <w:r w:rsidRPr="001C30DA">
              <w:t>Typically these individuals must demonstrate the ability to work independently or as part of a tea</w:t>
            </w:r>
            <w:r w:rsidRPr="001C30DA">
              <w:t>m under direct and/or indirect supervision, use discretion and judgement, and take responsibility for the quality of their outputs. All activities are carried out in accordance with relevant organisational policy and procedures.</w:t>
            </w:r>
          </w:p>
        </w:tc>
      </w:tr>
    </w:tbl>
    <w:p w:rsidR="00F93BF8" w:rsidP="001C30DA">
      <w:pPr>
        <w:pStyle w:val="BodyText"/>
      </w:pPr>
    </w:p>
    <w:p w:rsidR="00F93BF8" w:rsidP="001C30DA">
      <w:pPr>
        <w:pStyle w:val="BodyText"/>
      </w:pPr>
    </w:p>
    <w:p w:rsidR="00000000" w:rsidRPr="001C30DA" w:rsidP="001C30DA">
      <w:pPr>
        <w:pStyle w:val="Heading1"/>
      </w:pPr>
      <w:bookmarkStart w:id="4" w:name="O_282642"/>
      <w:bookmarkEnd w:id="4"/>
      <w:r w:rsidRPr="001C30DA">
        <w:t>Licensi</w:t>
      </w:r>
      <w:r w:rsidRPr="001C30DA">
        <w:t>ng/Regulatory Information</w:t>
      </w:r>
    </w:p>
    <w:p w:rsidR="00000000" w:rsidRPr="001C30DA" w:rsidP="001C30DA">
      <w:pPr>
        <w:pStyle w:val="BodyText"/>
      </w:pPr>
      <w:r w:rsidRPr="001C30DA">
        <w:t>Refer to Unit Descriptor</w:t>
      </w:r>
    </w:p>
    <w:p w:rsidR="00000000" w:rsidRPr="001C30DA" w:rsidP="001C30DA">
      <w:pPr>
        <w:pStyle w:val="AllowPageBreak"/>
      </w:pPr>
    </w:p>
    <w:p w:rsidR="00000000" w:rsidRPr="001C30DA" w:rsidP="001C30DA">
      <w:pPr>
        <w:pStyle w:val="Heading1"/>
      </w:pPr>
      <w:bookmarkStart w:id="5" w:name="O_285092"/>
      <w:bookmarkEnd w:id="5"/>
      <w:r w:rsidRPr="001C30DA">
        <w:t>Pre-Requisites</w:t>
      </w:r>
    </w:p>
    <w:p w:rsidR="00000000" w:rsidRPr="001C30DA" w:rsidP="001C30DA">
      <w:pPr>
        <w:pStyle w:val="BodyText"/>
      </w:pPr>
      <w:r w:rsidRPr="001C30DA">
        <w:t>Not Applicable</w:t>
      </w:r>
    </w:p>
    <w:p w:rsidR="00000000" w:rsidRPr="001C30DA" w:rsidP="001C30DA">
      <w:pPr>
        <w:pStyle w:val="AllowPageBreak"/>
      </w:pPr>
    </w:p>
    <w:p w:rsidR="00000000" w:rsidRPr="001C30DA" w:rsidP="001C30DA">
      <w:pPr>
        <w:pStyle w:val="Heading1"/>
      </w:pPr>
      <w:bookmarkStart w:id="6" w:name="O_224591"/>
      <w:bookmarkEnd w:id="6"/>
      <w:r w:rsidRPr="001C30DA">
        <w:t>Employability Skills Information</w:t>
      </w:r>
    </w:p>
    <w:tbl>
      <w:tblPr>
        <w:tblW w:w="9640" w:type="dxa"/>
        <w:tblLayout w:type="fixed"/>
        <w:tblCellMar>
          <w:left w:w="62" w:type="dxa"/>
          <w:right w:w="62" w:type="dxa"/>
        </w:tblCellMar>
        <w:tblLook w:val="0000"/>
      </w:tblPr>
      <w:tblGrid>
        <w:gridCol w:w="2978"/>
        <w:gridCol w:w="6662"/>
      </w:tblGrid>
      <w:tr w:rsidTr="00F93BF8">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1C30DA">
            <w:pPr>
              <w:pStyle w:val="BodyText"/>
              <w:rPr>
                <w:lang w:val="en-NZ"/>
              </w:rPr>
            </w:pPr>
            <w:r w:rsidRPr="001C30DA">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1C30DA" w:rsidP="001C30DA">
            <w:pPr>
              <w:pStyle w:val="BodyText"/>
            </w:pPr>
            <w:r w:rsidRPr="001C30DA">
              <w:t>This unit contains employability skills.</w:t>
            </w:r>
          </w:p>
        </w:tc>
      </w:tr>
    </w:tbl>
    <w:p w:rsidR="00F93BF8" w:rsidP="001C30DA">
      <w:pPr>
        <w:pStyle w:val="BodyText"/>
      </w:pPr>
    </w:p>
    <w:p w:rsidR="00F93BF8" w:rsidP="001C30DA">
      <w:pPr>
        <w:pStyle w:val="BodyText"/>
      </w:pPr>
    </w:p>
    <w:p w:rsidR="00000000" w:rsidRPr="001C30DA" w:rsidP="001C30DA">
      <w:pPr>
        <w:pStyle w:val="Heading1"/>
      </w:pPr>
      <w:bookmarkStart w:id="7" w:name="O_292428"/>
      <w:bookmarkEnd w:id="7"/>
      <w:r w:rsidRPr="001C30DA">
        <w:t>Elements and Performance Criteria Pre-Content</w:t>
      </w:r>
    </w:p>
    <w:tbl>
      <w:tblPr>
        <w:tblW w:w="9640" w:type="dxa"/>
        <w:tblLayout w:type="fixed"/>
        <w:tblCellMar>
          <w:left w:w="62" w:type="dxa"/>
          <w:right w:w="62" w:type="dxa"/>
        </w:tblCellMar>
        <w:tblLook w:val="0000"/>
      </w:tblPr>
      <w:tblGrid>
        <w:gridCol w:w="2978"/>
        <w:gridCol w:w="6662"/>
      </w:tblGrid>
      <w:tr w:rsidTr="00F93BF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C30DA">
            <w:pPr>
              <w:pStyle w:val="BodyText"/>
              <w:rPr>
                <w:lang w:val="en-NZ"/>
              </w:rPr>
            </w:pPr>
            <w:r w:rsidRPr="001C30DA">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1C30DA" w:rsidP="001C30DA">
            <w:pPr>
              <w:pStyle w:val="BodyText"/>
            </w:pPr>
            <w:r w:rsidRPr="001C30DA">
              <w:t>Performance criteria describe the required performance needed to demonstrate achievement of the element. Assessment of performance is to be cons</w:t>
            </w:r>
            <w:r w:rsidRPr="001C30DA">
              <w:t>istent with the evidence guide.</w:t>
            </w:r>
          </w:p>
        </w:tc>
      </w:tr>
    </w:tbl>
    <w:p w:rsidR="00000000" w:rsidRPr="001C30DA" w:rsidP="001C30DA">
      <w:pPr>
        <w:pStyle w:val="BodyText"/>
      </w:pPr>
    </w:p>
    <w:p w:rsidR="00000000" w:rsidRPr="001C30DA" w:rsidP="001C30DA">
      <w:pPr>
        <w:pStyle w:val="AllowPageBreak"/>
      </w:pPr>
    </w:p>
    <w:p w:rsidR="00000000" w:rsidRPr="001C30DA" w:rsidP="001C30DA">
      <w:pPr>
        <w:pStyle w:val="Heading1"/>
      </w:pPr>
      <w:bookmarkStart w:id="8" w:name="O_239096"/>
      <w:bookmarkEnd w:id="8"/>
      <w:r w:rsidRPr="001C30DA">
        <w:t>Elements and Performance Criteria</w:t>
      </w:r>
    </w:p>
    <w:tbl>
      <w:tblPr>
        <w:tblW w:w="9640" w:type="dxa"/>
        <w:tblLayout w:type="fixed"/>
        <w:tblCellMar>
          <w:left w:w="62" w:type="dxa"/>
          <w:right w:w="62" w:type="dxa"/>
        </w:tblCellMar>
        <w:tblLook w:val="0000"/>
      </w:tblPr>
      <w:tblGrid>
        <w:gridCol w:w="2978"/>
        <w:gridCol w:w="6662"/>
      </w:tblGrid>
      <w:tr w:rsidTr="00F93BF8">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1C30DA" w:rsidP="001C30DA">
            <w:pPr>
              <w:pStyle w:val="List"/>
            </w:pPr>
            <w:r w:rsidRPr="001C30DA">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1C30DA">
            <w:pPr>
              <w:pStyle w:val="List"/>
              <w:rPr>
                <w:lang w:val="en-NZ"/>
              </w:rPr>
            </w:pPr>
            <w:r w:rsidRPr="001C30DA">
              <w:rPr>
                <w:rStyle w:val="SpecialBold"/>
              </w:rPr>
              <w:t>PERFORMANCE CRITERIA</w:t>
            </w:r>
          </w:p>
        </w:tc>
      </w:tr>
      <w:tr w:rsidTr="00F93BF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C30DA">
            <w:pPr>
              <w:pStyle w:val="List"/>
              <w:rPr>
                <w:lang w:val="en-NZ"/>
              </w:rPr>
            </w:pPr>
            <w:r w:rsidRPr="001C30DA">
              <w:rPr>
                <w:rStyle w:val="SpecialBold"/>
              </w:rPr>
              <w:t>1</w:t>
            </w:r>
            <w:r w:rsidRPr="001C30DA">
              <w:tab/>
            </w:r>
            <w:r w:rsidRPr="001C30DA">
              <w:rPr>
                <w:rStyle w:val="SpecialBold"/>
              </w:rPr>
              <w:t>Prepare to apply materiel sustainment processes and procedures</w:t>
            </w:r>
          </w:p>
        </w:tc>
        <w:tc>
          <w:tcPr>
            <w:tcW w:w="6662" w:type="dxa"/>
            <w:tcBorders>
              <w:top w:val="nil"/>
              <w:left w:val="nil"/>
              <w:bottom w:val="nil"/>
              <w:right w:val="nil"/>
            </w:tcBorders>
            <w:tcMar>
              <w:top w:w="0" w:type="dxa"/>
              <w:left w:w="62" w:type="dxa"/>
              <w:bottom w:w="0" w:type="dxa"/>
              <w:right w:w="62" w:type="dxa"/>
            </w:tcMar>
          </w:tcPr>
          <w:p w:rsidR="00000000" w:rsidRPr="001C30DA" w:rsidP="001C30DA">
            <w:pPr>
              <w:pStyle w:val="List"/>
            </w:pPr>
            <w:r w:rsidRPr="001C30DA">
              <w:t>1.1</w:t>
            </w:r>
            <w:r w:rsidRPr="001C30DA">
              <w:tab/>
            </w:r>
            <w:r w:rsidRPr="001C30DA">
              <w:t>Requirement for application of processes and procedures is identified from work requests/instructions and is confirmed</w:t>
            </w:r>
          </w:p>
          <w:p w:rsidR="00000000" w:rsidRPr="001C30DA" w:rsidP="001C30DA">
            <w:pPr>
              <w:pStyle w:val="List"/>
            </w:pPr>
            <w:r w:rsidRPr="001C30DA">
              <w:t>1.2</w:t>
            </w:r>
            <w:r w:rsidRPr="001C30DA">
              <w:tab/>
              <w:t>Occupational health and safety requirements, including those contained in organisation procedures, are applied throughout the operati</w:t>
            </w:r>
            <w:r w:rsidRPr="001C30DA">
              <w:t>on</w:t>
            </w:r>
          </w:p>
          <w:p w:rsidR="00000000" w:rsidRPr="001C30DA" w:rsidP="001C30DA">
            <w:pPr>
              <w:pStyle w:val="List"/>
            </w:pPr>
            <w:r w:rsidRPr="001C30DA">
              <w:t>1.3</w:t>
            </w:r>
            <w:r w:rsidRPr="001C30DA">
              <w:tab/>
              <w:t>Resources and equipment required for the work are identified, acquired and prepared in accordance with organisational procedures</w:t>
            </w:r>
          </w:p>
          <w:p w:rsidR="00000000" w:rsidP="001C30DA">
            <w:pPr>
              <w:pStyle w:val="List"/>
              <w:rPr>
                <w:lang w:val="en-NZ"/>
              </w:rPr>
            </w:pPr>
            <w:r w:rsidRPr="001C30DA">
              <w:t>1.4</w:t>
            </w:r>
            <w:r w:rsidRPr="001C30DA">
              <w:tab/>
              <w:t xml:space="preserve">Sources of information relevant to materiel sustainment requirements are identified and obtained in accordance with </w:t>
            </w:r>
            <w:r w:rsidRPr="001C30DA">
              <w:t>organisational policy and procedures</w:t>
            </w:r>
          </w:p>
        </w:tc>
      </w:tr>
      <w:tr w:rsidTr="00F93BF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C30DA">
            <w:pPr>
              <w:pStyle w:val="List"/>
              <w:rPr>
                <w:lang w:val="en-NZ"/>
              </w:rPr>
            </w:pPr>
            <w:r w:rsidRPr="001C30DA">
              <w:rPr>
                <w:rStyle w:val="SpecialBold"/>
              </w:rPr>
              <w:t>2</w:t>
            </w:r>
            <w:r w:rsidRPr="001C30DA">
              <w:tab/>
            </w:r>
            <w:r w:rsidRPr="001C30DA">
              <w:rPr>
                <w:rStyle w:val="SpecialBold"/>
              </w:rPr>
              <w:t>Apply materiel sustainment processes and procedures</w:t>
            </w:r>
          </w:p>
        </w:tc>
        <w:tc>
          <w:tcPr>
            <w:tcW w:w="6662" w:type="dxa"/>
            <w:tcBorders>
              <w:top w:val="nil"/>
              <w:left w:val="nil"/>
              <w:bottom w:val="nil"/>
              <w:right w:val="nil"/>
            </w:tcBorders>
            <w:tcMar>
              <w:top w:w="0" w:type="dxa"/>
              <w:left w:w="62" w:type="dxa"/>
              <w:bottom w:w="0" w:type="dxa"/>
              <w:right w:w="62" w:type="dxa"/>
            </w:tcMar>
          </w:tcPr>
          <w:p w:rsidR="00000000" w:rsidRPr="001C30DA" w:rsidP="001C30DA">
            <w:pPr>
              <w:pStyle w:val="List"/>
            </w:pPr>
            <w:r w:rsidRPr="001C30DA">
              <w:t>2.1</w:t>
            </w:r>
            <w:r w:rsidRPr="001C30DA">
              <w:tab/>
              <w:t>Materiel sustainment processes and procedures are implemented and monitored within resource constraints</w:t>
            </w:r>
          </w:p>
          <w:p w:rsidR="00000000" w:rsidP="001C30DA">
            <w:pPr>
              <w:pStyle w:val="List"/>
              <w:rPr>
                <w:lang w:val="en-NZ"/>
              </w:rPr>
            </w:pPr>
            <w:r w:rsidRPr="001C30DA">
              <w:t>2.2</w:t>
            </w:r>
            <w:r w:rsidRPr="001C30DA">
              <w:tab/>
              <w:t>Materiel sustainment processes and procedures are am</w:t>
            </w:r>
            <w:r w:rsidRPr="001C30DA">
              <w:t>ended based on changing circumstances in accordance with organisational policy and procedures</w:t>
            </w:r>
          </w:p>
        </w:tc>
      </w:tr>
      <w:tr w:rsidTr="00F93BF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C30DA">
            <w:pPr>
              <w:pStyle w:val="List"/>
              <w:rPr>
                <w:lang w:val="en-NZ"/>
              </w:rPr>
            </w:pPr>
            <w:r w:rsidRPr="001C30DA">
              <w:rPr>
                <w:rStyle w:val="SpecialBold"/>
              </w:rPr>
              <w:t>3</w:t>
            </w:r>
            <w:r w:rsidRPr="001C30DA">
              <w:tab/>
            </w:r>
            <w:r w:rsidRPr="001C30DA">
              <w:rPr>
                <w:rStyle w:val="SpecialBold"/>
              </w:rPr>
              <w:t>Monitor and report on materiel sustainment processes and procedures</w:t>
            </w:r>
          </w:p>
        </w:tc>
        <w:tc>
          <w:tcPr>
            <w:tcW w:w="6662" w:type="dxa"/>
            <w:tcBorders>
              <w:top w:val="nil"/>
              <w:left w:val="nil"/>
              <w:bottom w:val="nil"/>
              <w:right w:val="nil"/>
            </w:tcBorders>
            <w:tcMar>
              <w:top w:w="0" w:type="dxa"/>
              <w:left w:w="62" w:type="dxa"/>
              <w:bottom w:w="0" w:type="dxa"/>
              <w:right w:w="62" w:type="dxa"/>
            </w:tcMar>
          </w:tcPr>
          <w:p w:rsidR="00000000" w:rsidRPr="001C30DA" w:rsidP="001C30DA">
            <w:pPr>
              <w:pStyle w:val="List"/>
            </w:pPr>
            <w:r w:rsidRPr="001C30DA">
              <w:t>3.1</w:t>
            </w:r>
            <w:r w:rsidRPr="001C30DA">
              <w:tab/>
              <w:t>Materiel sustainment outcomes are reported in accordance with organisational policy and</w:t>
            </w:r>
            <w:r w:rsidRPr="001C30DA">
              <w:t xml:space="preserve"> procedures</w:t>
            </w:r>
          </w:p>
          <w:p w:rsidR="00000000" w:rsidP="001C30DA">
            <w:pPr>
              <w:pStyle w:val="List"/>
              <w:rPr>
                <w:lang w:val="en-NZ"/>
              </w:rPr>
            </w:pPr>
            <w:r w:rsidRPr="001C30DA">
              <w:t>3.2</w:t>
            </w:r>
            <w:r w:rsidRPr="001C30DA">
              <w:tab/>
              <w:t>Materiel sustainment processes and procedures are monitored and reviewed to ensure systems and/or equipment capability is maintained in accordance with organisational policy and procedures</w:t>
            </w:r>
          </w:p>
        </w:tc>
      </w:tr>
      <w:tr w:rsidTr="00F93BF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C30DA">
            <w:pPr>
              <w:pStyle w:val="List"/>
              <w:rPr>
                <w:lang w:val="en-NZ"/>
              </w:rPr>
            </w:pPr>
            <w:r w:rsidRPr="001C30DA">
              <w:rPr>
                <w:rStyle w:val="SpecialBold"/>
              </w:rPr>
              <w:t>4</w:t>
            </w:r>
            <w:r w:rsidRPr="001C30DA">
              <w:tab/>
            </w:r>
            <w:r w:rsidRPr="001C30DA">
              <w:rPr>
                <w:rStyle w:val="SpecialBold"/>
              </w:rPr>
              <w:t>Maintain records for materiel sustainment proces</w:t>
            </w:r>
            <w:r w:rsidRPr="001C30DA">
              <w:rPr>
                <w:rStyle w:val="SpecialBold"/>
              </w:rPr>
              <w:t>ses and procedures</w:t>
            </w:r>
          </w:p>
        </w:tc>
        <w:tc>
          <w:tcPr>
            <w:tcW w:w="6662" w:type="dxa"/>
            <w:tcBorders>
              <w:top w:val="nil"/>
              <w:left w:val="nil"/>
              <w:bottom w:val="nil"/>
              <w:right w:val="nil"/>
            </w:tcBorders>
            <w:tcMar>
              <w:top w:w="0" w:type="dxa"/>
              <w:left w:w="62" w:type="dxa"/>
              <w:bottom w:w="0" w:type="dxa"/>
              <w:right w:w="62" w:type="dxa"/>
            </w:tcMar>
          </w:tcPr>
          <w:p w:rsidR="00000000" w:rsidRPr="001C30DA" w:rsidP="001C30DA">
            <w:pPr>
              <w:pStyle w:val="List"/>
            </w:pPr>
            <w:r w:rsidRPr="001C30DA">
              <w:t>4.1</w:t>
            </w:r>
            <w:r w:rsidRPr="001C30DA">
              <w:tab/>
              <w:t>Materiel sustainment records are completed in accordance with organisational policy and procedures</w:t>
            </w:r>
          </w:p>
          <w:p w:rsidR="00000000" w:rsidRPr="001C30DA" w:rsidP="001C30DA">
            <w:pPr>
              <w:pStyle w:val="List"/>
            </w:pPr>
            <w:r w:rsidRPr="001C30DA">
              <w:t>4.2</w:t>
            </w:r>
            <w:r w:rsidRPr="001C30DA">
              <w:tab/>
              <w:t>Materiel sustainment records are amended and documented in accordance with organisational policy and procedures</w:t>
            </w:r>
          </w:p>
        </w:tc>
      </w:tr>
    </w:tbl>
    <w:p w:rsidR="00F93BF8" w:rsidP="001C30DA">
      <w:pPr>
        <w:pStyle w:val="BodyText"/>
      </w:pPr>
    </w:p>
    <w:p w:rsidR="00F93BF8" w:rsidP="001C30DA">
      <w:pPr>
        <w:pStyle w:val="BodyText"/>
      </w:pPr>
    </w:p>
    <w:p w:rsidR="00000000" w:rsidRPr="001C30DA" w:rsidP="001C30DA">
      <w:pPr>
        <w:pStyle w:val="Heading1"/>
      </w:pPr>
      <w:bookmarkStart w:id="9" w:name="O_262887"/>
      <w:bookmarkEnd w:id="9"/>
      <w:r w:rsidRPr="001C30DA">
        <w:t>Required Skills and Knowledge</w:t>
      </w:r>
    </w:p>
    <w:tbl>
      <w:tblPr>
        <w:tblW w:w="9640" w:type="dxa"/>
        <w:tblLayout w:type="fixed"/>
        <w:tblCellMar>
          <w:left w:w="62" w:type="dxa"/>
          <w:right w:w="62" w:type="dxa"/>
        </w:tblCellMar>
        <w:tblLook w:val="0000"/>
      </w:tblPr>
      <w:tblGrid>
        <w:gridCol w:w="9640"/>
      </w:tblGrid>
      <w:tr w:rsidTr="00F93BF8">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1C30DA">
            <w:pPr>
              <w:pStyle w:val="BodyText"/>
              <w:rPr>
                <w:lang w:val="en-NZ"/>
              </w:rPr>
            </w:pPr>
            <w:r w:rsidRPr="001C30DA">
              <w:rPr>
                <w:rStyle w:val="SpecialBold"/>
              </w:rPr>
              <w:t>REQUIRED KNOWLEDGE AND SKILLS</w:t>
            </w:r>
          </w:p>
        </w:tc>
      </w:tr>
      <w:tr w:rsidTr="00F93B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30DA">
            <w:pPr>
              <w:pStyle w:val="BodyText"/>
              <w:rPr>
                <w:lang w:val="en-NZ"/>
              </w:rPr>
            </w:pPr>
            <w:r w:rsidRPr="001C30DA">
              <w:t>This describes the essential knowledge and skills and their level required for this unit.</w:t>
            </w:r>
          </w:p>
        </w:tc>
      </w:tr>
      <w:tr w:rsidTr="00F93B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30DA">
            <w:pPr>
              <w:pStyle w:val="BodyText"/>
              <w:rPr>
                <w:lang w:val="en-NZ"/>
              </w:rPr>
            </w:pPr>
            <w:r w:rsidRPr="001C30DA">
              <w:rPr>
                <w:rStyle w:val="SpecialBold"/>
              </w:rPr>
              <w:t>Required knowledge</w:t>
            </w:r>
            <w:r w:rsidRPr="001C30DA">
              <w:t>:</w:t>
            </w:r>
          </w:p>
        </w:tc>
      </w:tr>
      <w:tr w:rsidTr="00F93B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30DA">
            <w:pPr>
              <w:pStyle w:val="ListBullet"/>
              <w:rPr>
                <w:lang w:val="en-NZ"/>
              </w:rPr>
            </w:pPr>
            <w:r w:rsidRPr="001C30DA">
              <w:t>Materiel life cycle</w:t>
            </w:r>
          </w:p>
        </w:tc>
      </w:tr>
      <w:tr w:rsidTr="00F93B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30DA">
            <w:pPr>
              <w:pStyle w:val="ListBullet"/>
              <w:rPr>
                <w:lang w:val="en-NZ"/>
              </w:rPr>
            </w:pPr>
            <w:r w:rsidRPr="001C30DA">
              <w:t>Materiel sustainment administrative procedures</w:t>
            </w:r>
          </w:p>
        </w:tc>
      </w:tr>
      <w:tr w:rsidTr="00F93B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30DA">
            <w:pPr>
              <w:pStyle w:val="ListBullet"/>
              <w:rPr>
                <w:lang w:val="en-NZ"/>
              </w:rPr>
            </w:pPr>
            <w:r w:rsidRPr="001C30DA">
              <w:t>Materiel sustainment data collection and storage requirements</w:t>
            </w:r>
          </w:p>
        </w:tc>
      </w:tr>
      <w:tr w:rsidTr="00F93B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30DA">
            <w:pPr>
              <w:pStyle w:val="ListBullet"/>
              <w:rPr>
                <w:lang w:val="en-NZ"/>
              </w:rPr>
            </w:pPr>
            <w:r w:rsidRPr="001C30DA">
              <w:t>Materiel sustainment data retrieval procedures</w:t>
            </w:r>
          </w:p>
        </w:tc>
      </w:tr>
      <w:tr w:rsidTr="00F93B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30DA">
            <w:pPr>
              <w:pStyle w:val="ListBullet"/>
              <w:rPr>
                <w:lang w:val="en-NZ"/>
              </w:rPr>
            </w:pPr>
            <w:r w:rsidRPr="001C30DA">
              <w:t>Organisational role relevant to materiel sustainment</w:t>
            </w:r>
          </w:p>
        </w:tc>
      </w:tr>
      <w:tr w:rsidTr="00F93B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30DA">
            <w:pPr>
              <w:pStyle w:val="ListBullet"/>
              <w:rPr>
                <w:lang w:val="en-NZ"/>
              </w:rPr>
            </w:pPr>
            <w:r w:rsidRPr="001C30DA">
              <w:t xml:space="preserve">Safety, legislative and statutory requirements, including environmental, sustainability </w:t>
            </w:r>
            <w:r w:rsidRPr="001C30DA">
              <w:t>issues relevant to materiel sustainment</w:t>
            </w:r>
          </w:p>
        </w:tc>
      </w:tr>
      <w:tr w:rsidTr="00F93B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1C30DA" w:rsidP="001C30DA">
            <w:pPr>
              <w:pStyle w:val="ListBullet"/>
            </w:pPr>
            <w:r w:rsidRPr="001C30DA">
              <w:t>Written communication to a level required in the preparation of letters and reports</w:t>
            </w:r>
          </w:p>
        </w:tc>
      </w:tr>
    </w:tbl>
    <w:p w:rsidR="00000000" w:rsidRPr="001C30DA" w:rsidP="001C30DA">
      <w:pPr>
        <w:pStyle w:val="BodyText"/>
      </w:pPr>
    </w:p>
    <w:tbl>
      <w:tblPr>
        <w:tblW w:w="9640" w:type="dxa"/>
        <w:tblLayout w:type="fixed"/>
        <w:tblCellMar>
          <w:left w:w="62" w:type="dxa"/>
          <w:right w:w="62" w:type="dxa"/>
        </w:tblCellMar>
        <w:tblLook w:val="0000"/>
      </w:tblPr>
      <w:tblGrid>
        <w:gridCol w:w="9640"/>
      </w:tblGrid>
      <w:tr w:rsidTr="00F93BF8">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1C30DA">
            <w:pPr>
              <w:pStyle w:val="BodyText"/>
              <w:rPr>
                <w:lang w:val="en-NZ"/>
              </w:rPr>
            </w:pPr>
            <w:r w:rsidRPr="001C30DA">
              <w:rPr>
                <w:rStyle w:val="SpecialBold"/>
              </w:rPr>
              <w:t>Required skills</w:t>
            </w:r>
            <w:r w:rsidRPr="001C30DA">
              <w:t>:</w:t>
            </w:r>
          </w:p>
        </w:tc>
      </w:tr>
      <w:tr w:rsidTr="00F93B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30DA">
            <w:pPr>
              <w:pStyle w:val="ListBullet"/>
              <w:rPr>
                <w:lang w:val="en-NZ"/>
              </w:rPr>
            </w:pPr>
            <w:r w:rsidRPr="001C30DA">
              <w:t>Apply materiel sustainment knowledge relevant to work being performed</w:t>
            </w:r>
          </w:p>
        </w:tc>
      </w:tr>
      <w:tr w:rsidTr="00F93B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30DA">
            <w:pPr>
              <w:pStyle w:val="ListBullet"/>
              <w:rPr>
                <w:lang w:val="en-NZ"/>
              </w:rPr>
            </w:pPr>
            <w:r w:rsidRPr="001C30DA">
              <w:t>Display resilience by continuing to move forward despite criticism or setbacks</w:t>
            </w:r>
          </w:p>
        </w:tc>
      </w:tr>
      <w:tr w:rsidTr="00F93B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30DA">
            <w:pPr>
              <w:pStyle w:val="ListBullet"/>
              <w:rPr>
                <w:lang w:val="en-NZ"/>
              </w:rPr>
            </w:pPr>
            <w:r w:rsidRPr="001C30DA">
              <w:t>Identify the relationship between organisational goals and recognise how own work contributes to the achievement of those goals</w:t>
            </w:r>
          </w:p>
        </w:tc>
      </w:tr>
      <w:tr w:rsidTr="00F93B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30DA">
            <w:pPr>
              <w:pStyle w:val="ListBullet"/>
              <w:rPr>
                <w:lang w:val="en-NZ"/>
              </w:rPr>
            </w:pPr>
            <w:r w:rsidRPr="001C30DA">
              <w:t>Operate equipment and systems relevant to materiel sustainment activities</w:t>
            </w:r>
          </w:p>
        </w:tc>
      </w:tr>
      <w:tr w:rsidTr="00F93B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1C30DA" w:rsidP="001C30DA">
            <w:pPr>
              <w:pStyle w:val="ListBullet"/>
            </w:pPr>
            <w:r w:rsidRPr="001C30DA">
              <w:t>Use appropriate information technology and software</w:t>
            </w:r>
          </w:p>
        </w:tc>
      </w:tr>
    </w:tbl>
    <w:p w:rsidR="00F93BF8" w:rsidP="001C30DA">
      <w:pPr>
        <w:pStyle w:val="BodyText"/>
      </w:pPr>
    </w:p>
    <w:p w:rsidR="00F93BF8" w:rsidP="001C30DA">
      <w:pPr>
        <w:pStyle w:val="BodyText"/>
      </w:pPr>
    </w:p>
    <w:p w:rsidR="00000000" w:rsidRPr="001C30DA" w:rsidP="001C30DA">
      <w:pPr>
        <w:pStyle w:val="Heading1"/>
      </w:pPr>
      <w:bookmarkStart w:id="10" w:name="O_247080"/>
      <w:bookmarkEnd w:id="10"/>
      <w:r w:rsidRPr="001C30DA">
        <w:t>Evidence Guide</w:t>
      </w:r>
    </w:p>
    <w:tbl>
      <w:tblPr>
        <w:tblW w:w="9499" w:type="dxa"/>
        <w:tblLayout w:type="fixed"/>
        <w:tblCellMar>
          <w:left w:w="62" w:type="dxa"/>
          <w:right w:w="62" w:type="dxa"/>
        </w:tblCellMar>
        <w:tblLook w:val="0000"/>
      </w:tblPr>
      <w:tblGrid>
        <w:gridCol w:w="3524"/>
        <w:gridCol w:w="5975"/>
      </w:tblGrid>
      <w:tr w:rsidTr="00F93BF8">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1C30DA">
            <w:pPr>
              <w:pStyle w:val="BodyText"/>
              <w:rPr>
                <w:lang w:val="en-NZ"/>
              </w:rPr>
            </w:pPr>
            <w:r w:rsidRPr="001C30DA">
              <w:rPr>
                <w:rStyle w:val="SpecialBold"/>
              </w:rPr>
              <w:t>EVIDENCE GUIDE</w:t>
            </w:r>
          </w:p>
        </w:tc>
      </w:tr>
      <w:tr w:rsidTr="00F93BF8">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1C30DA">
            <w:pPr>
              <w:pStyle w:val="BodyText"/>
              <w:rPr>
                <w:lang w:val="en-NZ"/>
              </w:rPr>
            </w:pPr>
            <w:r w:rsidRPr="001C30DA">
              <w:t>The evidence guide provides advice on assessment and must be read in conjunction with the performance criteria, required knowledge and skills, the range statement and the assessment guidelines for this Training Package.</w:t>
            </w:r>
          </w:p>
        </w:tc>
      </w:tr>
      <w:tr w:rsidTr="00F93BF8">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1C30DA">
            <w:pPr>
              <w:pStyle w:val="BodyText"/>
              <w:rPr>
                <w:lang w:val="en-NZ"/>
              </w:rPr>
            </w:pPr>
            <w:r w:rsidRPr="001C30DA">
              <w:rPr>
                <w:rStyle w:val="SpecialBold"/>
              </w:rPr>
              <w:t>Critical aspects for assessment an</w:t>
            </w:r>
            <w:r w:rsidRPr="001C30DA">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1C30DA" w:rsidP="001C30DA">
            <w:pPr>
              <w:pStyle w:val="ListBullet"/>
            </w:pPr>
            <w:r w:rsidRPr="001C30DA">
              <w:t>Assessment must confirm the ability to:</w:t>
            </w:r>
          </w:p>
          <w:p w:rsidR="00000000" w:rsidRPr="001C30DA" w:rsidP="001C30DA">
            <w:pPr>
              <w:pStyle w:val="ListBullet2"/>
            </w:pPr>
            <w:r w:rsidRPr="001C30DA">
              <w:t>adhere to and apply relevant data collection, storage and retrieval requirements</w:t>
            </w:r>
          </w:p>
          <w:p w:rsidR="00000000" w:rsidRPr="001C30DA" w:rsidP="001C30DA">
            <w:pPr>
              <w:pStyle w:val="ListBullet2"/>
            </w:pPr>
            <w:r w:rsidRPr="001C30DA">
              <w:t>apply knowledge of materiel sustainment to assist in work and to guide problem solving</w:t>
            </w:r>
          </w:p>
          <w:p w:rsidR="00000000" w:rsidP="001C30DA">
            <w:pPr>
              <w:pStyle w:val="ListBullet"/>
              <w:rPr>
                <w:lang w:val="en-NZ"/>
              </w:rPr>
            </w:pPr>
            <w:r w:rsidRPr="001C30DA">
              <w:t>Competency should be demonstrated over time and should be observed in a range of actual or simulated work contexts</w:t>
            </w:r>
          </w:p>
        </w:tc>
      </w:tr>
      <w:tr w:rsidTr="00F93BF8">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1C30DA">
            <w:pPr>
              <w:pStyle w:val="BodyText"/>
              <w:rPr>
                <w:lang w:val="en-NZ"/>
              </w:rPr>
            </w:pPr>
            <w:r w:rsidRPr="001C30DA">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1C30DA" w:rsidP="001C30DA">
            <w:pPr>
              <w:pStyle w:val="ListBullet"/>
            </w:pPr>
            <w:r w:rsidRPr="001C30DA">
              <w:t>Co</w:t>
            </w:r>
            <w:r w:rsidRPr="001C30DA">
              <w:t>mpetency should be assessed in the workplace or in a simulated workplace environment</w:t>
            </w:r>
          </w:p>
          <w:p w:rsidR="00000000" w:rsidRPr="001C30DA" w:rsidP="001C30DA">
            <w:pPr>
              <w:pStyle w:val="ListBullet"/>
            </w:pPr>
            <w:r w:rsidRPr="001C30DA">
              <w:t>Access is required to:</w:t>
            </w:r>
          </w:p>
          <w:p w:rsidR="00000000" w:rsidRPr="001C30DA" w:rsidP="001C30DA">
            <w:pPr>
              <w:pStyle w:val="ListBullet2"/>
            </w:pPr>
            <w:r w:rsidRPr="001C30DA">
              <w:t>computer and relevant software</w:t>
            </w:r>
          </w:p>
          <w:p w:rsidR="00000000" w:rsidRPr="001C30DA" w:rsidP="001C30DA">
            <w:pPr>
              <w:pStyle w:val="ListBullet2"/>
            </w:pPr>
            <w:r w:rsidRPr="001C30DA">
              <w:t>legislation, guidelines, procedures and protocols relating to materiel sustainment</w:t>
            </w:r>
          </w:p>
          <w:p w:rsidR="00000000" w:rsidRPr="001C30DA" w:rsidP="001C30DA">
            <w:pPr>
              <w:pStyle w:val="ListBullet2"/>
            </w:pPr>
            <w:r w:rsidRPr="001C30DA">
              <w:t>plans</w:t>
            </w:r>
          </w:p>
          <w:p w:rsidR="00000000" w:rsidP="001C30DA">
            <w:pPr>
              <w:pStyle w:val="ListBullet2"/>
              <w:rPr>
                <w:lang w:val="en-NZ"/>
              </w:rPr>
            </w:pPr>
            <w:r w:rsidRPr="001C30DA">
              <w:t>workplace documentation</w:t>
            </w:r>
          </w:p>
        </w:tc>
      </w:tr>
      <w:tr w:rsidTr="00F93BF8">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1C30DA">
            <w:pPr>
              <w:pStyle w:val="BodyText"/>
              <w:rPr>
                <w:lang w:val="en-NZ"/>
              </w:rPr>
            </w:pPr>
            <w:r w:rsidRPr="001C30DA">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1C30DA" w:rsidP="001C30DA">
            <w:pPr>
              <w:pStyle w:val="ListBullet"/>
            </w:pPr>
            <w:r w:rsidRPr="001C30DA">
              <w:t>Assessment of this unit must be undertaken by a registered training organisation</w:t>
            </w:r>
          </w:p>
          <w:p w:rsidR="00000000" w:rsidRPr="001C30DA" w:rsidP="001C30DA">
            <w:pPr>
              <w:pStyle w:val="ListBullet"/>
            </w:pPr>
            <w:r w:rsidRPr="001C30DA">
              <w:t>Where possible, assessment should be supported by questions to assess required knowledge. Questioning techniques should suit the language and literacy levels of the candidate</w:t>
            </w:r>
          </w:p>
          <w:p w:rsidR="00000000" w:rsidRPr="001C30DA" w:rsidP="001C30DA">
            <w:pPr>
              <w:pStyle w:val="ListBullet"/>
            </w:pPr>
            <w:r w:rsidRPr="001C30DA">
              <w:t>Assessment methods should reflect workplace demands such as literacy and the need</w:t>
            </w:r>
            <w:r w:rsidRPr="001C30DA">
              <w:t>s of particular groups</w:t>
            </w:r>
          </w:p>
          <w:p w:rsidR="00000000" w:rsidRPr="001C30DA" w:rsidP="001C30DA">
            <w:pPr>
              <w:pStyle w:val="ListBullet"/>
            </w:pPr>
            <w:r w:rsidRPr="001C30DA">
              <w:t>Assessment methods suitable for valid and reliable assessment of this competency may include, but are not limited to, a combination of:</w:t>
            </w:r>
          </w:p>
          <w:p w:rsidR="00000000" w:rsidRPr="001C30DA" w:rsidP="001C30DA">
            <w:pPr>
              <w:pStyle w:val="ListBullet2"/>
            </w:pPr>
            <w:r w:rsidRPr="001C30DA">
              <w:t>authenticated evidence from the workplace and/or training programs</w:t>
            </w:r>
          </w:p>
          <w:p w:rsidR="00000000" w:rsidRPr="001C30DA" w:rsidP="001C30DA">
            <w:pPr>
              <w:pStyle w:val="ListBullet2"/>
            </w:pPr>
            <w:r w:rsidRPr="001C30DA">
              <w:t>case studies</w:t>
            </w:r>
          </w:p>
          <w:p w:rsidR="00000000" w:rsidRPr="001C30DA" w:rsidP="001C30DA">
            <w:pPr>
              <w:pStyle w:val="ListBullet2"/>
            </w:pPr>
            <w:r w:rsidRPr="001C30DA">
              <w:t>demonstration</w:t>
            </w:r>
          </w:p>
          <w:p w:rsidR="00000000" w:rsidRPr="001C30DA" w:rsidP="001C30DA">
            <w:pPr>
              <w:pStyle w:val="ListBullet2"/>
            </w:pPr>
            <w:r w:rsidRPr="001C30DA">
              <w:t>fe</w:t>
            </w:r>
            <w:r w:rsidRPr="001C30DA">
              <w:t>edback from supervisors and peers regarding the candidate's ability</w:t>
            </w:r>
          </w:p>
          <w:p w:rsidR="00000000" w:rsidRPr="001C30DA" w:rsidP="001C30DA">
            <w:pPr>
              <w:pStyle w:val="ListBullet2"/>
            </w:pPr>
            <w:r w:rsidRPr="001C30DA">
              <w:t>observation</w:t>
            </w:r>
          </w:p>
          <w:p w:rsidR="00000000" w:rsidRPr="001C30DA" w:rsidP="001C30DA">
            <w:pPr>
              <w:pStyle w:val="ListBullet2"/>
            </w:pPr>
            <w:r w:rsidRPr="001C30DA">
              <w:t>portfolios</w:t>
            </w:r>
          </w:p>
          <w:p w:rsidR="00000000" w:rsidRPr="001C30DA" w:rsidP="001C30DA">
            <w:pPr>
              <w:pStyle w:val="ListBullet2"/>
            </w:pPr>
            <w:r w:rsidRPr="001C30DA">
              <w:t>projects</w:t>
            </w:r>
          </w:p>
          <w:p w:rsidR="00000000" w:rsidRPr="001C30DA" w:rsidP="001C30DA">
            <w:pPr>
              <w:pStyle w:val="ListBullet2"/>
            </w:pPr>
            <w:r w:rsidRPr="001C30DA">
              <w:t>questioning</w:t>
            </w:r>
          </w:p>
          <w:p w:rsidR="00000000" w:rsidRPr="001C30DA" w:rsidP="001C30DA">
            <w:pPr>
              <w:pStyle w:val="ListBullet2"/>
            </w:pPr>
            <w:r w:rsidRPr="001C30DA">
              <w:t>reviews or reports prepared by the candidate</w:t>
            </w:r>
          </w:p>
          <w:p w:rsidR="00000000" w:rsidRPr="001C30DA" w:rsidP="001C30DA">
            <w:pPr>
              <w:pStyle w:val="ListBullet2"/>
            </w:pPr>
            <w:r w:rsidRPr="001C30DA">
              <w:t>scenarios</w:t>
            </w:r>
          </w:p>
          <w:p w:rsidR="00000000" w:rsidRPr="001C30DA" w:rsidP="001C30DA">
            <w:pPr>
              <w:pStyle w:val="ListBullet2"/>
            </w:pPr>
            <w:r w:rsidRPr="001C30DA">
              <w:t>simulation or role plays</w:t>
            </w:r>
          </w:p>
        </w:tc>
      </w:tr>
    </w:tbl>
    <w:p w:rsidR="00F93BF8" w:rsidP="001C30DA">
      <w:pPr>
        <w:pStyle w:val="BodyText"/>
      </w:pPr>
    </w:p>
    <w:p w:rsidR="00F93BF8" w:rsidP="001C30DA">
      <w:pPr>
        <w:pStyle w:val="BodyText"/>
      </w:pPr>
    </w:p>
    <w:p w:rsidR="00000000" w:rsidRPr="001C30DA" w:rsidP="001C30DA">
      <w:pPr>
        <w:pStyle w:val="Heading1"/>
      </w:pPr>
      <w:bookmarkStart w:id="11" w:name="O_255063"/>
      <w:bookmarkEnd w:id="11"/>
      <w:r w:rsidRPr="001C30DA">
        <w:t>Range Statement</w:t>
      </w:r>
    </w:p>
    <w:tbl>
      <w:tblPr>
        <w:tblW w:w="9640" w:type="dxa"/>
        <w:tblLayout w:type="fixed"/>
        <w:tblCellMar>
          <w:left w:w="62" w:type="dxa"/>
          <w:right w:w="62" w:type="dxa"/>
        </w:tblCellMar>
        <w:tblLook w:val="0000"/>
      </w:tblPr>
      <w:tblGrid>
        <w:gridCol w:w="3486"/>
        <w:gridCol w:w="6154"/>
      </w:tblGrid>
      <w:tr w:rsidTr="00F93BF8">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1C30DA">
            <w:pPr>
              <w:pStyle w:val="BodyText"/>
              <w:rPr>
                <w:lang w:val="en-NZ"/>
              </w:rPr>
            </w:pPr>
            <w:r w:rsidRPr="001C30DA">
              <w:rPr>
                <w:rStyle w:val="SpecialBold"/>
              </w:rPr>
              <w:t>RANGE STATEMENT</w:t>
            </w:r>
            <w:r w:rsidRPr="001C30DA">
              <w:t xml:space="preserve"> </w:t>
            </w:r>
          </w:p>
        </w:tc>
      </w:tr>
      <w:tr w:rsidTr="00F93BF8">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1C30DA">
            <w:pPr>
              <w:pStyle w:val="BodyText"/>
              <w:rPr>
                <w:lang w:val="en-NZ"/>
              </w:rPr>
            </w:pPr>
            <w:r w:rsidRPr="001C30DA">
              <w:t>The range statement relates to the unit of competency as a whole. It allows for different work environments and situations that may affect performance.</w:t>
            </w:r>
          </w:p>
        </w:tc>
      </w:tr>
      <w:tr w:rsidTr="00F93BF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C30DA">
            <w:pPr>
              <w:pStyle w:val="BodyText"/>
              <w:rPr>
                <w:lang w:val="en-NZ"/>
              </w:rPr>
            </w:pPr>
            <w:r w:rsidRPr="001C30DA">
              <w:t>Organisation may include:</w:t>
            </w:r>
          </w:p>
        </w:tc>
        <w:tc>
          <w:tcPr>
            <w:tcW w:w="6154" w:type="dxa"/>
            <w:tcBorders>
              <w:top w:val="nil"/>
              <w:left w:val="nil"/>
              <w:bottom w:val="nil"/>
              <w:right w:val="nil"/>
            </w:tcBorders>
            <w:tcMar>
              <w:top w:w="0" w:type="dxa"/>
              <w:left w:w="62" w:type="dxa"/>
              <w:bottom w:w="0" w:type="dxa"/>
              <w:right w:w="62" w:type="dxa"/>
            </w:tcMar>
          </w:tcPr>
          <w:p w:rsidR="00000000" w:rsidRPr="001C30DA" w:rsidP="001C30DA">
            <w:pPr>
              <w:pStyle w:val="ListBullet"/>
            </w:pPr>
            <w:r w:rsidRPr="001C30DA">
              <w:t>enterprises that work in materiel sustainment</w:t>
            </w:r>
          </w:p>
          <w:p w:rsidR="00000000" w:rsidP="001C30DA">
            <w:pPr>
              <w:pStyle w:val="ListBullet"/>
              <w:rPr>
                <w:lang w:val="en-NZ"/>
              </w:rPr>
            </w:pPr>
            <w:r w:rsidRPr="001C30DA">
              <w:t xml:space="preserve">other government departments </w:t>
            </w:r>
            <w:r w:rsidRPr="001C30DA">
              <w:t>or instrumentalities that work with materiel</w:t>
            </w:r>
          </w:p>
        </w:tc>
      </w:tr>
      <w:tr w:rsidTr="00F93BF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C30DA">
            <w:pPr>
              <w:pStyle w:val="BodyText"/>
              <w:rPr>
                <w:lang w:val="en-NZ"/>
              </w:rPr>
            </w:pPr>
            <w:r w:rsidRPr="001C30DA">
              <w:t>Materiel sustainment may include:</w:t>
            </w:r>
          </w:p>
        </w:tc>
        <w:tc>
          <w:tcPr>
            <w:tcW w:w="6154" w:type="dxa"/>
            <w:tcBorders>
              <w:top w:val="nil"/>
              <w:left w:val="nil"/>
              <w:bottom w:val="nil"/>
              <w:right w:val="nil"/>
            </w:tcBorders>
            <w:tcMar>
              <w:top w:w="0" w:type="dxa"/>
              <w:left w:w="62" w:type="dxa"/>
              <w:bottom w:w="0" w:type="dxa"/>
              <w:right w:w="62" w:type="dxa"/>
            </w:tcMar>
          </w:tcPr>
          <w:p w:rsidR="00000000" w:rsidP="001C30DA">
            <w:pPr>
              <w:pStyle w:val="ListBullet"/>
              <w:rPr>
                <w:lang w:val="en-NZ"/>
              </w:rPr>
            </w:pPr>
            <w:r w:rsidRPr="001C30DA">
              <w:t>the management and provision of products and services needed to meet the preparedness a</w:t>
            </w:r>
            <w:r w:rsidRPr="001C30DA">
              <w:t>nd performance requirements of a materiel system from the time of acceptance into operational service until disposal at minimised life cycle cost. Material sustainment may also be referred to as asset management and includes components of: sustainment mana</w:t>
            </w:r>
            <w:r w:rsidRPr="001C30DA">
              <w:t>gement, engineering support, maintenance support, supply support and planning for disposal and/or carrying out end of life tasks</w:t>
            </w:r>
          </w:p>
        </w:tc>
      </w:tr>
      <w:tr w:rsidTr="00F93BF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C30DA">
            <w:pPr>
              <w:pStyle w:val="BodyText"/>
              <w:rPr>
                <w:lang w:val="en-NZ"/>
              </w:rPr>
            </w:pPr>
            <w:r w:rsidRPr="001C30DA">
              <w:t>Organisational policy and procedures may include:</w:t>
            </w:r>
          </w:p>
        </w:tc>
        <w:tc>
          <w:tcPr>
            <w:tcW w:w="6154" w:type="dxa"/>
            <w:tcBorders>
              <w:top w:val="nil"/>
              <w:left w:val="nil"/>
              <w:bottom w:val="nil"/>
              <w:right w:val="nil"/>
            </w:tcBorders>
            <w:tcMar>
              <w:top w:w="0" w:type="dxa"/>
              <w:left w:w="62" w:type="dxa"/>
              <w:bottom w:w="0" w:type="dxa"/>
              <w:right w:w="62" w:type="dxa"/>
            </w:tcMar>
          </w:tcPr>
          <w:p w:rsidR="00000000" w:rsidRPr="001C30DA" w:rsidP="001C30DA">
            <w:pPr>
              <w:pStyle w:val="ListBullet"/>
            </w:pPr>
            <w:r w:rsidRPr="001C30DA">
              <w:t>Australian Standards</w:t>
            </w:r>
          </w:p>
          <w:p w:rsidR="00000000" w:rsidRPr="001C30DA" w:rsidP="001C30DA">
            <w:pPr>
              <w:pStyle w:val="ListBullet"/>
            </w:pPr>
            <w:r w:rsidRPr="001C30DA">
              <w:t>international standards</w:t>
            </w:r>
          </w:p>
          <w:p w:rsidR="00000000" w:rsidP="001C30DA">
            <w:pPr>
              <w:pStyle w:val="ListBullet"/>
              <w:rPr>
                <w:lang w:val="en-NZ"/>
              </w:rPr>
            </w:pPr>
            <w:r w:rsidRPr="001C30DA">
              <w:t>organisational instructions an</w:t>
            </w:r>
            <w:r w:rsidRPr="001C30DA">
              <w:t>d standards</w:t>
            </w:r>
          </w:p>
        </w:tc>
      </w:tr>
      <w:tr w:rsidTr="00F93BF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C30DA">
            <w:pPr>
              <w:pStyle w:val="BodyText"/>
              <w:rPr>
                <w:lang w:val="en-NZ"/>
              </w:rPr>
            </w:pPr>
            <w:r w:rsidRPr="001C30DA">
              <w:t>Materiel sustainment activities may include:</w:t>
            </w:r>
          </w:p>
        </w:tc>
        <w:tc>
          <w:tcPr>
            <w:tcW w:w="6154" w:type="dxa"/>
            <w:tcBorders>
              <w:top w:val="nil"/>
              <w:left w:val="nil"/>
              <w:bottom w:val="nil"/>
              <w:right w:val="nil"/>
            </w:tcBorders>
            <w:tcMar>
              <w:top w:w="0" w:type="dxa"/>
              <w:left w:w="62" w:type="dxa"/>
              <w:bottom w:w="0" w:type="dxa"/>
              <w:right w:w="62" w:type="dxa"/>
            </w:tcMar>
          </w:tcPr>
          <w:p w:rsidR="00000000" w:rsidRPr="001C30DA" w:rsidP="001C30DA">
            <w:pPr>
              <w:pStyle w:val="ListBullet"/>
            </w:pPr>
            <w:r w:rsidRPr="001C30DA">
              <w:t>administrative procedures</w:t>
            </w:r>
          </w:p>
          <w:p w:rsidR="00000000" w:rsidRPr="001C30DA" w:rsidP="001C30DA">
            <w:pPr>
              <w:pStyle w:val="ListBullet"/>
            </w:pPr>
            <w:r w:rsidRPr="001C30DA">
              <w:t>data collection and storage</w:t>
            </w:r>
          </w:p>
          <w:p w:rsidR="00000000" w:rsidP="001C30DA">
            <w:pPr>
              <w:pStyle w:val="ListBullet"/>
              <w:rPr>
                <w:lang w:val="en-NZ"/>
              </w:rPr>
            </w:pPr>
            <w:r w:rsidRPr="001C30DA">
              <w:t>data retrieval</w:t>
            </w:r>
          </w:p>
        </w:tc>
      </w:tr>
      <w:tr w:rsidTr="00F93BF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C30DA">
            <w:pPr>
              <w:pStyle w:val="BodyText"/>
              <w:rPr>
                <w:lang w:val="en-NZ"/>
              </w:rPr>
            </w:pPr>
            <w:r w:rsidRPr="001C30DA">
              <w:t>Resources may include:</w:t>
            </w:r>
          </w:p>
        </w:tc>
        <w:tc>
          <w:tcPr>
            <w:tcW w:w="6154" w:type="dxa"/>
            <w:tcBorders>
              <w:top w:val="nil"/>
              <w:left w:val="nil"/>
              <w:bottom w:val="nil"/>
              <w:right w:val="nil"/>
            </w:tcBorders>
            <w:tcMar>
              <w:top w:w="0" w:type="dxa"/>
              <w:left w:w="62" w:type="dxa"/>
              <w:bottom w:w="0" w:type="dxa"/>
              <w:right w:w="62" w:type="dxa"/>
            </w:tcMar>
          </w:tcPr>
          <w:p w:rsidR="00000000" w:rsidRPr="001C30DA" w:rsidP="001C30DA">
            <w:pPr>
              <w:pStyle w:val="ListBullet"/>
            </w:pPr>
            <w:r w:rsidRPr="001C30DA">
              <w:t>financial</w:t>
            </w:r>
          </w:p>
          <w:p w:rsidR="00000000" w:rsidRPr="001C30DA" w:rsidP="001C30DA">
            <w:pPr>
              <w:pStyle w:val="ListBullet"/>
            </w:pPr>
            <w:r w:rsidRPr="001C30DA">
              <w:t>information technology applications and tools</w:t>
            </w:r>
          </w:p>
          <w:p w:rsidR="00000000" w:rsidRPr="001C30DA" w:rsidP="001C30DA">
            <w:pPr>
              <w:pStyle w:val="ListBullet"/>
            </w:pPr>
            <w:r w:rsidRPr="001C30DA">
              <w:t>infrastructure</w:t>
            </w:r>
          </w:p>
          <w:p w:rsidR="00000000" w:rsidRPr="001C30DA" w:rsidP="001C30DA">
            <w:pPr>
              <w:pStyle w:val="ListBullet"/>
            </w:pPr>
            <w:r w:rsidRPr="001C30DA">
              <w:t>personnel</w:t>
            </w:r>
          </w:p>
          <w:p w:rsidR="00000000" w:rsidRPr="001C30DA" w:rsidP="001C30DA">
            <w:pPr>
              <w:pStyle w:val="ListBullet"/>
            </w:pPr>
            <w:r w:rsidRPr="001C30DA">
              <w:t>time</w:t>
            </w:r>
          </w:p>
          <w:p w:rsidR="00000000" w:rsidP="001C30DA">
            <w:pPr>
              <w:pStyle w:val="ListBullet"/>
              <w:rPr>
                <w:lang w:val="en-NZ"/>
              </w:rPr>
            </w:pPr>
            <w:r w:rsidRPr="001C30DA">
              <w:t>transport</w:t>
            </w:r>
          </w:p>
        </w:tc>
      </w:tr>
      <w:tr w:rsidTr="00F93BF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C30DA">
            <w:pPr>
              <w:pStyle w:val="BodyText"/>
              <w:rPr>
                <w:lang w:val="en-NZ"/>
              </w:rPr>
            </w:pPr>
            <w:r w:rsidRPr="001C30DA">
              <w:t>Materiel sustainment records may include:</w:t>
            </w:r>
          </w:p>
        </w:tc>
        <w:tc>
          <w:tcPr>
            <w:tcW w:w="6154" w:type="dxa"/>
            <w:tcBorders>
              <w:top w:val="nil"/>
              <w:left w:val="nil"/>
              <w:bottom w:val="nil"/>
              <w:right w:val="nil"/>
            </w:tcBorders>
            <w:tcMar>
              <w:top w:w="0" w:type="dxa"/>
              <w:left w:w="62" w:type="dxa"/>
              <w:bottom w:w="0" w:type="dxa"/>
              <w:right w:w="62" w:type="dxa"/>
            </w:tcMar>
          </w:tcPr>
          <w:p w:rsidR="00000000" w:rsidRPr="001C30DA" w:rsidP="001C30DA">
            <w:pPr>
              <w:pStyle w:val="ListBullet"/>
            </w:pPr>
            <w:r w:rsidRPr="001C30DA">
              <w:t>databases</w:t>
            </w:r>
          </w:p>
          <w:p w:rsidR="00000000" w:rsidRPr="001C30DA" w:rsidP="001C30DA">
            <w:pPr>
              <w:pStyle w:val="ListBullet"/>
            </w:pPr>
            <w:r w:rsidRPr="001C30DA">
              <w:t>files</w:t>
            </w:r>
          </w:p>
          <w:p w:rsidR="00000000" w:rsidRPr="001C30DA" w:rsidP="001C30DA">
            <w:pPr>
              <w:pStyle w:val="ListBullet"/>
            </w:pPr>
            <w:r w:rsidRPr="001C30DA">
              <w:t>finance systems</w:t>
            </w:r>
          </w:p>
          <w:p w:rsidR="00000000" w:rsidRPr="001C30DA" w:rsidP="001C30DA">
            <w:pPr>
              <w:pStyle w:val="ListBullet"/>
            </w:pPr>
            <w:r w:rsidRPr="001C30DA">
              <w:t>logistics information technology systems</w:t>
            </w:r>
          </w:p>
          <w:p w:rsidR="00000000" w:rsidRPr="001C30DA" w:rsidP="001C30DA">
            <w:pPr>
              <w:pStyle w:val="ListBullet"/>
            </w:pPr>
            <w:r w:rsidRPr="001C30DA">
              <w:t>logistics systems</w:t>
            </w:r>
          </w:p>
          <w:p w:rsidR="00000000" w:rsidRPr="001C30DA" w:rsidP="001C30DA">
            <w:pPr>
              <w:pStyle w:val="ListBullet"/>
            </w:pPr>
            <w:r w:rsidRPr="001C30DA">
              <w:t>registers</w:t>
            </w:r>
          </w:p>
          <w:p w:rsidR="00000000" w:rsidRPr="001C30DA" w:rsidP="001C30DA">
            <w:pPr>
              <w:pStyle w:val="ListBullet"/>
            </w:pPr>
            <w:r w:rsidRPr="001C30DA">
              <w:t>spreadsheets</w:t>
            </w:r>
          </w:p>
          <w:p w:rsidR="00000000" w:rsidRPr="001C30DA" w:rsidP="001C30DA">
            <w:pPr>
              <w:pStyle w:val="ListBullet"/>
            </w:pPr>
            <w:r w:rsidRPr="001C30DA">
              <w:t>technical data systems</w:t>
            </w:r>
          </w:p>
        </w:tc>
      </w:tr>
    </w:tbl>
    <w:p w:rsidR="00F93BF8" w:rsidP="001C30DA">
      <w:pPr>
        <w:pStyle w:val="BodyText"/>
      </w:pPr>
    </w:p>
    <w:p w:rsidR="00F93BF8" w:rsidP="001C30DA">
      <w:pPr>
        <w:pStyle w:val="BodyText"/>
      </w:pPr>
    </w:p>
    <w:p w:rsidR="00000000" w:rsidRPr="001C30DA" w:rsidP="001C30DA">
      <w:pPr>
        <w:pStyle w:val="Heading1"/>
      </w:pPr>
      <w:bookmarkStart w:id="12" w:name="O_296076"/>
      <w:bookmarkEnd w:id="12"/>
      <w:r w:rsidRPr="001C30DA">
        <w:t>Unit Sector(s)</w:t>
      </w:r>
    </w:p>
    <w:p w:rsidR="00000000" w:rsidRPr="001C30DA" w:rsidP="001C30DA">
      <w:pPr>
        <w:pStyle w:val="BodyText"/>
      </w:pPr>
      <w:r w:rsidRPr="001C30DA">
        <w:t>Not Applicable</w:t>
      </w:r>
    </w:p>
    <w:p w:rsidR="00000000" w:rsidRPr="001C30DA" w:rsidP="001C30DA">
      <w:pPr>
        <w:pStyle w:val="AllowPageBreak"/>
      </w:pPr>
    </w:p>
    <w:p w:rsidR="00000000" w:rsidRPr="001C30DA" w:rsidP="001C30DA">
      <w:pPr>
        <w:pStyle w:val="Heading1"/>
      </w:pPr>
      <w:bookmarkStart w:id="13" w:name="O_224593"/>
      <w:bookmarkEnd w:id="13"/>
      <w:r w:rsidRPr="001C30DA">
        <w:t>Competency Field</w:t>
      </w:r>
    </w:p>
    <w:tbl>
      <w:tblPr>
        <w:tblW w:w="9640" w:type="dxa"/>
        <w:tblLayout w:type="fixed"/>
        <w:tblCellMar>
          <w:left w:w="62" w:type="dxa"/>
          <w:right w:w="62" w:type="dxa"/>
        </w:tblCellMar>
        <w:tblLook w:val="0000"/>
      </w:tblPr>
      <w:tblGrid>
        <w:gridCol w:w="2978"/>
        <w:gridCol w:w="6662"/>
      </w:tblGrid>
      <w:tr w:rsidTr="00F93BF8">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1C30DA">
            <w:pPr>
              <w:pStyle w:val="BodyText"/>
              <w:rPr>
                <w:lang w:val="en-NZ"/>
              </w:rPr>
            </w:pPr>
            <w:r w:rsidRPr="001C30DA">
              <w:rPr>
                <w:rStyle w:val="SpecialBold"/>
              </w:rPr>
              <w:t>Competency Field</w:t>
            </w:r>
            <w:r w:rsidRPr="001C30DA">
              <w:t xml:space="preserve"> </w:t>
            </w:r>
          </w:p>
        </w:tc>
        <w:tc>
          <w:tcPr>
            <w:tcW w:w="6662" w:type="dxa"/>
            <w:tcBorders>
              <w:top w:val="nil"/>
              <w:left w:val="nil"/>
              <w:bottom w:val="nil"/>
              <w:right w:val="nil"/>
            </w:tcBorders>
            <w:tcMar>
              <w:top w:w="0" w:type="dxa"/>
              <w:left w:w="62" w:type="dxa"/>
              <w:bottom w:w="0" w:type="dxa"/>
              <w:right w:w="62" w:type="dxa"/>
            </w:tcMar>
          </w:tcPr>
          <w:p w:rsidR="00000000" w:rsidRPr="001C30DA" w:rsidP="001C30DA">
            <w:pPr>
              <w:pStyle w:val="BodyText"/>
            </w:pPr>
            <w:r w:rsidRPr="001C30DA">
              <w:t>X - Logistics</w:t>
            </w:r>
          </w:p>
        </w:tc>
      </w:tr>
    </w:tbl>
    <w:p w:rsidR="00F93BF8" w:rsidP="001C30DA">
      <w:pPr>
        <w:pStyle w:val="BodyText"/>
      </w:pPr>
    </w:p>
    <w:p w:rsidR="00F93BF8" w:rsidP="001C30DA">
      <w:pPr>
        <w:pStyle w:val="BodyText"/>
      </w:pPr>
    </w:p>
    <w:p w:rsidR="00000000" w:rsidRPr="001C30DA" w:rsidP="001C30DA"/>
    <w:sectPr w:rsidSect="001C30D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0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93BF8" w:rsidP="00F93B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0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BF8" w:rsidP="001C30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F93BF8" w:rsidP="001C30D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F93BF8" w:rsidP="001C30D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0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93BF8" w:rsidP="00F93BF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0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BF8" w:rsidP="001C30DA">
    <w:pPr>
      <w:pStyle w:val="Header"/>
      <w:framePr w:wrap="around"/>
    </w:pPr>
    <w:r>
      <w:fldChar w:fldCharType="begin"/>
    </w:r>
    <w:r>
      <w:instrText xml:space="preserve"> TITLE   \* MERGEFORMAT </w:instrText>
    </w:r>
    <w:r>
      <w:fldChar w:fldCharType="separate"/>
    </w:r>
    <w:r>
      <w:t>TLIX4018A Apply materiel sustainment processes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93BF8" w:rsidP="001C30D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F0045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78039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B8C08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30D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C30DA"/>
    <w:pPr>
      <w:spacing w:before="360" w:after="60"/>
      <w:outlineLvl w:val="0"/>
    </w:pPr>
    <w:rPr>
      <w:sz w:val="32"/>
    </w:rPr>
  </w:style>
  <w:style w:type="paragraph" w:styleId="Heading2">
    <w:name w:val="heading 2"/>
    <w:basedOn w:val="HeadingBase"/>
    <w:next w:val="BodyText"/>
    <w:link w:val="Heading2Char"/>
    <w:qFormat/>
    <w:rsid w:val="001C30DA"/>
    <w:pPr>
      <w:keepLines/>
      <w:spacing w:before="240" w:after="120"/>
      <w:outlineLvl w:val="1"/>
    </w:pPr>
    <w:rPr>
      <w:sz w:val="28"/>
      <w:szCs w:val="40"/>
    </w:rPr>
  </w:style>
  <w:style w:type="paragraph" w:styleId="Heading3">
    <w:name w:val="heading 3"/>
    <w:basedOn w:val="HeadingBase"/>
    <w:next w:val="BodyText"/>
    <w:link w:val="Heading3Char"/>
    <w:qFormat/>
    <w:rsid w:val="001C30DA"/>
    <w:pPr>
      <w:spacing w:before="180" w:after="120"/>
      <w:outlineLvl w:val="2"/>
    </w:pPr>
    <w:rPr>
      <w:spacing w:val="-10"/>
      <w:kern w:val="32"/>
    </w:rPr>
  </w:style>
  <w:style w:type="paragraph" w:styleId="Heading4">
    <w:name w:val="heading 4"/>
    <w:basedOn w:val="HeadingBase"/>
    <w:next w:val="BodyText"/>
    <w:link w:val="Heading4Char"/>
    <w:qFormat/>
    <w:rsid w:val="001C30DA"/>
    <w:pPr>
      <w:spacing w:before="160" w:after="120"/>
      <w:outlineLvl w:val="3"/>
    </w:pPr>
    <w:rPr>
      <w:sz w:val="22"/>
    </w:rPr>
  </w:style>
  <w:style w:type="paragraph" w:styleId="Heading5">
    <w:name w:val="heading 5"/>
    <w:basedOn w:val="HeadingBase"/>
    <w:next w:val="Normal"/>
    <w:link w:val="Heading5Char"/>
    <w:qFormat/>
    <w:rsid w:val="001C30DA"/>
    <w:pPr>
      <w:spacing w:before="80"/>
      <w:outlineLvl w:val="4"/>
    </w:pPr>
    <w:rPr>
      <w:color w:val="918585"/>
      <w:sz w:val="20"/>
    </w:rPr>
  </w:style>
  <w:style w:type="paragraph" w:styleId="Heading6">
    <w:name w:val="heading 6"/>
    <w:basedOn w:val="HeadingBase"/>
    <w:next w:val="Normal"/>
    <w:link w:val="Heading6Char"/>
    <w:qFormat/>
    <w:rsid w:val="001C30DA"/>
    <w:pPr>
      <w:spacing w:before="60"/>
      <w:outlineLvl w:val="5"/>
    </w:pPr>
    <w:rPr>
      <w:color w:val="918585"/>
      <w:sz w:val="20"/>
    </w:rPr>
  </w:style>
  <w:style w:type="paragraph" w:styleId="Heading7">
    <w:name w:val="heading 7"/>
    <w:basedOn w:val="Normal"/>
    <w:next w:val="Normal"/>
    <w:link w:val="Heading7Char"/>
    <w:qFormat/>
    <w:rsid w:val="001C30DA"/>
    <w:pPr>
      <w:ind w:left="720"/>
      <w:outlineLvl w:val="6"/>
    </w:pPr>
    <w:rPr>
      <w:i/>
    </w:rPr>
  </w:style>
  <w:style w:type="paragraph" w:styleId="Heading8">
    <w:name w:val="heading 8"/>
    <w:basedOn w:val="Normal"/>
    <w:next w:val="Normal"/>
    <w:link w:val="Heading8Char"/>
    <w:qFormat/>
    <w:rsid w:val="001C30DA"/>
    <w:pPr>
      <w:ind w:left="720"/>
      <w:outlineLvl w:val="7"/>
    </w:pPr>
    <w:rPr>
      <w:i/>
    </w:rPr>
  </w:style>
  <w:style w:type="paragraph" w:styleId="Heading9">
    <w:name w:val="heading 9"/>
    <w:basedOn w:val="Normal"/>
    <w:next w:val="Normal"/>
    <w:link w:val="Heading9Char"/>
    <w:qFormat/>
    <w:rsid w:val="001C30DA"/>
    <w:pPr>
      <w:ind w:left="720"/>
      <w:outlineLvl w:val="8"/>
    </w:pPr>
    <w:rPr>
      <w:i/>
    </w:rPr>
  </w:style>
  <w:style w:type="character" w:default="1" w:styleId="DefaultParagraphFont">
    <w:name w:val="Default Paragraph Font"/>
    <w:uiPriority w:val="1"/>
    <w:unhideWhenUsed/>
    <w:rsid w:val="001C30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30DA"/>
  </w:style>
  <w:style w:type="character" w:customStyle="1" w:styleId="Heading1Char">
    <w:name w:val="Heading 1 Char"/>
    <w:basedOn w:val="DefaultParagraphFont"/>
    <w:link w:val="Heading1"/>
    <w:rsid w:val="001C30DA"/>
    <w:rPr>
      <w:rFonts w:ascii="Times New Roman" w:eastAsia="Times New Roman" w:hAnsi="Times New Roman" w:cs="Times New Roman"/>
      <w:b/>
      <w:sz w:val="32"/>
      <w:szCs w:val="20"/>
      <w:lang w:eastAsia="en-US"/>
    </w:rPr>
  </w:style>
  <w:style w:type="paragraph" w:styleId="BodyText">
    <w:name w:val="Body Text"/>
    <w:basedOn w:val="Normal"/>
    <w:link w:val="BodyTextChar"/>
    <w:rsid w:val="001C30D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C30DA"/>
    <w:rPr>
      <w:rFonts w:ascii="Times New Roman" w:eastAsia="Times New Roman" w:hAnsi="Times New Roman" w:cs="Times New Roman"/>
      <w:sz w:val="24"/>
      <w:lang w:val="en-US" w:eastAsia="en-US"/>
    </w:rPr>
  </w:style>
  <w:style w:type="paragraph" w:styleId="Footer">
    <w:name w:val="footer"/>
    <w:basedOn w:val="Normal"/>
    <w:link w:val="FooterChar"/>
    <w:rsid w:val="001C30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30DA"/>
    <w:rPr>
      <w:rFonts w:ascii="Times New Roman" w:eastAsia="Times New Roman" w:hAnsi="Times New Roman" w:cs="Times New Roman"/>
      <w:sz w:val="16"/>
      <w:lang w:val="en-US" w:eastAsia="en-US"/>
    </w:rPr>
  </w:style>
  <w:style w:type="paragraph" w:styleId="List">
    <w:name w:val="List"/>
    <w:basedOn w:val="BodyText"/>
    <w:next w:val="BodyText"/>
    <w:rsid w:val="001C30DA"/>
    <w:pPr>
      <w:tabs>
        <w:tab w:val="left" w:pos="340"/>
      </w:tabs>
      <w:spacing w:before="60" w:after="60"/>
      <w:ind w:left="340" w:hanging="340"/>
    </w:pPr>
  </w:style>
  <w:style w:type="paragraph" w:styleId="ListBullet">
    <w:name w:val="List Bullet"/>
    <w:basedOn w:val="List"/>
    <w:rsid w:val="001C30DA"/>
    <w:pPr>
      <w:numPr>
        <w:numId w:val="13"/>
      </w:numPr>
      <w:tabs>
        <w:tab w:val="clear" w:pos="340"/>
      </w:tabs>
      <w:spacing w:before="40" w:after="40"/>
    </w:pPr>
  </w:style>
  <w:style w:type="character" w:customStyle="1" w:styleId="SpecialBold">
    <w:name w:val="Special Bold"/>
    <w:basedOn w:val="DefaultParagraphFont"/>
    <w:rsid w:val="001C30DA"/>
    <w:rPr>
      <w:b/>
      <w:spacing w:val="0"/>
    </w:rPr>
  </w:style>
  <w:style w:type="paragraph" w:styleId="ListBullet2">
    <w:name w:val="List Bullet 2"/>
    <w:basedOn w:val="List2"/>
    <w:rsid w:val="001C30DA"/>
    <w:pPr>
      <w:numPr>
        <w:numId w:val="14"/>
      </w:numPr>
      <w:tabs>
        <w:tab w:val="clear" w:pos="680"/>
      </w:tabs>
    </w:pPr>
  </w:style>
  <w:style w:type="paragraph" w:styleId="Header">
    <w:name w:val="header"/>
    <w:basedOn w:val="Normal"/>
    <w:link w:val="HeaderChar"/>
    <w:rsid w:val="001C30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30D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C30DA"/>
    <w:pPr>
      <w:spacing w:before="240" w:after="120"/>
      <w:outlineLvl w:val="0"/>
    </w:pPr>
    <w:rPr>
      <w:rFonts w:ascii="Times New Roman" w:hAnsi="Times New Roman"/>
      <w:b/>
      <w:sz w:val="28"/>
    </w:rPr>
  </w:style>
  <w:style w:type="paragraph" w:customStyle="1" w:styleId="AllowPageBreak">
    <w:name w:val="AllowPageBreak"/>
    <w:rsid w:val="001C30D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C30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30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30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30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30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30D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C30D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C30DA"/>
    <w:rPr>
      <w:rFonts w:ascii="Courier New" w:eastAsia="Times New Roman" w:hAnsi="Courier New" w:cs="Times New Roman"/>
      <w:i/>
      <w:szCs w:val="20"/>
      <w:lang w:val="en-US" w:eastAsia="en-US"/>
    </w:rPr>
  </w:style>
  <w:style w:type="paragraph" w:customStyle="1" w:styleId="HeadingBase">
    <w:name w:val="Heading Base"/>
    <w:rsid w:val="001C30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30DA"/>
    <w:pPr>
      <w:tabs>
        <w:tab w:val="right" w:leader="dot" w:pos="9072"/>
      </w:tabs>
      <w:ind w:left="567"/>
    </w:pPr>
    <w:rPr>
      <w:szCs w:val="22"/>
    </w:rPr>
  </w:style>
  <w:style w:type="paragraph" w:customStyle="1" w:styleId="TOCBase">
    <w:name w:val="TOC Base"/>
    <w:rsid w:val="001C30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30DA"/>
    <w:pPr>
      <w:tabs>
        <w:tab w:val="right" w:leader="dot" w:pos="9072"/>
      </w:tabs>
      <w:spacing w:before="40" w:after="40"/>
      <w:ind w:left="284"/>
    </w:pPr>
    <w:rPr>
      <w:rFonts w:ascii="Times New Roman" w:hAnsi="Times New Roman"/>
    </w:rPr>
  </w:style>
  <w:style w:type="paragraph" w:styleId="TOC1">
    <w:name w:val="toc 1"/>
    <w:basedOn w:val="TOCBase"/>
    <w:next w:val="Normal"/>
    <w:rsid w:val="001C30D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C30DA"/>
    <w:pPr>
      <w:spacing w:before="5040"/>
      <w:jc w:val="center"/>
    </w:pPr>
    <w:rPr>
      <w:sz w:val="48"/>
      <w:szCs w:val="72"/>
      <w:lang w:val="en-US"/>
    </w:rPr>
  </w:style>
  <w:style w:type="character" w:customStyle="1" w:styleId="TitleChar">
    <w:name w:val="Title Char"/>
    <w:basedOn w:val="DefaultParagraphFont"/>
    <w:link w:val="Title"/>
    <w:rsid w:val="001C30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30DA"/>
    <w:pPr>
      <w:tabs>
        <w:tab w:val="left" w:pos="3600"/>
        <w:tab w:val="left" w:pos="3958"/>
      </w:tabs>
    </w:pPr>
  </w:style>
  <w:style w:type="paragraph" w:customStyle="1" w:styleId="Note">
    <w:name w:val="Note"/>
    <w:basedOn w:val="BodyText"/>
    <w:rsid w:val="001C30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30DA"/>
    <w:pPr>
      <w:framePr w:wrap="auto" w:hAnchor="text" w:y="6049"/>
    </w:pPr>
    <w:rPr>
      <w:color w:val="000000"/>
      <w:sz w:val="40"/>
    </w:rPr>
  </w:style>
  <w:style w:type="paragraph" w:customStyle="1" w:styleId="TOCTitle">
    <w:name w:val="TOCTitle"/>
    <w:basedOn w:val="Heading1"/>
    <w:rsid w:val="001C30DA"/>
    <w:pPr>
      <w:spacing w:after="240"/>
      <w:jc w:val="center"/>
      <w:outlineLvl w:val="9"/>
    </w:pPr>
    <w:rPr>
      <w:caps/>
    </w:rPr>
  </w:style>
  <w:style w:type="paragraph" w:customStyle="1" w:styleId="Version">
    <w:name w:val="Version"/>
    <w:rsid w:val="001C30D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C30DA"/>
    <w:pPr>
      <w:keepNext w:val="0"/>
      <w:tabs>
        <w:tab w:val="right" w:pos="4176"/>
      </w:tabs>
      <w:ind w:left="198" w:hanging="198"/>
    </w:pPr>
    <w:rPr>
      <w:rFonts w:ascii="Garamond" w:hAnsi="Garamond"/>
    </w:rPr>
  </w:style>
  <w:style w:type="paragraph" w:styleId="IndexHeading">
    <w:name w:val="index heading"/>
    <w:basedOn w:val="Normal"/>
    <w:next w:val="Index1"/>
    <w:semiHidden/>
    <w:rsid w:val="001C30DA"/>
    <w:pPr>
      <w:spacing w:before="120" w:after="120"/>
    </w:pPr>
    <w:rPr>
      <w:rFonts w:ascii="Arial" w:hAnsi="Arial"/>
      <w:b/>
      <w:color w:val="918585"/>
      <w:sz w:val="24"/>
    </w:rPr>
  </w:style>
  <w:style w:type="paragraph" w:customStyle="1" w:styleId="Chapter">
    <w:name w:val="Chapter"/>
    <w:basedOn w:val="Normal"/>
    <w:rsid w:val="001C30DA"/>
    <w:pPr>
      <w:spacing w:before="240"/>
    </w:pPr>
    <w:rPr>
      <w:rFonts w:ascii="Times New Roman" w:hAnsi="Times New Roman"/>
      <w:smallCaps/>
      <w:spacing w:val="80"/>
      <w:sz w:val="28"/>
    </w:rPr>
  </w:style>
  <w:style w:type="paragraph" w:customStyle="1" w:styleId="InChapter">
    <w:name w:val="InChapter"/>
    <w:basedOn w:val="Heading3"/>
    <w:rsid w:val="001C30DA"/>
    <w:pPr>
      <w:spacing w:after="240"/>
      <w:outlineLvl w:val="9"/>
    </w:pPr>
    <w:rPr>
      <w:noProof/>
    </w:rPr>
  </w:style>
  <w:style w:type="paragraph" w:styleId="Index2">
    <w:name w:val="index 2"/>
    <w:basedOn w:val="Normal"/>
    <w:next w:val="Normal"/>
    <w:semiHidden/>
    <w:rsid w:val="001C30DA"/>
    <w:pPr>
      <w:tabs>
        <w:tab w:val="right" w:pos="4176"/>
      </w:tabs>
      <w:ind w:left="568" w:hanging="284"/>
    </w:pPr>
    <w:rPr>
      <w:rFonts w:ascii="Garamond" w:hAnsi="Garamond"/>
    </w:rPr>
  </w:style>
  <w:style w:type="paragraph" w:customStyle="1" w:styleId="Byline">
    <w:name w:val="Byline"/>
    <w:rsid w:val="001C30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30DA"/>
    <w:pPr>
      <w:tabs>
        <w:tab w:val="clear" w:pos="3600"/>
        <w:tab w:val="clear" w:pos="3958"/>
      </w:tabs>
      <w:jc w:val="right"/>
    </w:pPr>
  </w:style>
  <w:style w:type="character" w:styleId="Emphasis">
    <w:name w:val="Emphasis"/>
    <w:basedOn w:val="DefaultParagraphFont"/>
    <w:qFormat/>
    <w:rsid w:val="001C30DA"/>
    <w:rPr>
      <w:i/>
    </w:rPr>
  </w:style>
  <w:style w:type="paragraph" w:styleId="Caption">
    <w:name w:val="caption"/>
    <w:basedOn w:val="BodyText"/>
    <w:next w:val="Normal"/>
    <w:qFormat/>
    <w:rsid w:val="001C30DA"/>
    <w:pPr>
      <w:framePr w:w="2268" w:hSpace="181" w:vSpace="181" w:wrap="around" w:vAnchor="text" w:hAnchor="page" w:x="1135" w:y="285" w:anchorLock="1"/>
    </w:pPr>
    <w:rPr>
      <w:i/>
    </w:rPr>
  </w:style>
  <w:style w:type="paragraph" w:customStyle="1" w:styleId="MiniTOCTitle">
    <w:name w:val="MiniTOCTitle"/>
    <w:basedOn w:val="Heading4"/>
    <w:rsid w:val="001C30DA"/>
    <w:pPr>
      <w:spacing w:before="240"/>
      <w:outlineLvl w:val="9"/>
    </w:pPr>
    <w:rPr>
      <w:noProof/>
      <w:sz w:val="24"/>
    </w:rPr>
  </w:style>
  <w:style w:type="paragraph" w:customStyle="1" w:styleId="MiniTOCItem">
    <w:name w:val="MiniTOCItem"/>
    <w:basedOn w:val="ListBullet"/>
    <w:rsid w:val="001C30DA"/>
    <w:pPr>
      <w:numPr>
        <w:numId w:val="0"/>
      </w:numPr>
      <w:tabs>
        <w:tab w:val="right" w:leader="dot" w:pos="6521"/>
      </w:tabs>
      <w:spacing w:before="0" w:after="0"/>
    </w:pPr>
  </w:style>
  <w:style w:type="paragraph" w:customStyle="1" w:styleId="TOFTitle">
    <w:name w:val="TOFTitle"/>
    <w:basedOn w:val="TOCTitle"/>
    <w:rsid w:val="001C30DA"/>
  </w:style>
  <w:style w:type="paragraph" w:styleId="TableofFigures">
    <w:name w:val="table of figures"/>
    <w:basedOn w:val="Normal"/>
    <w:next w:val="Normal"/>
    <w:semiHidden/>
    <w:rsid w:val="001C30DA"/>
    <w:pPr>
      <w:tabs>
        <w:tab w:val="right" w:leader="dot" w:pos="9072"/>
      </w:tabs>
      <w:ind w:left="970" w:hanging="403"/>
    </w:pPr>
    <w:rPr>
      <w:rFonts w:ascii="Times New Roman" w:hAnsi="Times New Roman"/>
      <w:b/>
    </w:rPr>
  </w:style>
  <w:style w:type="paragraph" w:styleId="ListNumber">
    <w:name w:val="List Number"/>
    <w:basedOn w:val="List"/>
    <w:rsid w:val="001C30DA"/>
    <w:pPr>
      <w:numPr>
        <w:numId w:val="11"/>
      </w:numPr>
    </w:pPr>
  </w:style>
  <w:style w:type="character" w:customStyle="1" w:styleId="WingdingSymbols">
    <w:name w:val="Wingding Symbols"/>
    <w:rsid w:val="001C30DA"/>
    <w:rPr>
      <w:rFonts w:ascii="Wingdings" w:hAnsi="Wingdings"/>
    </w:rPr>
  </w:style>
  <w:style w:type="paragraph" w:customStyle="1" w:styleId="TableHeading">
    <w:name w:val="Table Heading"/>
    <w:basedOn w:val="HeadingBase"/>
    <w:rsid w:val="001C30DA"/>
    <w:pPr>
      <w:keepLines/>
      <w:pBdr>
        <w:bottom w:val="single" w:sz="6" w:space="1" w:color="918585"/>
      </w:pBdr>
      <w:spacing w:before="240"/>
    </w:pPr>
  </w:style>
  <w:style w:type="character" w:customStyle="1" w:styleId="HotSpot">
    <w:name w:val="HotSpot"/>
    <w:rsid w:val="001C30DA"/>
    <w:rPr>
      <w:color w:val="0033CC"/>
      <w:u w:val="none"/>
    </w:rPr>
  </w:style>
  <w:style w:type="paragraph" w:customStyle="1" w:styleId="BodyTextRight">
    <w:name w:val="Body Text Right"/>
    <w:basedOn w:val="BodyText"/>
    <w:rsid w:val="001C30DA"/>
    <w:pPr>
      <w:spacing w:before="0" w:after="0"/>
      <w:jc w:val="right"/>
    </w:pPr>
  </w:style>
  <w:style w:type="paragraph" w:styleId="Index3">
    <w:name w:val="index 3"/>
    <w:basedOn w:val="ListNumber2"/>
    <w:next w:val="Normal"/>
    <w:semiHidden/>
    <w:rsid w:val="001C30DA"/>
    <w:pPr>
      <w:numPr>
        <w:numId w:val="0"/>
      </w:numPr>
      <w:tabs>
        <w:tab w:val="right" w:leader="dot" w:pos="4176"/>
      </w:tabs>
    </w:pPr>
  </w:style>
  <w:style w:type="paragraph" w:styleId="ListNumber2">
    <w:name w:val="List Number 2"/>
    <w:basedOn w:val="List2"/>
    <w:rsid w:val="001C30DA"/>
    <w:pPr>
      <w:numPr>
        <w:numId w:val="10"/>
      </w:numPr>
      <w:tabs>
        <w:tab w:val="clear" w:pos="1060"/>
      </w:tabs>
    </w:pPr>
  </w:style>
  <w:style w:type="paragraph" w:customStyle="1" w:styleId="MarginNote">
    <w:name w:val="Margin Note"/>
    <w:basedOn w:val="BodyText"/>
    <w:rsid w:val="001C30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30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30D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C30DA"/>
    <w:rPr>
      <w:sz w:val="32"/>
    </w:rPr>
  </w:style>
  <w:style w:type="paragraph" w:customStyle="1" w:styleId="HeadingProcedure">
    <w:name w:val="Heading Procedure"/>
    <w:basedOn w:val="HeadingBase"/>
    <w:next w:val="Normal"/>
    <w:rsid w:val="001C30DA"/>
    <w:pPr>
      <w:tabs>
        <w:tab w:val="left" w:pos="0"/>
      </w:tabs>
      <w:spacing w:before="120" w:after="60"/>
    </w:pPr>
    <w:rPr>
      <w:i/>
      <w:color w:val="918585"/>
      <w:sz w:val="22"/>
    </w:rPr>
  </w:style>
  <w:style w:type="paragraph" w:customStyle="1" w:styleId="TableBodyText">
    <w:name w:val="Table Body Text"/>
    <w:basedOn w:val="BodyText"/>
    <w:rsid w:val="001C30DA"/>
    <w:pPr>
      <w:spacing w:before="60" w:after="60"/>
    </w:pPr>
  </w:style>
  <w:style w:type="paragraph" w:styleId="ListContinue">
    <w:name w:val="List Continue"/>
    <w:basedOn w:val="List"/>
    <w:rsid w:val="001C30DA"/>
    <w:pPr>
      <w:ind w:firstLine="0"/>
    </w:pPr>
  </w:style>
  <w:style w:type="paragraph" w:customStyle="1" w:styleId="ListNote">
    <w:name w:val="List Note"/>
    <w:basedOn w:val="List"/>
    <w:rsid w:val="001C30DA"/>
    <w:pPr>
      <w:pBdr>
        <w:top w:val="single" w:sz="6" w:space="2" w:color="918585"/>
        <w:bottom w:val="single" w:sz="6" w:space="2" w:color="918585"/>
      </w:pBdr>
      <w:tabs>
        <w:tab w:val="left" w:pos="1021"/>
      </w:tabs>
      <w:ind w:firstLine="0"/>
    </w:pPr>
  </w:style>
  <w:style w:type="paragraph" w:customStyle="1" w:styleId="Warning">
    <w:name w:val="Warning"/>
    <w:basedOn w:val="BodyText"/>
    <w:rsid w:val="001C30DA"/>
    <w:pPr>
      <w:shd w:val="clear" w:color="auto" w:fill="D9D9D9"/>
      <w:tabs>
        <w:tab w:val="left" w:pos="992"/>
      </w:tabs>
      <w:ind w:left="119" w:right="119"/>
    </w:pPr>
    <w:rPr>
      <w:sz w:val="20"/>
    </w:rPr>
  </w:style>
  <w:style w:type="paragraph" w:customStyle="1" w:styleId="MarginIcons">
    <w:name w:val="Margin Icons"/>
    <w:basedOn w:val="BodyText"/>
    <w:rsid w:val="001C30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30DA"/>
    <w:rPr>
      <w:rFonts w:ascii="Courier New" w:hAnsi="Courier New"/>
    </w:rPr>
  </w:style>
  <w:style w:type="paragraph" w:customStyle="1" w:styleId="NoteBullet">
    <w:name w:val="Note Bullet"/>
    <w:basedOn w:val="Note"/>
    <w:rsid w:val="001C30DA"/>
    <w:pPr>
      <w:tabs>
        <w:tab w:val="clear" w:pos="680"/>
      </w:tabs>
      <w:spacing w:before="60" w:after="60"/>
    </w:pPr>
  </w:style>
  <w:style w:type="paragraph" w:customStyle="1" w:styleId="SubHeading2">
    <w:name w:val="SubHeading2"/>
    <w:basedOn w:val="HeadingBase"/>
    <w:rsid w:val="001C30DA"/>
    <w:pPr>
      <w:spacing w:before="240" w:after="60"/>
    </w:pPr>
    <w:rPr>
      <w:sz w:val="20"/>
    </w:rPr>
  </w:style>
  <w:style w:type="paragraph" w:customStyle="1" w:styleId="SubHeading1">
    <w:name w:val="SubHeading1"/>
    <w:basedOn w:val="HeadingBase"/>
    <w:rsid w:val="001C30DA"/>
    <w:pPr>
      <w:spacing w:before="240" w:after="60"/>
    </w:pPr>
    <w:rPr>
      <w:color w:val="918585"/>
      <w:sz w:val="22"/>
    </w:rPr>
  </w:style>
  <w:style w:type="paragraph" w:customStyle="1" w:styleId="SideHeading">
    <w:name w:val="Side Heading"/>
    <w:basedOn w:val="HeadingBase"/>
    <w:rsid w:val="001C30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30DA"/>
    <w:pPr>
      <w:numPr>
        <w:numId w:val="12"/>
      </w:numPr>
    </w:pPr>
  </w:style>
  <w:style w:type="paragraph" w:styleId="PlainText">
    <w:name w:val="Plain Text"/>
    <w:basedOn w:val="Normal"/>
    <w:link w:val="PlainTextChar"/>
    <w:rsid w:val="001C30DA"/>
    <w:rPr>
      <w:sz w:val="20"/>
    </w:rPr>
  </w:style>
  <w:style w:type="character" w:customStyle="1" w:styleId="PlainTextChar">
    <w:name w:val="Plain Text Char"/>
    <w:basedOn w:val="DefaultParagraphFont"/>
    <w:link w:val="PlainText"/>
    <w:rsid w:val="001C30D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C30DA"/>
    <w:rPr>
      <w:b/>
      <w:smallCaps/>
    </w:rPr>
  </w:style>
  <w:style w:type="paragraph" w:customStyle="1" w:styleId="TableListNumber">
    <w:name w:val="Table List Number"/>
    <w:basedOn w:val="ListNumber"/>
    <w:rsid w:val="001C30DA"/>
    <w:pPr>
      <w:numPr>
        <w:numId w:val="0"/>
      </w:numPr>
    </w:pPr>
  </w:style>
  <w:style w:type="paragraph" w:styleId="TOC4">
    <w:name w:val="toc 4"/>
    <w:basedOn w:val="TOCBase"/>
    <w:next w:val="Normal"/>
    <w:semiHidden/>
    <w:rsid w:val="001C30DA"/>
    <w:pPr>
      <w:tabs>
        <w:tab w:val="right" w:leader="dot" w:pos="9071"/>
      </w:tabs>
      <w:ind w:left="1701"/>
    </w:pPr>
  </w:style>
  <w:style w:type="paragraph" w:customStyle="1" w:styleId="ListAlpha">
    <w:name w:val="List Alpha"/>
    <w:basedOn w:val="List"/>
    <w:rsid w:val="001C30DA"/>
    <w:pPr>
      <w:numPr>
        <w:numId w:val="9"/>
      </w:numPr>
    </w:pPr>
  </w:style>
  <w:style w:type="paragraph" w:customStyle="1" w:styleId="ListAlpha2">
    <w:name w:val="List Alpha 2"/>
    <w:basedOn w:val="List2"/>
    <w:rsid w:val="001C30DA"/>
    <w:pPr>
      <w:numPr>
        <w:numId w:val="8"/>
      </w:numPr>
    </w:pPr>
  </w:style>
  <w:style w:type="paragraph" w:styleId="List2">
    <w:name w:val="List 2"/>
    <w:basedOn w:val="BodyText"/>
    <w:rsid w:val="001C30DA"/>
    <w:pPr>
      <w:tabs>
        <w:tab w:val="left" w:pos="680"/>
      </w:tabs>
      <w:spacing w:before="60" w:after="60"/>
      <w:ind w:left="680" w:hanging="340"/>
    </w:pPr>
  </w:style>
  <w:style w:type="paragraph" w:styleId="List3">
    <w:name w:val="List 3"/>
    <w:basedOn w:val="BodyText"/>
    <w:rsid w:val="001C30DA"/>
    <w:pPr>
      <w:tabs>
        <w:tab w:val="left" w:pos="1021"/>
      </w:tabs>
      <w:spacing w:before="60" w:after="60"/>
      <w:ind w:left="1020" w:hanging="340"/>
    </w:pPr>
  </w:style>
  <w:style w:type="paragraph" w:styleId="List4">
    <w:name w:val="List 4"/>
    <w:basedOn w:val="BodyText"/>
    <w:rsid w:val="001C30DA"/>
    <w:pPr>
      <w:tabs>
        <w:tab w:val="left" w:pos="1361"/>
      </w:tabs>
      <w:spacing w:before="60" w:after="60"/>
      <w:ind w:left="1361" w:hanging="340"/>
    </w:pPr>
  </w:style>
  <w:style w:type="paragraph" w:styleId="List5">
    <w:name w:val="List 5"/>
    <w:basedOn w:val="BodyText"/>
    <w:rsid w:val="001C30DA"/>
    <w:pPr>
      <w:tabs>
        <w:tab w:val="left" w:pos="1701"/>
      </w:tabs>
      <w:spacing w:before="60" w:after="60"/>
      <w:ind w:left="1701" w:hanging="340"/>
    </w:pPr>
  </w:style>
  <w:style w:type="paragraph" w:styleId="ListBullet3">
    <w:name w:val="List Bullet 3"/>
    <w:basedOn w:val="List3"/>
    <w:rsid w:val="001C30DA"/>
    <w:pPr>
      <w:numPr>
        <w:numId w:val="15"/>
      </w:numPr>
      <w:tabs>
        <w:tab w:val="clear" w:pos="1021"/>
      </w:tabs>
      <w:ind w:left="1037" w:hanging="357"/>
    </w:pPr>
  </w:style>
  <w:style w:type="paragraph" w:styleId="ListBullet4">
    <w:name w:val="List Bullet 4"/>
    <w:basedOn w:val="List4"/>
    <w:rsid w:val="001C30DA"/>
    <w:pPr>
      <w:numPr>
        <w:numId w:val="3"/>
      </w:numPr>
    </w:pPr>
  </w:style>
  <w:style w:type="paragraph" w:styleId="ListBullet5">
    <w:name w:val="List Bullet 5"/>
    <w:basedOn w:val="List5"/>
    <w:rsid w:val="001C30DA"/>
    <w:pPr>
      <w:numPr>
        <w:numId w:val="4"/>
      </w:numPr>
    </w:pPr>
  </w:style>
  <w:style w:type="paragraph" w:styleId="ListContinue2">
    <w:name w:val="List Continue 2"/>
    <w:basedOn w:val="List2"/>
    <w:rsid w:val="001C30DA"/>
    <w:pPr>
      <w:ind w:firstLine="0"/>
    </w:pPr>
  </w:style>
  <w:style w:type="paragraph" w:styleId="ListContinue3">
    <w:name w:val="List Continue 3"/>
    <w:basedOn w:val="List3"/>
    <w:rsid w:val="001C30DA"/>
    <w:pPr>
      <w:ind w:left="1021" w:firstLine="0"/>
    </w:pPr>
  </w:style>
  <w:style w:type="paragraph" w:styleId="ListContinue4">
    <w:name w:val="List Continue 4"/>
    <w:basedOn w:val="List4"/>
    <w:rsid w:val="001C30DA"/>
    <w:pPr>
      <w:ind w:firstLine="0"/>
    </w:pPr>
  </w:style>
  <w:style w:type="paragraph" w:styleId="ListContinue5">
    <w:name w:val="List Continue 5"/>
    <w:basedOn w:val="List5"/>
    <w:rsid w:val="001C30DA"/>
    <w:pPr>
      <w:ind w:firstLine="0"/>
    </w:pPr>
  </w:style>
  <w:style w:type="paragraph" w:styleId="ListNumber3">
    <w:name w:val="List Number 3"/>
    <w:basedOn w:val="List3"/>
    <w:rsid w:val="001C30DA"/>
    <w:pPr>
      <w:numPr>
        <w:numId w:val="5"/>
      </w:numPr>
    </w:pPr>
  </w:style>
  <w:style w:type="paragraph" w:styleId="ListNumber4">
    <w:name w:val="List Number 4"/>
    <w:basedOn w:val="List4"/>
    <w:rsid w:val="001C30DA"/>
    <w:pPr>
      <w:numPr>
        <w:numId w:val="6"/>
      </w:numPr>
    </w:pPr>
  </w:style>
  <w:style w:type="paragraph" w:styleId="ListNumber5">
    <w:name w:val="List Number 5"/>
    <w:basedOn w:val="List5"/>
    <w:rsid w:val="001C30DA"/>
    <w:pPr>
      <w:numPr>
        <w:numId w:val="7"/>
      </w:numPr>
    </w:pPr>
  </w:style>
  <w:style w:type="paragraph" w:styleId="BlockText">
    <w:name w:val="Block Text"/>
    <w:basedOn w:val="Normal"/>
    <w:rsid w:val="001C30DA"/>
    <w:pPr>
      <w:spacing w:after="120"/>
      <w:ind w:left="1440" w:right="1440"/>
    </w:pPr>
  </w:style>
  <w:style w:type="character" w:customStyle="1" w:styleId="Subscript">
    <w:name w:val="Subscript"/>
    <w:basedOn w:val="DefaultParagraphFont"/>
    <w:rsid w:val="001C30DA"/>
    <w:rPr>
      <w:sz w:val="16"/>
      <w:vertAlign w:val="subscript"/>
    </w:rPr>
  </w:style>
  <w:style w:type="character" w:customStyle="1" w:styleId="Superscript">
    <w:name w:val="Superscript"/>
    <w:basedOn w:val="DefaultParagraphFont"/>
    <w:rsid w:val="001C30DA"/>
    <w:rPr>
      <w:sz w:val="16"/>
      <w:vertAlign w:val="superscript"/>
    </w:rPr>
  </w:style>
  <w:style w:type="character" w:customStyle="1" w:styleId="Symbols">
    <w:name w:val="Symbols"/>
    <w:basedOn w:val="DefaultParagraphFont"/>
    <w:rsid w:val="001C30DA"/>
    <w:rPr>
      <w:rFonts w:ascii="Symbol" w:hAnsi="Symbol"/>
    </w:rPr>
  </w:style>
  <w:style w:type="character" w:customStyle="1" w:styleId="MenuOptions">
    <w:name w:val="Menu Options"/>
    <w:basedOn w:val="DefaultParagraphFont"/>
    <w:rsid w:val="001C30DA"/>
    <w:rPr>
      <w:rFonts w:ascii="Arial Narrow" w:hAnsi="Arial Narrow"/>
      <w:smallCaps/>
    </w:rPr>
  </w:style>
  <w:style w:type="character" w:customStyle="1" w:styleId="Buttons">
    <w:name w:val="Buttons"/>
    <w:basedOn w:val="DefaultParagraphFont"/>
    <w:rsid w:val="001C30DA"/>
    <w:rPr>
      <w:b/>
    </w:rPr>
  </w:style>
  <w:style w:type="character" w:customStyle="1" w:styleId="Underlined">
    <w:name w:val="Underlined"/>
    <w:basedOn w:val="DefaultParagraphFont"/>
    <w:rsid w:val="001C30DA"/>
    <w:rPr>
      <w:u w:val="single"/>
    </w:rPr>
  </w:style>
  <w:style w:type="paragraph" w:customStyle="1" w:styleId="TableBodyTextRight">
    <w:name w:val="Table Body Text Right"/>
    <w:basedOn w:val="TableBodyText"/>
    <w:rsid w:val="001C30DA"/>
    <w:pPr>
      <w:widowControl w:val="0"/>
      <w:autoSpaceDE w:val="0"/>
      <w:autoSpaceDN w:val="0"/>
      <w:adjustRightInd w:val="0"/>
      <w:jc w:val="right"/>
    </w:pPr>
    <w:rPr>
      <w:rFonts w:cs="Arial"/>
      <w:szCs w:val="18"/>
    </w:rPr>
  </w:style>
  <w:style w:type="paragraph" w:customStyle="1" w:styleId="CopyrightText">
    <w:name w:val="Copyright Text"/>
    <w:basedOn w:val="BodyText"/>
    <w:rsid w:val="001C30DA"/>
    <w:rPr>
      <w:sz w:val="18"/>
    </w:rPr>
  </w:style>
  <w:style w:type="paragraph" w:customStyle="1" w:styleId="BodySmallRight">
    <w:name w:val="Body Small Right"/>
    <w:basedOn w:val="BodyTextRight"/>
    <w:rsid w:val="001C30DA"/>
    <w:rPr>
      <w:sz w:val="18"/>
      <w:szCs w:val="18"/>
    </w:rPr>
  </w:style>
  <w:style w:type="paragraph" w:customStyle="1" w:styleId="MarginEdition">
    <w:name w:val="Margin Edition"/>
    <w:basedOn w:val="MarginNote"/>
    <w:rsid w:val="001C30DA"/>
    <w:pPr>
      <w:spacing w:before="0" w:after="0"/>
    </w:pPr>
    <w:rPr>
      <w:rFonts w:ascii="Times New Roman" w:hAnsi="Times New Roman"/>
      <w:color w:val="999999"/>
    </w:rPr>
  </w:style>
  <w:style w:type="paragraph" w:customStyle="1" w:styleId="Spacer">
    <w:name w:val="Spacer"/>
    <w:basedOn w:val="Normal"/>
    <w:rsid w:val="001C30DA"/>
    <w:rPr>
      <w:sz w:val="2"/>
      <w:szCs w:val="2"/>
    </w:rPr>
  </w:style>
  <w:style w:type="character" w:customStyle="1" w:styleId="Small">
    <w:name w:val="Small"/>
    <w:basedOn w:val="DefaultParagraphFont"/>
    <w:rsid w:val="001C30DA"/>
    <w:rPr>
      <w:sz w:val="16"/>
    </w:rPr>
  </w:style>
  <w:style w:type="paragraph" w:customStyle="1" w:styleId="WideTable">
    <w:name w:val="Wide Table"/>
    <w:basedOn w:val="Normal"/>
    <w:rsid w:val="001C30DA"/>
    <w:pPr>
      <w:ind w:left="-1418"/>
    </w:pPr>
    <w:rPr>
      <w:sz w:val="2"/>
      <w:szCs w:val="2"/>
    </w:rPr>
  </w:style>
  <w:style w:type="character" w:styleId="PageNumber">
    <w:name w:val="page number"/>
    <w:basedOn w:val="DefaultParagraphFont"/>
    <w:rsid w:val="001C30DA"/>
  </w:style>
  <w:style w:type="paragraph" w:styleId="Quote">
    <w:name w:val="Quote"/>
    <w:basedOn w:val="Heading1"/>
    <w:link w:val="QuoteChar"/>
    <w:qFormat/>
    <w:rsid w:val="001C30DA"/>
    <w:rPr>
      <w:b w:val="0"/>
      <w:sz w:val="72"/>
      <w:szCs w:val="72"/>
      <w:lang w:val="en-NZ"/>
    </w:rPr>
  </w:style>
  <w:style w:type="character" w:customStyle="1" w:styleId="QuoteChar">
    <w:name w:val="Quote Char"/>
    <w:basedOn w:val="DefaultParagraphFont"/>
    <w:link w:val="Quote"/>
    <w:rsid w:val="001C30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30DA"/>
    <w:pPr>
      <w:pageBreakBefore/>
    </w:pPr>
  </w:style>
  <w:style w:type="paragraph" w:customStyle="1" w:styleId="Border">
    <w:name w:val="Border"/>
    <w:basedOn w:val="Normal"/>
    <w:qFormat/>
    <w:rsid w:val="001C30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30DA"/>
    <w:rPr>
      <w:b/>
      <w:bCs/>
      <w:i/>
      <w:iCs/>
      <w:color w:val="auto"/>
    </w:rPr>
  </w:style>
  <w:style w:type="paragraph" w:styleId="IntenseQuote">
    <w:name w:val="Intense Quote"/>
    <w:basedOn w:val="Normal"/>
    <w:next w:val="Normal"/>
    <w:link w:val="IntenseQuoteChar"/>
    <w:uiPriority w:val="30"/>
    <w:qFormat/>
    <w:rsid w:val="001C30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30D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C30DA"/>
    <w:rPr>
      <w:smallCaps/>
      <w:color w:val="auto"/>
      <w:u w:val="single"/>
    </w:rPr>
  </w:style>
  <w:style w:type="character" w:styleId="IntenseReference">
    <w:name w:val="Intense Reference"/>
    <w:basedOn w:val="DefaultParagraphFont"/>
    <w:uiPriority w:val="32"/>
    <w:qFormat/>
    <w:rsid w:val="001C30DA"/>
    <w:rPr>
      <w:b/>
      <w:bCs/>
      <w:smallCaps/>
      <w:color w:val="auto"/>
      <w:spacing w:val="5"/>
      <w:u w:val="single"/>
    </w:rPr>
  </w:style>
  <w:style w:type="paragraph" w:customStyle="1" w:styleId="2ColumnHeading">
    <w:name w:val="2Column Heading"/>
    <w:basedOn w:val="BodyText"/>
    <w:qFormat/>
    <w:rsid w:val="001C30DA"/>
    <w:pPr>
      <w:spacing w:after="60"/>
      <w:ind w:left="-2268"/>
    </w:pPr>
    <w:rPr>
      <w:b/>
    </w:rPr>
  </w:style>
  <w:style w:type="paragraph" w:customStyle="1" w:styleId="Heading1TOC">
    <w:name w:val="Heading1 TOC"/>
    <w:basedOn w:val="Normal"/>
    <w:qFormat/>
    <w:rsid w:val="001C30DA"/>
    <w:pPr>
      <w:spacing w:before="240" w:after="120"/>
    </w:pPr>
    <w:rPr>
      <w:rFonts w:ascii="Times New Roman" w:hAnsi="Times New Roman"/>
      <w:b/>
      <w:sz w:val="32"/>
    </w:rPr>
  </w:style>
  <w:style w:type="paragraph" w:customStyle="1" w:styleId="Heading2TOC">
    <w:name w:val="Heading2 TOC"/>
    <w:basedOn w:val="Normal"/>
    <w:qFormat/>
    <w:rsid w:val="001C30DA"/>
    <w:pPr>
      <w:spacing w:before="240" w:after="60"/>
    </w:pPr>
    <w:rPr>
      <w:rFonts w:ascii="Times New Roman" w:hAnsi="Times New Roman"/>
      <w:b/>
      <w:sz w:val="28"/>
    </w:rPr>
  </w:style>
  <w:style w:type="character" w:customStyle="1" w:styleId="Underline">
    <w:name w:val="Underline"/>
    <w:basedOn w:val="DefaultParagraphFont"/>
    <w:qFormat/>
    <w:rsid w:val="001C30DA"/>
    <w:rPr>
      <w:u w:val="single"/>
    </w:rPr>
  </w:style>
  <w:style w:type="character" w:customStyle="1" w:styleId="BoldandItalics">
    <w:name w:val="Bold and Italics"/>
    <w:qFormat/>
    <w:rsid w:val="001C30DA"/>
    <w:rPr>
      <w:b/>
      <w:i/>
      <w:u w:val="none"/>
    </w:rPr>
  </w:style>
  <w:style w:type="paragraph" w:styleId="BalloonText">
    <w:name w:val="Balloon Text"/>
    <w:basedOn w:val="Normal"/>
    <w:link w:val="BalloonTextChar"/>
    <w:rsid w:val="001C30DA"/>
    <w:rPr>
      <w:rFonts w:ascii="Tahoma" w:hAnsi="Tahoma" w:cs="Tahoma"/>
      <w:sz w:val="16"/>
      <w:szCs w:val="16"/>
    </w:rPr>
  </w:style>
  <w:style w:type="character" w:customStyle="1" w:styleId="BalloonTextChar">
    <w:name w:val="Balloon Text Char"/>
    <w:basedOn w:val="DefaultParagraphFont"/>
    <w:link w:val="BalloonText"/>
    <w:rsid w:val="001C30D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C30D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C30D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996</Words>
  <Characters>6624</Characters>
  <Application>Microsoft Office Word</Application>
  <DocSecurity>0</DocSecurity>
  <Lines>228</Lines>
  <Paragraphs>124</Paragraphs>
  <ScaleCrop>false</ScaleCrop>
  <Company>Author-it Software Corporation Ltd.</Company>
  <LinksUpToDate>false</LinksUpToDate>
  <CharactersWithSpaces>7557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TLIX4018A Apply materiel sustainment processes and procedures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2012-05-27T04:12:00Z</dcterms:created>
  <dcterms:modified xsi:type="dcterms:W3CDTF">2012-05-27T04:12:00Z</dcterms:modified>
</cp:coreProperties>
</file>