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4F0" w:rsidP="00C224F0">
      <w:pPr>
        <w:pStyle w:val="Title"/>
      </w:pPr>
      <w:r>
        <w:fldChar w:fldCharType="begin"/>
      </w:r>
      <w:r>
        <w:instrText xml:space="preserve"> TITLE   \* MERGEFORMAT </w:instrText>
      </w:r>
      <w:r>
        <w:fldChar w:fldCharType="separate"/>
      </w:r>
      <w:r>
        <w:t>TLIX4017A Conduct materiel sustainment activities</w:t>
      </w:r>
      <w:r>
        <w:fldChar w:fldCharType="end"/>
      </w:r>
    </w:p>
    <w:p w:rsidR="00C224F0" w:rsidP="00C224F0">
      <w:pPr>
        <w:pStyle w:val="Version"/>
        <w:sectPr w:rsidSect="00C509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9A4" w:rsidP="00C509A4">
      <w:pPr>
        <w:pStyle w:val="SuperHeading"/>
      </w:pPr>
      <w:r w:rsidRPr="00C509A4">
        <w:t>TLIX4017A Conduct materiel sustainment activities</w:t>
      </w:r>
    </w:p>
    <w:p w:rsidR="00000000" w:rsidRPr="00C509A4" w:rsidP="00C509A4">
      <w:pPr>
        <w:pStyle w:val="Heading1"/>
      </w:pPr>
      <w:bookmarkStart w:id="1" w:name="O_274381"/>
      <w:bookmarkEnd w:id="1"/>
      <w:r w:rsidRPr="00C509A4">
        <w:t>Modification History</w:t>
      </w:r>
    </w:p>
    <w:p w:rsidR="00000000" w:rsidRPr="00C509A4" w:rsidP="00C509A4">
      <w:pPr>
        <w:pStyle w:val="BodyText"/>
      </w:pPr>
      <w:r w:rsidRPr="00C509A4">
        <w:t>Not Applicable</w:t>
      </w:r>
    </w:p>
    <w:p w:rsidR="00000000" w:rsidRPr="00C509A4" w:rsidP="00C509A4">
      <w:pPr>
        <w:pStyle w:val="AllowPageBreak"/>
      </w:pPr>
    </w:p>
    <w:p w:rsidR="00000000" w:rsidRPr="00C509A4" w:rsidP="00C509A4">
      <w:pPr>
        <w:pStyle w:val="Heading1"/>
      </w:pPr>
      <w:bookmarkStart w:id="2" w:name="O_224586"/>
      <w:bookmarkEnd w:id="2"/>
      <w:r w:rsidRPr="00C509A4">
        <w:t>Unit Descriptor</w:t>
      </w:r>
    </w:p>
    <w:tbl>
      <w:tblPr>
        <w:tblW w:w="9640" w:type="dxa"/>
        <w:tblLayout w:type="fixed"/>
        <w:tblCellMar>
          <w:left w:w="62" w:type="dxa"/>
          <w:right w:w="62" w:type="dxa"/>
        </w:tblCellMar>
        <w:tblLook w:val="0000"/>
      </w:tblPr>
      <w:tblGrid>
        <w:gridCol w:w="2978"/>
        <w:gridCol w:w="6662"/>
      </w:tblGrid>
      <w:tr w:rsidTr="00C224F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509A4" w:rsidP="00C509A4">
            <w:pPr>
              <w:pStyle w:val="BodyText"/>
            </w:pPr>
            <w:r w:rsidRPr="00C509A4">
              <w:t>This unit involves the skills and knowledge required to conduct materiel sustainment activities. It i</w:t>
            </w:r>
            <w:r w:rsidRPr="00C509A4">
              <w:t>ncludes the requirement to conduct a range of processes including the capture, recording, recovery and analysis of data; and maintenance of associated workplace networks and stakeholder requirements. There are no specific licensing or certification require</w:t>
            </w:r>
            <w:r w:rsidRPr="00C509A4">
              <w:t>ments applicable to this unit.</w:t>
            </w:r>
          </w:p>
        </w:tc>
      </w:tr>
    </w:tbl>
    <w:p w:rsidR="00C224F0" w:rsidP="00C509A4">
      <w:pPr>
        <w:pStyle w:val="BodyText"/>
      </w:pPr>
    </w:p>
    <w:p w:rsidR="00C224F0" w:rsidP="00C509A4">
      <w:pPr>
        <w:pStyle w:val="BodyText"/>
      </w:pPr>
    </w:p>
    <w:p w:rsidR="00000000" w:rsidRPr="00C509A4" w:rsidP="00C509A4">
      <w:pPr>
        <w:pStyle w:val="Heading1"/>
      </w:pPr>
      <w:bookmarkStart w:id="3" w:name="O_224588"/>
      <w:bookmarkEnd w:id="3"/>
      <w:r w:rsidRPr="00C509A4">
        <w:t>Application of the Unit</w:t>
      </w:r>
    </w:p>
    <w:tbl>
      <w:tblPr>
        <w:tblW w:w="9640" w:type="dxa"/>
        <w:tblLayout w:type="fixed"/>
        <w:tblCellMar>
          <w:left w:w="62" w:type="dxa"/>
          <w:right w:w="62" w:type="dxa"/>
        </w:tblCellMar>
        <w:tblLook w:val="0000"/>
      </w:tblPr>
      <w:tblGrid>
        <w:gridCol w:w="2978"/>
        <w:gridCol w:w="6662"/>
      </w:tblGrid>
      <w:tr w:rsidTr="00C224F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509A4" w:rsidP="00C509A4">
            <w:pPr>
              <w:pStyle w:val="BodyText"/>
            </w:pPr>
            <w:r w:rsidRPr="00C509A4">
              <w:t>This unit was developed for materiel sustainment specialists working within materiel logistics but is applicable to any individual in broader logistic roles.</w:t>
            </w:r>
          </w:p>
          <w:p w:rsidR="00000000" w:rsidRPr="00C509A4" w:rsidP="00C509A4">
            <w:pPr>
              <w:pStyle w:val="BodyText"/>
            </w:pPr>
            <w:r w:rsidRPr="00C509A4">
              <w:t>Typically these individuals must demonstrate the ability to work independently or as part of a team under direct and/or indirect supervision, use discretion and judgement, and take responsibility for the quality of their outputs. All activities are carrie</w:t>
            </w:r>
            <w:r w:rsidRPr="00C509A4">
              <w:t>d out in accordance with relevant organisational policy and procedures.</w:t>
            </w:r>
          </w:p>
        </w:tc>
      </w:tr>
    </w:tbl>
    <w:p w:rsidR="00C224F0" w:rsidP="00C509A4">
      <w:pPr>
        <w:pStyle w:val="BodyText"/>
      </w:pPr>
    </w:p>
    <w:p w:rsidR="00C224F0" w:rsidP="00C509A4">
      <w:pPr>
        <w:pStyle w:val="BodyText"/>
      </w:pPr>
    </w:p>
    <w:p w:rsidR="00000000" w:rsidRPr="00C509A4" w:rsidP="00C509A4">
      <w:pPr>
        <w:pStyle w:val="Heading1"/>
      </w:pPr>
      <w:bookmarkStart w:id="4" w:name="O_282641"/>
      <w:bookmarkEnd w:id="4"/>
      <w:r w:rsidRPr="00C509A4">
        <w:t>Licensing/Regulatory Information</w:t>
      </w:r>
    </w:p>
    <w:p w:rsidR="00000000" w:rsidRPr="00C509A4" w:rsidP="00C509A4">
      <w:pPr>
        <w:pStyle w:val="BodyText"/>
      </w:pPr>
      <w:r w:rsidRPr="00C509A4">
        <w:t>Refer to Unit Descriptor</w:t>
      </w:r>
    </w:p>
    <w:p w:rsidR="00000000" w:rsidRPr="00C509A4" w:rsidP="00C509A4">
      <w:pPr>
        <w:pStyle w:val="AllowPageBreak"/>
      </w:pPr>
    </w:p>
    <w:p w:rsidR="00000000" w:rsidRPr="00C509A4" w:rsidP="00C509A4">
      <w:pPr>
        <w:pStyle w:val="Heading1"/>
      </w:pPr>
      <w:bookmarkStart w:id="5" w:name="O_285091"/>
      <w:bookmarkEnd w:id="5"/>
      <w:r w:rsidRPr="00C509A4">
        <w:t>Pre-Requisites</w:t>
      </w:r>
    </w:p>
    <w:p w:rsidR="00000000" w:rsidRPr="00C509A4" w:rsidP="00C509A4">
      <w:pPr>
        <w:pStyle w:val="BodyText"/>
      </w:pPr>
      <w:r w:rsidRPr="00C509A4">
        <w:t>Not Applicable</w:t>
      </w:r>
    </w:p>
    <w:p w:rsidR="00000000" w:rsidRPr="00C509A4" w:rsidP="00C509A4">
      <w:pPr>
        <w:pStyle w:val="AllowPageBreak"/>
      </w:pPr>
    </w:p>
    <w:p w:rsidR="00000000" w:rsidRPr="00C509A4" w:rsidP="00C509A4">
      <w:pPr>
        <w:pStyle w:val="Heading1"/>
      </w:pPr>
      <w:bookmarkStart w:id="6" w:name="O_224587"/>
      <w:bookmarkEnd w:id="6"/>
      <w:r w:rsidRPr="00C509A4">
        <w:t>Employability Skills Information</w:t>
      </w:r>
    </w:p>
    <w:tbl>
      <w:tblPr>
        <w:tblW w:w="9640" w:type="dxa"/>
        <w:tblLayout w:type="fixed"/>
        <w:tblCellMar>
          <w:left w:w="62" w:type="dxa"/>
          <w:right w:w="62" w:type="dxa"/>
        </w:tblCellMar>
        <w:tblLook w:val="0000"/>
      </w:tblPr>
      <w:tblGrid>
        <w:gridCol w:w="2978"/>
        <w:gridCol w:w="6662"/>
      </w:tblGrid>
      <w:tr w:rsidTr="00C224F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509A4" w:rsidP="00C509A4">
            <w:pPr>
              <w:pStyle w:val="BodyText"/>
            </w:pPr>
            <w:r w:rsidRPr="00C509A4">
              <w:t>This unit contains employability skills.</w:t>
            </w:r>
          </w:p>
        </w:tc>
      </w:tr>
    </w:tbl>
    <w:p w:rsidR="00C224F0" w:rsidP="00C509A4">
      <w:pPr>
        <w:pStyle w:val="BodyText"/>
      </w:pPr>
    </w:p>
    <w:p w:rsidR="00C224F0" w:rsidP="00C509A4">
      <w:pPr>
        <w:pStyle w:val="BodyText"/>
      </w:pPr>
    </w:p>
    <w:p w:rsidR="00000000" w:rsidRPr="00C509A4" w:rsidP="00C509A4">
      <w:pPr>
        <w:pStyle w:val="Heading1"/>
      </w:pPr>
      <w:bookmarkStart w:id="7" w:name="O_292427"/>
      <w:bookmarkEnd w:id="7"/>
      <w:r w:rsidRPr="00C509A4">
        <w:t>Elements and Performance Criteria Pre-Content</w:t>
      </w:r>
    </w:p>
    <w:tbl>
      <w:tblPr>
        <w:tblW w:w="9640" w:type="dxa"/>
        <w:tblLayout w:type="fixed"/>
        <w:tblCellMar>
          <w:left w:w="62" w:type="dxa"/>
          <w:right w:w="62" w:type="dxa"/>
        </w:tblCellMar>
        <w:tblLook w:val="0000"/>
      </w:tblPr>
      <w:tblGrid>
        <w:gridCol w:w="2978"/>
        <w:gridCol w:w="6662"/>
      </w:tblGrid>
      <w:tr w:rsidTr="00C224F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509A4" w:rsidP="00C509A4">
            <w:pPr>
              <w:pStyle w:val="BodyText"/>
            </w:pPr>
            <w:r w:rsidRPr="00C509A4">
              <w:t>Performance criteria describe the required performance needed to demonstrate achievement of the element. Assessment of performance is to be consistent with the evidence guide.</w:t>
            </w:r>
          </w:p>
        </w:tc>
      </w:tr>
    </w:tbl>
    <w:p w:rsidR="00000000" w:rsidRPr="00C509A4" w:rsidP="00C509A4">
      <w:pPr>
        <w:pStyle w:val="BodyText"/>
      </w:pPr>
    </w:p>
    <w:p w:rsidR="00000000" w:rsidRPr="00C509A4" w:rsidP="00C509A4">
      <w:pPr>
        <w:pStyle w:val="AllowPageBreak"/>
      </w:pPr>
    </w:p>
    <w:p w:rsidR="00000000" w:rsidRPr="00C509A4" w:rsidP="00C509A4">
      <w:pPr>
        <w:pStyle w:val="Heading1"/>
      </w:pPr>
      <w:bookmarkStart w:id="8" w:name="O_239095"/>
      <w:bookmarkEnd w:id="8"/>
      <w:r w:rsidRPr="00C509A4">
        <w:t>Elements and Performance Criteria</w:t>
      </w:r>
    </w:p>
    <w:tbl>
      <w:tblPr>
        <w:tblW w:w="9640" w:type="dxa"/>
        <w:tblLayout w:type="fixed"/>
        <w:tblCellMar>
          <w:left w:w="62" w:type="dxa"/>
          <w:right w:w="62" w:type="dxa"/>
        </w:tblCellMar>
        <w:tblLook w:val="0000"/>
      </w:tblPr>
      <w:tblGrid>
        <w:gridCol w:w="2978"/>
        <w:gridCol w:w="6662"/>
      </w:tblGrid>
      <w:tr w:rsidTr="00C224F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509A4" w:rsidP="00C509A4">
            <w:pPr>
              <w:pStyle w:val="List"/>
            </w:pPr>
            <w:r w:rsidRPr="00C509A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509A4">
            <w:pPr>
              <w:pStyle w:val="List"/>
              <w:rPr>
                <w:lang w:val="en-NZ"/>
              </w:rPr>
            </w:pPr>
            <w:r w:rsidRPr="00C509A4">
              <w:rPr>
                <w:rStyle w:val="SpecialBold"/>
              </w:rPr>
              <w:t>PERFORMANCE CRITERI</w:t>
            </w:r>
            <w:r w:rsidRPr="00C509A4">
              <w:rPr>
                <w:rStyle w:val="SpecialBold"/>
              </w:rPr>
              <w:t>A</w:t>
            </w:r>
          </w:p>
        </w:tc>
      </w:tr>
      <w:tr w:rsidTr="00C224F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09A4">
            <w:pPr>
              <w:pStyle w:val="List"/>
              <w:rPr>
                <w:lang w:val="en-NZ"/>
              </w:rPr>
            </w:pPr>
            <w:r w:rsidRPr="00C509A4">
              <w:rPr>
                <w:rStyle w:val="SpecialBold"/>
              </w:rPr>
              <w:t>1</w:t>
            </w:r>
            <w:r w:rsidRPr="00C509A4">
              <w:tab/>
            </w:r>
            <w:r w:rsidRPr="00C509A4">
              <w:rPr>
                <w:rStyle w:val="SpecialBold"/>
              </w:rPr>
              <w:t>Prepare to conduct materiel sustainment activities</w:t>
            </w:r>
          </w:p>
        </w:tc>
        <w:tc>
          <w:tcPr>
            <w:tcW w:w="6662" w:type="dxa"/>
            <w:tcBorders>
              <w:top w:val="nil"/>
              <w:left w:val="nil"/>
              <w:bottom w:val="nil"/>
              <w:right w:val="nil"/>
            </w:tcBorders>
            <w:tcMar>
              <w:top w:w="0" w:type="dxa"/>
              <w:left w:w="62" w:type="dxa"/>
              <w:bottom w:w="0" w:type="dxa"/>
              <w:right w:w="62" w:type="dxa"/>
            </w:tcMar>
          </w:tcPr>
          <w:p w:rsidR="00000000" w:rsidRPr="00C509A4" w:rsidP="00C509A4">
            <w:pPr>
              <w:pStyle w:val="List"/>
            </w:pPr>
            <w:r w:rsidRPr="00C509A4">
              <w:t>1.1</w:t>
            </w:r>
            <w:r w:rsidRPr="00C509A4">
              <w:tab/>
              <w:t>Stakeholders are identified and consulted on materiel and materiel systems needs and capabilities in accordance with organisational policy and procedures</w:t>
            </w:r>
          </w:p>
          <w:p w:rsidR="00000000" w:rsidRPr="00C509A4" w:rsidP="00C509A4">
            <w:pPr>
              <w:pStyle w:val="List"/>
            </w:pPr>
            <w:r w:rsidRPr="00C509A4">
              <w:t>1.2</w:t>
            </w:r>
            <w:r w:rsidRPr="00C509A4">
              <w:tab/>
            </w:r>
            <w:r w:rsidRPr="00C509A4">
              <w:t>Effective relationships are developed with stakeholders through consultation</w:t>
            </w:r>
          </w:p>
          <w:p w:rsidR="00000000" w:rsidRPr="00C509A4" w:rsidP="00C509A4">
            <w:pPr>
              <w:pStyle w:val="List"/>
            </w:pPr>
            <w:r w:rsidRPr="00C509A4">
              <w:t>1.3</w:t>
            </w:r>
            <w:r w:rsidRPr="00C509A4">
              <w:tab/>
              <w:t>Legislation and organisational policy and procedures that may impact on materiel sustainment activities are identified and analysed</w:t>
            </w:r>
          </w:p>
          <w:p w:rsidR="00000000" w:rsidRPr="00C509A4" w:rsidP="00C509A4">
            <w:pPr>
              <w:pStyle w:val="List"/>
            </w:pPr>
            <w:r w:rsidRPr="00C509A4">
              <w:t>1.4</w:t>
            </w:r>
            <w:r w:rsidRPr="00C509A4">
              <w:tab/>
              <w:t>Sources of information relevant to mate</w:t>
            </w:r>
            <w:r w:rsidRPr="00C509A4">
              <w:t>riel sustainment activities are identified and obtained, in accordance with organisational policy and procedures</w:t>
            </w:r>
          </w:p>
          <w:p w:rsidR="00000000" w:rsidP="00C509A4">
            <w:pPr>
              <w:pStyle w:val="List"/>
              <w:rPr>
                <w:lang w:val="en-NZ"/>
              </w:rPr>
            </w:pPr>
            <w:r w:rsidRPr="00C509A4">
              <w:t>1.5</w:t>
            </w:r>
            <w:r w:rsidRPr="00C509A4">
              <w:tab/>
              <w:t>All personnel involved in materiel sustainment are briefed in accordance with standard procedures</w:t>
            </w:r>
          </w:p>
        </w:tc>
      </w:tr>
      <w:tr w:rsidTr="00C224F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09A4">
            <w:pPr>
              <w:pStyle w:val="List"/>
              <w:rPr>
                <w:lang w:val="en-NZ"/>
              </w:rPr>
            </w:pPr>
            <w:r w:rsidRPr="00C509A4">
              <w:rPr>
                <w:rStyle w:val="SpecialBold"/>
              </w:rPr>
              <w:t>2</w:t>
            </w:r>
            <w:r w:rsidRPr="00C509A4">
              <w:tab/>
            </w:r>
            <w:r w:rsidRPr="00C509A4">
              <w:rPr>
                <w:rStyle w:val="SpecialBold"/>
              </w:rPr>
              <w:t>Conduct materiel sustainment activitie</w:t>
            </w:r>
            <w:r w:rsidRPr="00C509A4">
              <w:rPr>
                <w:rStyle w:val="SpecialBold"/>
              </w:rPr>
              <w:t>s</w:t>
            </w:r>
          </w:p>
        </w:tc>
        <w:tc>
          <w:tcPr>
            <w:tcW w:w="6662" w:type="dxa"/>
            <w:tcBorders>
              <w:top w:val="nil"/>
              <w:left w:val="nil"/>
              <w:bottom w:val="nil"/>
              <w:right w:val="nil"/>
            </w:tcBorders>
            <w:tcMar>
              <w:top w:w="0" w:type="dxa"/>
              <w:left w:w="62" w:type="dxa"/>
              <w:bottom w:w="0" w:type="dxa"/>
              <w:right w:w="62" w:type="dxa"/>
            </w:tcMar>
          </w:tcPr>
          <w:p w:rsidR="00000000" w:rsidRPr="00C509A4" w:rsidP="00C509A4">
            <w:pPr>
              <w:pStyle w:val="List"/>
            </w:pPr>
            <w:r w:rsidRPr="00C509A4">
              <w:t>2.1</w:t>
            </w:r>
            <w:r w:rsidRPr="00C509A4">
              <w:tab/>
              <w:t>Materiel sustainment methods and techniques appropriate to the area are employed, in accordance with plans, schedules and standard procedures</w:t>
            </w:r>
          </w:p>
          <w:p w:rsidR="00000000" w:rsidRPr="00C509A4" w:rsidP="00C509A4">
            <w:pPr>
              <w:pStyle w:val="List"/>
            </w:pPr>
            <w:r w:rsidRPr="00C509A4">
              <w:t>2.2</w:t>
            </w:r>
            <w:r w:rsidRPr="00C509A4">
              <w:tab/>
              <w:t>Materiel sustainment activities are conducted and concluded within resource constraints</w:t>
            </w:r>
          </w:p>
          <w:p w:rsidR="00000000" w:rsidRPr="00C509A4" w:rsidP="00C509A4">
            <w:pPr>
              <w:pStyle w:val="List"/>
            </w:pPr>
            <w:r w:rsidRPr="00C509A4">
              <w:t>2.3</w:t>
            </w:r>
            <w:r w:rsidRPr="00C509A4">
              <w:tab/>
              <w:t>Materiel sus</w:t>
            </w:r>
            <w:r w:rsidRPr="00C509A4">
              <w:t>tainment activities are implemented, monitored and amended based on changing circumstances in accordance with methodologies and procedures</w:t>
            </w:r>
          </w:p>
          <w:p w:rsidR="00000000" w:rsidP="00C509A4">
            <w:pPr>
              <w:pStyle w:val="List"/>
              <w:rPr>
                <w:lang w:val="en-NZ"/>
              </w:rPr>
            </w:pPr>
            <w:r w:rsidRPr="00C509A4">
              <w:t>2.4</w:t>
            </w:r>
            <w:r w:rsidRPr="00C509A4">
              <w:tab/>
              <w:t>Resources are allocated to materiel sustainment in accordance with materiel sustainment plan and resource availab</w:t>
            </w:r>
            <w:r w:rsidRPr="00C509A4">
              <w:t>ility</w:t>
            </w:r>
          </w:p>
        </w:tc>
      </w:tr>
      <w:tr w:rsidTr="00C224F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09A4">
            <w:pPr>
              <w:pStyle w:val="List"/>
              <w:rPr>
                <w:lang w:val="en-NZ"/>
              </w:rPr>
            </w:pPr>
            <w:r w:rsidRPr="00C509A4">
              <w:rPr>
                <w:rStyle w:val="SpecialBold"/>
              </w:rPr>
              <w:t>3</w:t>
            </w:r>
            <w:r w:rsidRPr="00C509A4">
              <w:tab/>
            </w:r>
            <w:r w:rsidRPr="00C509A4">
              <w:rPr>
                <w:rStyle w:val="SpecialBold"/>
              </w:rPr>
              <w:t>Report on materiel sustainment activities</w:t>
            </w:r>
          </w:p>
        </w:tc>
        <w:tc>
          <w:tcPr>
            <w:tcW w:w="6662" w:type="dxa"/>
            <w:tcBorders>
              <w:top w:val="nil"/>
              <w:left w:val="nil"/>
              <w:bottom w:val="nil"/>
              <w:right w:val="nil"/>
            </w:tcBorders>
            <w:tcMar>
              <w:top w:w="0" w:type="dxa"/>
              <w:left w:w="62" w:type="dxa"/>
              <w:bottom w:w="0" w:type="dxa"/>
              <w:right w:w="62" w:type="dxa"/>
            </w:tcMar>
          </w:tcPr>
          <w:p w:rsidR="00000000" w:rsidRPr="00C509A4" w:rsidP="00C509A4">
            <w:pPr>
              <w:pStyle w:val="List"/>
            </w:pPr>
            <w:r w:rsidRPr="00C509A4">
              <w:t>3.1</w:t>
            </w:r>
            <w:r w:rsidRPr="00C509A4">
              <w:tab/>
              <w:t>Materiel sustainment performance is reported to all stakeholders in a transparent manner and meeting all compliance requirements</w:t>
            </w:r>
          </w:p>
          <w:p w:rsidR="00000000" w:rsidP="00C509A4">
            <w:pPr>
              <w:pStyle w:val="List"/>
              <w:rPr>
                <w:lang w:val="en-NZ"/>
              </w:rPr>
            </w:pPr>
            <w:r w:rsidRPr="00C509A4">
              <w:t>3.2</w:t>
            </w:r>
            <w:r w:rsidRPr="00C509A4">
              <w:tab/>
              <w:t>Materiel sustainment activities are regularly reviewed to ensure sys</w:t>
            </w:r>
            <w:r w:rsidRPr="00C509A4">
              <w:t>tems and/or equipment capability is maintained throughout its life cycle, in accordance with organisational policy and procedures</w:t>
            </w:r>
          </w:p>
        </w:tc>
      </w:tr>
      <w:tr w:rsidTr="00C224F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09A4">
            <w:pPr>
              <w:pStyle w:val="List"/>
              <w:rPr>
                <w:lang w:val="en-NZ"/>
              </w:rPr>
            </w:pPr>
            <w:r w:rsidRPr="00C509A4">
              <w:rPr>
                <w:rStyle w:val="SpecialBold"/>
              </w:rPr>
              <w:t>4</w:t>
            </w:r>
            <w:r w:rsidRPr="00C509A4">
              <w:tab/>
            </w:r>
            <w:r w:rsidRPr="00C509A4">
              <w:rPr>
                <w:rStyle w:val="SpecialBold"/>
              </w:rPr>
              <w:t>Maintain materiel sustainment records</w:t>
            </w:r>
          </w:p>
        </w:tc>
        <w:tc>
          <w:tcPr>
            <w:tcW w:w="6662" w:type="dxa"/>
            <w:tcBorders>
              <w:top w:val="nil"/>
              <w:left w:val="nil"/>
              <w:bottom w:val="nil"/>
              <w:right w:val="nil"/>
            </w:tcBorders>
            <w:tcMar>
              <w:top w:w="0" w:type="dxa"/>
              <w:left w:w="62" w:type="dxa"/>
              <w:bottom w:w="0" w:type="dxa"/>
              <w:right w:w="62" w:type="dxa"/>
            </w:tcMar>
          </w:tcPr>
          <w:p w:rsidR="00000000" w:rsidRPr="00C509A4" w:rsidP="00C509A4">
            <w:pPr>
              <w:pStyle w:val="List"/>
            </w:pPr>
            <w:r w:rsidRPr="00C509A4">
              <w:t>4.1</w:t>
            </w:r>
            <w:r w:rsidRPr="00C509A4">
              <w:tab/>
            </w:r>
            <w:r w:rsidRPr="00C509A4">
              <w:t>Materiel sustainment records are completed in accordance with relevant policy and procedures</w:t>
            </w:r>
          </w:p>
          <w:p w:rsidR="00000000" w:rsidRPr="00C509A4" w:rsidP="00C509A4">
            <w:pPr>
              <w:pStyle w:val="List"/>
            </w:pPr>
            <w:r w:rsidRPr="00C509A4">
              <w:t>4.2</w:t>
            </w:r>
            <w:r w:rsidRPr="00C509A4">
              <w:tab/>
              <w:t>Materiel sustainment records are amended and documented in accordance with organisational policy and procedures</w:t>
            </w:r>
          </w:p>
        </w:tc>
      </w:tr>
    </w:tbl>
    <w:p w:rsidR="00C224F0" w:rsidP="00C509A4">
      <w:pPr>
        <w:pStyle w:val="BodyText"/>
      </w:pPr>
    </w:p>
    <w:p w:rsidR="00C224F0" w:rsidP="00C509A4">
      <w:pPr>
        <w:pStyle w:val="BodyText"/>
      </w:pPr>
    </w:p>
    <w:p w:rsidR="00000000" w:rsidRPr="00C509A4" w:rsidP="00C509A4">
      <w:pPr>
        <w:pStyle w:val="Heading1"/>
      </w:pPr>
      <w:bookmarkStart w:id="9" w:name="O_262886"/>
      <w:bookmarkEnd w:id="9"/>
      <w:r w:rsidRPr="00C509A4">
        <w:t>Required Skills and Knowl</w:t>
      </w:r>
      <w:r w:rsidRPr="00C509A4">
        <w:t>edge</w:t>
      </w:r>
    </w:p>
    <w:tbl>
      <w:tblPr>
        <w:tblW w:w="9640" w:type="dxa"/>
        <w:tblLayout w:type="fixed"/>
        <w:tblCellMar>
          <w:left w:w="62" w:type="dxa"/>
          <w:right w:w="62" w:type="dxa"/>
        </w:tblCellMar>
        <w:tblLook w:val="0000"/>
      </w:tblPr>
      <w:tblGrid>
        <w:gridCol w:w="9640"/>
      </w:tblGrid>
      <w:tr w:rsidTr="00C224F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rPr>
                <w:rStyle w:val="SpecialBold"/>
              </w:rPr>
              <w:t>REQUIRED KNOWLEDGE AND SKILLS</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This describes the essential knowledge and skills and their level required for this unit.</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rPr>
                <w:rStyle w:val="SpecialBold"/>
              </w:rPr>
              <w:t>Required knowledge</w:t>
            </w:r>
            <w:r w:rsidRPr="00C509A4">
              <w:t>:</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Materiel sustainment processes</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Organisational policy and procedures related to materiel sustainment</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Organisational role relevant to materiel sustainment</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Product knowledge related to systems and/or equipment in service in the organisation</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 xml:space="preserve">Safety, legislative and statutory requirements, including environmental, sustainability </w:t>
            </w:r>
            <w:r w:rsidRPr="00C509A4">
              <w:t>issues relevant to materiel sustainment</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Written and oral communication to a level required in the preparation of correspondence and reports</w:t>
            </w:r>
          </w:p>
        </w:tc>
      </w:tr>
    </w:tbl>
    <w:p w:rsidR="00000000" w:rsidRPr="00C509A4" w:rsidP="00C509A4">
      <w:pPr>
        <w:pStyle w:val="BodyText"/>
      </w:pPr>
    </w:p>
    <w:tbl>
      <w:tblPr>
        <w:tblW w:w="9640" w:type="dxa"/>
        <w:tblLayout w:type="fixed"/>
        <w:tblCellMar>
          <w:left w:w="62" w:type="dxa"/>
          <w:right w:w="62" w:type="dxa"/>
        </w:tblCellMar>
        <w:tblLook w:val="0000"/>
      </w:tblPr>
      <w:tblGrid>
        <w:gridCol w:w="9640"/>
      </w:tblGrid>
      <w:tr w:rsidTr="00C224F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rPr>
                <w:rStyle w:val="SpecialBold"/>
              </w:rPr>
              <w:t>Required skills</w:t>
            </w:r>
            <w:r w:rsidRPr="00C509A4">
              <w:t>:</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 xml:space="preserve">Analyse and evaluate information, and determine how it may be impacted by the materiel </w:t>
            </w:r>
            <w:r w:rsidRPr="00C509A4">
              <w:t>sustainment activities or how materiel sustainment activities might be impacted by the information being considered</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Apply materiel sustainment and project management knowledge relevant to work being performed</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Display resilience by continuing to move fo</w:t>
            </w:r>
            <w:r w:rsidRPr="00C509A4">
              <w:t>rward despite criticism or setbacks</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Identify the relationship between organisational goals and recognise how own work contributes to the achievement of those goals</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Manage time and prioritise work to ensure objectives are met in accordance with required</w:t>
            </w:r>
            <w:r w:rsidRPr="00C509A4">
              <w:t xml:space="preserve"> schedule</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Negotiate and communicate with key stakeholders (both internal and external), receive their input, and resolve any potential areas of conflict or concern to ensure that overall objectives are achieved</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Undertake performance measurement to enable objectives to be measured against defined parameters</w:t>
            </w:r>
          </w:p>
        </w:tc>
      </w:tr>
      <w:tr w:rsidTr="00C224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Use appropriate information technology and software</w:t>
            </w:r>
          </w:p>
        </w:tc>
      </w:tr>
    </w:tbl>
    <w:p w:rsidR="00C224F0" w:rsidP="00C509A4">
      <w:pPr>
        <w:pStyle w:val="BodyText"/>
      </w:pPr>
    </w:p>
    <w:p w:rsidR="00C224F0" w:rsidP="00C509A4">
      <w:pPr>
        <w:pStyle w:val="BodyText"/>
      </w:pPr>
    </w:p>
    <w:p w:rsidR="00000000" w:rsidRPr="00C509A4" w:rsidP="00C509A4">
      <w:pPr>
        <w:pStyle w:val="Heading1"/>
      </w:pPr>
      <w:bookmarkStart w:id="10" w:name="O_247079"/>
      <w:bookmarkEnd w:id="10"/>
      <w:r w:rsidRPr="00C509A4">
        <w:t>Evidence Guide</w:t>
      </w:r>
    </w:p>
    <w:tbl>
      <w:tblPr>
        <w:tblW w:w="9499" w:type="dxa"/>
        <w:tblLayout w:type="fixed"/>
        <w:tblCellMar>
          <w:left w:w="62" w:type="dxa"/>
          <w:right w:w="62" w:type="dxa"/>
        </w:tblCellMar>
        <w:tblLook w:val="0000"/>
      </w:tblPr>
      <w:tblGrid>
        <w:gridCol w:w="3524"/>
        <w:gridCol w:w="5975"/>
      </w:tblGrid>
      <w:tr w:rsidTr="00C224F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rPr>
                <w:rStyle w:val="SpecialBold"/>
              </w:rPr>
              <w:t>EVIDENCE GUIDE</w:t>
            </w:r>
          </w:p>
        </w:tc>
      </w:tr>
      <w:tr w:rsidTr="00C224F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The evidence guide provides advice on assessment and must be read in conjunction with the performance criteria, required knowledge and skills, the range statement and the assessment guidelines for this Training Package.</w:t>
            </w:r>
          </w:p>
        </w:tc>
      </w:tr>
      <w:tr w:rsidTr="00C224F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rPr>
                <w:rStyle w:val="SpecialBold"/>
              </w:rPr>
              <w:t>Critical aspects for assessment an</w:t>
            </w:r>
            <w:r w:rsidRPr="00C509A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Assessment must confirm the ability to:</w:t>
            </w:r>
          </w:p>
          <w:p w:rsidR="00000000" w:rsidRPr="00C509A4" w:rsidP="00C509A4">
            <w:pPr>
              <w:pStyle w:val="ListBullet2"/>
            </w:pPr>
            <w:r w:rsidRPr="00C509A4">
              <w:t>adhere to and apply relevant data and information management processes</w:t>
            </w:r>
          </w:p>
          <w:p w:rsidR="00000000" w:rsidRPr="00C509A4" w:rsidP="00C509A4">
            <w:pPr>
              <w:pStyle w:val="ListBullet2"/>
            </w:pPr>
            <w:r w:rsidRPr="00C509A4">
              <w:t>analyse data and information</w:t>
            </w:r>
          </w:p>
          <w:p w:rsidR="00000000" w:rsidRPr="00C509A4" w:rsidP="00C509A4">
            <w:pPr>
              <w:pStyle w:val="ListBullet2"/>
            </w:pPr>
            <w:r w:rsidRPr="00C509A4">
              <w:t>apply knowledge of materiel sustainment to assist in work and to guide problem solving</w:t>
            </w:r>
          </w:p>
          <w:p w:rsidR="00000000" w:rsidP="00C509A4">
            <w:pPr>
              <w:pStyle w:val="ListBullet"/>
              <w:rPr>
                <w:lang w:val="en-NZ"/>
              </w:rPr>
            </w:pPr>
            <w:r w:rsidRPr="00C509A4">
              <w:t>Competency should be demonstrated over time and should be observed in a range of actual or simulated work contexts</w:t>
            </w:r>
          </w:p>
        </w:tc>
      </w:tr>
      <w:tr w:rsidTr="00C224F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Co</w:t>
            </w:r>
            <w:r w:rsidRPr="00C509A4">
              <w:t>mpetency should be assessed in the workplace or in a simulated workplace environment</w:t>
            </w:r>
          </w:p>
          <w:p w:rsidR="00000000" w:rsidRPr="00C509A4" w:rsidP="00C509A4">
            <w:pPr>
              <w:pStyle w:val="ListBullet"/>
            </w:pPr>
            <w:r w:rsidRPr="00C509A4">
              <w:t>Access is required to:</w:t>
            </w:r>
          </w:p>
          <w:p w:rsidR="00000000" w:rsidRPr="00C509A4" w:rsidP="00C509A4">
            <w:pPr>
              <w:pStyle w:val="ListBullet2"/>
            </w:pPr>
            <w:r w:rsidRPr="00C509A4">
              <w:t>computer and relevant software</w:t>
            </w:r>
          </w:p>
          <w:p w:rsidR="00000000" w:rsidRPr="00C509A4" w:rsidP="00C509A4">
            <w:pPr>
              <w:pStyle w:val="ListBullet2"/>
            </w:pPr>
            <w:r w:rsidRPr="00C509A4">
              <w:t>legislation, guidelines, procedures and protocols relating to materiel sustainment</w:t>
            </w:r>
          </w:p>
          <w:p w:rsidR="00000000" w:rsidRPr="00C509A4" w:rsidP="00C509A4">
            <w:pPr>
              <w:pStyle w:val="ListBullet2"/>
            </w:pPr>
            <w:r w:rsidRPr="00C509A4">
              <w:t>plans</w:t>
            </w:r>
          </w:p>
          <w:p w:rsidR="00000000" w:rsidP="00C509A4">
            <w:pPr>
              <w:pStyle w:val="ListBullet2"/>
              <w:rPr>
                <w:lang w:val="en-NZ"/>
              </w:rPr>
            </w:pPr>
            <w:r w:rsidRPr="00C509A4">
              <w:t>workplace documentation</w:t>
            </w:r>
          </w:p>
        </w:tc>
      </w:tr>
      <w:tr w:rsidTr="00C224F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Assessment of this unit must be undertaken by a registered training organisation</w:t>
            </w:r>
          </w:p>
          <w:p w:rsidR="00000000" w:rsidRPr="00C509A4" w:rsidP="00C509A4">
            <w:pPr>
              <w:pStyle w:val="ListBullet"/>
            </w:pPr>
            <w:r w:rsidRPr="00C509A4">
              <w:t>Where possible, assessment should be supported by questions to assess required knowledge. Questioning techniques should suit the language and literacy levels of the candidate</w:t>
            </w:r>
          </w:p>
          <w:p w:rsidR="00000000" w:rsidRPr="00C509A4" w:rsidP="00C509A4">
            <w:pPr>
              <w:pStyle w:val="ListBullet"/>
            </w:pPr>
            <w:r w:rsidRPr="00C509A4">
              <w:t>Assessment methods should reflect workplace demands such as literacy and the need</w:t>
            </w:r>
            <w:r w:rsidRPr="00C509A4">
              <w:t>s of particular groups</w:t>
            </w:r>
          </w:p>
          <w:p w:rsidR="00000000" w:rsidRPr="00C509A4" w:rsidP="00C509A4">
            <w:pPr>
              <w:pStyle w:val="ListBullet"/>
            </w:pPr>
            <w:r w:rsidRPr="00C509A4">
              <w:t>Assessment methods suitable for valid and reliable assessment of this competency may include, but are not limited to, a combination of:</w:t>
            </w:r>
          </w:p>
          <w:p w:rsidR="00000000" w:rsidRPr="00C509A4" w:rsidP="00C509A4">
            <w:pPr>
              <w:pStyle w:val="ListBullet2"/>
            </w:pPr>
            <w:r w:rsidRPr="00C509A4">
              <w:t>authenticated evidence from the workplace and/or training programs</w:t>
            </w:r>
          </w:p>
          <w:p w:rsidR="00000000" w:rsidRPr="00C509A4" w:rsidP="00C509A4">
            <w:pPr>
              <w:pStyle w:val="ListBullet2"/>
            </w:pPr>
            <w:r w:rsidRPr="00C509A4">
              <w:t>case studies</w:t>
            </w:r>
          </w:p>
          <w:p w:rsidR="00000000" w:rsidRPr="00C509A4" w:rsidP="00C509A4">
            <w:pPr>
              <w:pStyle w:val="ListBullet2"/>
            </w:pPr>
            <w:r w:rsidRPr="00C509A4">
              <w:t>demonstration</w:t>
            </w:r>
          </w:p>
          <w:p w:rsidR="00000000" w:rsidRPr="00C509A4" w:rsidP="00C509A4">
            <w:pPr>
              <w:pStyle w:val="ListBullet2"/>
            </w:pPr>
            <w:r w:rsidRPr="00C509A4">
              <w:t>fe</w:t>
            </w:r>
            <w:r w:rsidRPr="00C509A4">
              <w:t>edback from supervisors and peers regarding the candidate's ability</w:t>
            </w:r>
          </w:p>
          <w:p w:rsidR="00000000" w:rsidRPr="00C509A4" w:rsidP="00C509A4">
            <w:pPr>
              <w:pStyle w:val="ListBullet2"/>
            </w:pPr>
            <w:r w:rsidRPr="00C509A4">
              <w:t>observation</w:t>
            </w:r>
          </w:p>
          <w:p w:rsidR="00000000" w:rsidRPr="00C509A4" w:rsidP="00C509A4">
            <w:pPr>
              <w:pStyle w:val="ListBullet2"/>
            </w:pPr>
            <w:r w:rsidRPr="00C509A4">
              <w:t>portfolios</w:t>
            </w:r>
          </w:p>
          <w:p w:rsidR="00000000" w:rsidRPr="00C509A4" w:rsidP="00C509A4">
            <w:pPr>
              <w:pStyle w:val="ListBullet2"/>
            </w:pPr>
            <w:r w:rsidRPr="00C509A4">
              <w:t>projects</w:t>
            </w:r>
          </w:p>
          <w:p w:rsidR="00000000" w:rsidRPr="00C509A4" w:rsidP="00C509A4">
            <w:pPr>
              <w:pStyle w:val="ListBullet2"/>
            </w:pPr>
            <w:r w:rsidRPr="00C509A4">
              <w:t>questioning</w:t>
            </w:r>
          </w:p>
          <w:p w:rsidR="00000000" w:rsidRPr="00C509A4" w:rsidP="00C509A4">
            <w:pPr>
              <w:pStyle w:val="ListBullet2"/>
            </w:pPr>
            <w:r w:rsidRPr="00C509A4">
              <w:t>reviews or reports prepared by the candidate</w:t>
            </w:r>
          </w:p>
          <w:p w:rsidR="00000000" w:rsidRPr="00C509A4" w:rsidP="00C509A4">
            <w:pPr>
              <w:pStyle w:val="ListBullet2"/>
            </w:pPr>
            <w:r w:rsidRPr="00C509A4">
              <w:t>scenarios</w:t>
            </w:r>
          </w:p>
          <w:p w:rsidR="00000000" w:rsidRPr="00C509A4" w:rsidP="00C509A4">
            <w:pPr>
              <w:pStyle w:val="ListBullet2"/>
            </w:pPr>
            <w:r w:rsidRPr="00C509A4">
              <w:t>simulation or role plays</w:t>
            </w:r>
          </w:p>
        </w:tc>
      </w:tr>
    </w:tbl>
    <w:p w:rsidR="00C224F0" w:rsidP="00C509A4">
      <w:pPr>
        <w:pStyle w:val="BodyText"/>
      </w:pPr>
    </w:p>
    <w:p w:rsidR="00C224F0" w:rsidP="00C509A4">
      <w:pPr>
        <w:pStyle w:val="BodyText"/>
      </w:pPr>
    </w:p>
    <w:p w:rsidR="00000000" w:rsidRPr="00C509A4" w:rsidP="00C509A4">
      <w:pPr>
        <w:pStyle w:val="Heading1"/>
      </w:pPr>
      <w:bookmarkStart w:id="11" w:name="O_255062"/>
      <w:bookmarkEnd w:id="11"/>
      <w:r w:rsidRPr="00C509A4">
        <w:t>Range Statement</w:t>
      </w:r>
    </w:p>
    <w:tbl>
      <w:tblPr>
        <w:tblW w:w="9640" w:type="dxa"/>
        <w:tblLayout w:type="fixed"/>
        <w:tblCellMar>
          <w:left w:w="62" w:type="dxa"/>
          <w:right w:w="62" w:type="dxa"/>
        </w:tblCellMar>
        <w:tblLook w:val="0000"/>
      </w:tblPr>
      <w:tblGrid>
        <w:gridCol w:w="3486"/>
        <w:gridCol w:w="6154"/>
      </w:tblGrid>
      <w:tr w:rsidTr="00C224F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rPr>
                <w:rStyle w:val="SpecialBold"/>
              </w:rPr>
              <w:t>RANGE STATEMENT</w:t>
            </w:r>
            <w:r w:rsidRPr="00C509A4">
              <w:t xml:space="preserve"> </w:t>
            </w:r>
          </w:p>
        </w:tc>
      </w:tr>
      <w:tr w:rsidTr="00C224F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The range statement relates to the unit of competency as a whole. It allows for different work environments and situations that may affect performance.</w:t>
            </w:r>
          </w:p>
        </w:tc>
      </w:tr>
      <w:tr w:rsidTr="00C224F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Stakeholders may include:</w:t>
            </w:r>
          </w:p>
        </w:tc>
        <w:tc>
          <w:tcPr>
            <w:tcW w:w="6154"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capability manager</w:t>
            </w:r>
          </w:p>
          <w:p w:rsidR="00000000" w:rsidRPr="00C509A4" w:rsidP="00C509A4">
            <w:pPr>
              <w:pStyle w:val="ListBullet"/>
            </w:pPr>
            <w:r w:rsidRPr="00C509A4">
              <w:t>contractors</w:t>
            </w:r>
          </w:p>
          <w:p w:rsidR="00000000" w:rsidRPr="00C509A4" w:rsidP="00C509A4">
            <w:pPr>
              <w:pStyle w:val="ListBullet"/>
            </w:pPr>
            <w:r w:rsidRPr="00C509A4">
              <w:t>customers</w:t>
            </w:r>
          </w:p>
          <w:p w:rsidR="00000000" w:rsidRPr="00C509A4" w:rsidP="00C509A4">
            <w:pPr>
              <w:pStyle w:val="ListBullet"/>
            </w:pPr>
            <w:r w:rsidRPr="00C509A4">
              <w:t>project managers</w:t>
            </w:r>
          </w:p>
          <w:p w:rsidR="00000000" w:rsidRPr="00C509A4" w:rsidP="00C509A4">
            <w:pPr>
              <w:pStyle w:val="ListBullet"/>
            </w:pPr>
            <w:r w:rsidRPr="00C509A4">
              <w:t>regulators</w:t>
            </w:r>
          </w:p>
          <w:p w:rsidR="00000000" w:rsidRPr="00C509A4" w:rsidP="00C509A4">
            <w:pPr>
              <w:pStyle w:val="ListBullet"/>
            </w:pPr>
            <w:r w:rsidRPr="00C509A4">
              <w:t>subordinates</w:t>
            </w:r>
          </w:p>
          <w:p w:rsidR="00000000" w:rsidRPr="00C509A4" w:rsidP="00C509A4">
            <w:pPr>
              <w:pStyle w:val="ListBullet"/>
            </w:pPr>
            <w:r w:rsidRPr="00C509A4">
              <w:t>supervisors</w:t>
            </w:r>
          </w:p>
          <w:p w:rsidR="00000000" w:rsidP="00C509A4">
            <w:pPr>
              <w:pStyle w:val="ListBullet"/>
              <w:rPr>
                <w:lang w:val="en-NZ"/>
              </w:rPr>
            </w:pPr>
            <w:r w:rsidRPr="00C509A4">
              <w:t>suppliers</w:t>
            </w:r>
          </w:p>
        </w:tc>
      </w:tr>
      <w:tr w:rsidTr="00C224F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Australian Standards</w:t>
            </w:r>
          </w:p>
          <w:p w:rsidR="00000000" w:rsidRPr="00C509A4" w:rsidP="00C509A4">
            <w:pPr>
              <w:pStyle w:val="ListBullet"/>
            </w:pPr>
            <w:r w:rsidRPr="00C509A4">
              <w:t>international standards</w:t>
            </w:r>
          </w:p>
          <w:p w:rsidR="00000000" w:rsidP="00C509A4">
            <w:pPr>
              <w:pStyle w:val="ListBullet"/>
              <w:rPr>
                <w:lang w:val="en-NZ"/>
              </w:rPr>
            </w:pPr>
            <w:r w:rsidRPr="00C509A4">
              <w:t>organisational instructions and standards</w:t>
            </w:r>
          </w:p>
        </w:tc>
      </w:tr>
      <w:tr w:rsidTr="00C224F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Legislation may include:</w:t>
            </w:r>
          </w:p>
        </w:tc>
        <w:tc>
          <w:tcPr>
            <w:tcW w:w="6154"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relevant federal, state and local government legislatio</w:t>
            </w:r>
            <w:r w:rsidRPr="00C509A4">
              <w:t>n and regulations</w:t>
            </w:r>
          </w:p>
        </w:tc>
      </w:tr>
      <w:tr w:rsidTr="00C224F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Materiel sustainment may include:</w:t>
            </w:r>
          </w:p>
        </w:tc>
        <w:tc>
          <w:tcPr>
            <w:tcW w:w="6154"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the management and provision of products and services needed to meet the preparedness and performance requirements of a materiel system from the time of acceptance into operational service until disposa</w:t>
            </w:r>
            <w:r w:rsidRPr="00C509A4">
              <w:t xml:space="preserve">l at minimised life cycle cost. Material sustainment may also be referred to as asset management and includes components of: sustainment management, engineering support, maintenance support, supply support and planning for disposal and/or carrying out end </w:t>
            </w:r>
            <w:r w:rsidRPr="00C509A4">
              <w:t>of life tasks</w:t>
            </w:r>
          </w:p>
        </w:tc>
      </w:tr>
      <w:tr w:rsidTr="00C224F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Sources of information may include:</w:t>
            </w:r>
          </w:p>
        </w:tc>
        <w:tc>
          <w:tcPr>
            <w:tcW w:w="6154"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contractors</w:t>
            </w:r>
          </w:p>
          <w:p w:rsidR="00000000" w:rsidRPr="00C509A4" w:rsidP="00C509A4">
            <w:pPr>
              <w:pStyle w:val="ListBullet"/>
            </w:pPr>
            <w:r w:rsidRPr="00C509A4">
              <w:t>databases</w:t>
            </w:r>
          </w:p>
          <w:p w:rsidR="00000000" w:rsidRPr="00C509A4" w:rsidP="00C509A4">
            <w:pPr>
              <w:pStyle w:val="ListBullet"/>
            </w:pPr>
            <w:r w:rsidRPr="00C509A4">
              <w:t>duty statements</w:t>
            </w:r>
          </w:p>
          <w:p w:rsidR="00000000" w:rsidRPr="00C509A4" w:rsidP="00C509A4">
            <w:pPr>
              <w:pStyle w:val="ListBullet"/>
            </w:pPr>
            <w:r w:rsidRPr="00C509A4">
              <w:t>legislation</w:t>
            </w:r>
          </w:p>
          <w:p w:rsidR="00000000" w:rsidRPr="00C509A4" w:rsidP="00C509A4">
            <w:pPr>
              <w:pStyle w:val="ListBullet"/>
            </w:pPr>
            <w:r w:rsidRPr="00C509A4">
              <w:t>managers</w:t>
            </w:r>
          </w:p>
          <w:p w:rsidR="00000000" w:rsidRPr="00C509A4" w:rsidP="00C509A4">
            <w:pPr>
              <w:pStyle w:val="ListBullet"/>
            </w:pPr>
            <w:r w:rsidRPr="00C509A4">
              <w:t>peers</w:t>
            </w:r>
          </w:p>
          <w:p w:rsidR="00000000" w:rsidRPr="00C509A4" w:rsidP="00C509A4">
            <w:pPr>
              <w:pStyle w:val="ListBullet"/>
            </w:pPr>
            <w:r w:rsidRPr="00C509A4">
              <w:t>plans</w:t>
            </w:r>
          </w:p>
          <w:p w:rsidR="00000000" w:rsidRPr="00C509A4" w:rsidP="00C509A4">
            <w:pPr>
              <w:pStyle w:val="ListBullet"/>
            </w:pPr>
            <w:r w:rsidRPr="00C509A4">
              <w:t>policies</w:t>
            </w:r>
          </w:p>
          <w:p w:rsidR="00000000" w:rsidRPr="00C509A4" w:rsidP="00C509A4">
            <w:pPr>
              <w:pStyle w:val="ListBullet"/>
            </w:pPr>
            <w:r w:rsidRPr="00C509A4">
              <w:t>procedures</w:t>
            </w:r>
          </w:p>
          <w:p w:rsidR="00000000" w:rsidRPr="00C509A4" w:rsidP="00C509A4">
            <w:pPr>
              <w:pStyle w:val="ListBullet"/>
            </w:pPr>
            <w:r w:rsidRPr="00C509A4">
              <w:t>publications</w:t>
            </w:r>
          </w:p>
          <w:p w:rsidR="00000000" w:rsidRPr="00C509A4" w:rsidP="00C509A4">
            <w:pPr>
              <w:pStyle w:val="ListBullet"/>
            </w:pPr>
            <w:r w:rsidRPr="00C509A4">
              <w:t>reference material</w:t>
            </w:r>
          </w:p>
          <w:p w:rsidR="00000000" w:rsidRPr="00C509A4" w:rsidP="00C509A4">
            <w:pPr>
              <w:pStyle w:val="ListBullet"/>
            </w:pPr>
            <w:r w:rsidRPr="00C509A4">
              <w:t>standards</w:t>
            </w:r>
          </w:p>
          <w:p w:rsidR="00000000" w:rsidRPr="00C509A4" w:rsidP="00C509A4">
            <w:pPr>
              <w:pStyle w:val="ListBullet"/>
            </w:pPr>
            <w:r w:rsidRPr="00C509A4">
              <w:t>supervisors</w:t>
            </w:r>
          </w:p>
          <w:p w:rsidR="00000000" w:rsidP="00C509A4">
            <w:pPr>
              <w:pStyle w:val="ListBullet"/>
              <w:rPr>
                <w:lang w:val="en-NZ"/>
              </w:rPr>
            </w:pPr>
            <w:r w:rsidRPr="00C509A4">
              <w:t>suppliers</w:t>
            </w:r>
          </w:p>
        </w:tc>
      </w:tr>
      <w:tr w:rsidTr="00C224F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Materiel sustainment activities may include:</w:t>
            </w:r>
          </w:p>
        </w:tc>
        <w:tc>
          <w:tcPr>
            <w:tcW w:w="6154"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data and information analysis</w:t>
            </w:r>
          </w:p>
          <w:p w:rsidR="00000000" w:rsidRPr="00C509A4" w:rsidP="00C509A4">
            <w:pPr>
              <w:pStyle w:val="ListBullet"/>
            </w:pPr>
            <w:r w:rsidRPr="00C509A4">
              <w:t>data and information management</w:t>
            </w:r>
          </w:p>
          <w:p w:rsidR="00000000" w:rsidRPr="00C509A4" w:rsidP="00C509A4">
            <w:pPr>
              <w:pStyle w:val="ListBullet"/>
            </w:pPr>
            <w:r w:rsidRPr="00C509A4">
              <w:t>data and information retrieval</w:t>
            </w:r>
          </w:p>
          <w:p w:rsidR="00000000" w:rsidRPr="00C509A4" w:rsidP="00C509A4">
            <w:pPr>
              <w:pStyle w:val="ListBullet"/>
            </w:pPr>
            <w:r w:rsidRPr="00C509A4">
              <w:t>identification of data and information</w:t>
            </w:r>
          </w:p>
          <w:p w:rsidR="00000000" w:rsidRPr="00C509A4" w:rsidP="00C509A4">
            <w:pPr>
              <w:pStyle w:val="ListBullet"/>
            </w:pPr>
            <w:r w:rsidRPr="00C509A4">
              <w:t>reporting</w:t>
            </w:r>
          </w:p>
          <w:p w:rsidR="00000000" w:rsidP="00C509A4">
            <w:pPr>
              <w:pStyle w:val="ListBullet"/>
              <w:rPr>
                <w:lang w:val="en-NZ"/>
              </w:rPr>
            </w:pPr>
            <w:r w:rsidRPr="00C509A4">
              <w:t>research</w:t>
            </w:r>
          </w:p>
        </w:tc>
      </w:tr>
      <w:tr w:rsidTr="00C224F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Personnel may include:</w:t>
            </w:r>
          </w:p>
        </w:tc>
        <w:tc>
          <w:tcPr>
            <w:tcW w:w="6154"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capability manager</w:t>
            </w:r>
          </w:p>
          <w:p w:rsidR="00000000" w:rsidRPr="00C509A4" w:rsidP="00C509A4">
            <w:pPr>
              <w:pStyle w:val="ListBullet"/>
            </w:pPr>
            <w:r w:rsidRPr="00C509A4">
              <w:t>contractors</w:t>
            </w:r>
          </w:p>
          <w:p w:rsidR="00000000" w:rsidRPr="00C509A4" w:rsidP="00C509A4">
            <w:pPr>
              <w:pStyle w:val="ListBullet"/>
            </w:pPr>
            <w:r w:rsidRPr="00C509A4">
              <w:t>customers</w:t>
            </w:r>
          </w:p>
          <w:p w:rsidR="00000000" w:rsidRPr="00C509A4" w:rsidP="00C509A4">
            <w:pPr>
              <w:pStyle w:val="ListBullet"/>
            </w:pPr>
            <w:r w:rsidRPr="00C509A4">
              <w:t>project managers</w:t>
            </w:r>
          </w:p>
          <w:p w:rsidR="00000000" w:rsidRPr="00C509A4" w:rsidP="00C509A4">
            <w:pPr>
              <w:pStyle w:val="ListBullet"/>
            </w:pPr>
            <w:r w:rsidRPr="00C509A4">
              <w:t>regulators</w:t>
            </w:r>
          </w:p>
          <w:p w:rsidR="00000000" w:rsidRPr="00C509A4" w:rsidP="00C509A4">
            <w:pPr>
              <w:pStyle w:val="ListBullet"/>
            </w:pPr>
            <w:r w:rsidRPr="00C509A4">
              <w:t>subordinates</w:t>
            </w:r>
          </w:p>
          <w:p w:rsidR="00000000" w:rsidRPr="00C509A4" w:rsidP="00C509A4">
            <w:pPr>
              <w:pStyle w:val="ListBullet"/>
            </w:pPr>
            <w:r w:rsidRPr="00C509A4">
              <w:t>supervisors</w:t>
            </w:r>
          </w:p>
          <w:p w:rsidR="00000000" w:rsidRPr="00C509A4" w:rsidP="00C509A4">
            <w:pPr>
              <w:pStyle w:val="ListBullet"/>
            </w:pPr>
            <w:r w:rsidRPr="00C509A4">
              <w:t>suppliers</w:t>
            </w:r>
          </w:p>
          <w:p w:rsidR="00000000" w:rsidP="00C509A4">
            <w:pPr>
              <w:pStyle w:val="ListBullet"/>
              <w:rPr>
                <w:lang w:val="en-NZ"/>
              </w:rPr>
            </w:pPr>
            <w:r w:rsidRPr="00C509A4">
              <w:t>team members</w:t>
            </w:r>
          </w:p>
        </w:tc>
      </w:tr>
      <w:tr w:rsidTr="00C224F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Resources may include:</w:t>
            </w:r>
          </w:p>
        </w:tc>
        <w:tc>
          <w:tcPr>
            <w:tcW w:w="6154"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information technology applications and tools</w:t>
            </w:r>
          </w:p>
          <w:p w:rsidR="00000000" w:rsidRPr="00C509A4" w:rsidP="00C509A4">
            <w:pPr>
              <w:pStyle w:val="ListBullet"/>
            </w:pPr>
            <w:r w:rsidRPr="00C509A4">
              <w:t>financial</w:t>
            </w:r>
          </w:p>
          <w:p w:rsidR="00000000" w:rsidRPr="00C509A4" w:rsidP="00C509A4">
            <w:pPr>
              <w:pStyle w:val="ListBullet"/>
            </w:pPr>
            <w:r w:rsidRPr="00C509A4">
              <w:t>infrastructure</w:t>
            </w:r>
          </w:p>
          <w:p w:rsidR="00000000" w:rsidRPr="00C509A4" w:rsidP="00C509A4">
            <w:pPr>
              <w:pStyle w:val="ListBullet"/>
            </w:pPr>
            <w:r w:rsidRPr="00C509A4">
              <w:t>personnel</w:t>
            </w:r>
          </w:p>
          <w:p w:rsidR="00000000" w:rsidP="00C509A4">
            <w:pPr>
              <w:pStyle w:val="ListBullet"/>
              <w:rPr>
                <w:lang w:val="en-NZ"/>
              </w:rPr>
            </w:pPr>
            <w:r w:rsidRPr="00C509A4">
              <w:t>time</w:t>
            </w:r>
          </w:p>
        </w:tc>
      </w:tr>
      <w:tr w:rsidTr="00C224F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Methodologies and procedures may include:</w:t>
            </w:r>
          </w:p>
        </w:tc>
        <w:tc>
          <w:tcPr>
            <w:tcW w:w="6154"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configuration management</w:t>
            </w:r>
          </w:p>
          <w:p w:rsidR="00000000" w:rsidRPr="00C509A4" w:rsidP="00C509A4">
            <w:pPr>
              <w:pStyle w:val="ListBullet"/>
            </w:pPr>
            <w:r w:rsidRPr="00C509A4">
              <w:t>life cycle costing</w:t>
            </w:r>
          </w:p>
          <w:p w:rsidR="00000000" w:rsidRPr="00C509A4" w:rsidP="00C509A4">
            <w:pPr>
              <w:pStyle w:val="ListBullet"/>
            </w:pPr>
            <w:r w:rsidRPr="00C509A4">
              <w:t>logistics support analysis</w:t>
            </w:r>
          </w:p>
          <w:p w:rsidR="00000000" w:rsidRPr="00C509A4" w:rsidP="00C509A4">
            <w:pPr>
              <w:pStyle w:val="ListBullet"/>
            </w:pPr>
            <w:r w:rsidRPr="00C509A4">
              <w:t>maintenance requirement determination</w:t>
            </w:r>
          </w:p>
          <w:p w:rsidR="00000000" w:rsidRPr="00C509A4" w:rsidP="00C509A4">
            <w:pPr>
              <w:pStyle w:val="ListBullet"/>
            </w:pPr>
            <w:r w:rsidRPr="00C509A4">
              <w:t>procurement</w:t>
            </w:r>
          </w:p>
          <w:p w:rsidR="00000000" w:rsidRPr="00C509A4" w:rsidP="00C509A4">
            <w:pPr>
              <w:pStyle w:val="ListBullet"/>
            </w:pPr>
            <w:r w:rsidRPr="00C509A4">
              <w:t>reliability centred maintenance</w:t>
            </w:r>
          </w:p>
          <w:p w:rsidR="00000000" w:rsidRPr="00C509A4" w:rsidP="00C509A4">
            <w:pPr>
              <w:pStyle w:val="ListBullet"/>
            </w:pPr>
            <w:r w:rsidRPr="00C509A4">
              <w:t>reliability, availability and maintainability</w:t>
            </w:r>
          </w:p>
          <w:p w:rsidR="00000000" w:rsidP="00C509A4">
            <w:pPr>
              <w:pStyle w:val="ListBullet"/>
              <w:rPr>
                <w:lang w:val="en-NZ"/>
              </w:rPr>
            </w:pPr>
            <w:r w:rsidRPr="00C509A4">
              <w:t>systems engineering</w:t>
            </w:r>
          </w:p>
        </w:tc>
      </w:tr>
      <w:tr w:rsidTr="00C224F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Compliance requirements may include:</w:t>
            </w:r>
          </w:p>
        </w:tc>
        <w:tc>
          <w:tcPr>
            <w:tcW w:w="6154"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authority</w:t>
            </w:r>
          </w:p>
          <w:p w:rsidR="00000000" w:rsidRPr="00C509A4" w:rsidP="00C509A4">
            <w:pPr>
              <w:pStyle w:val="ListBullet"/>
            </w:pPr>
            <w:r w:rsidRPr="00C509A4">
              <w:t>delegations</w:t>
            </w:r>
          </w:p>
          <w:p w:rsidR="00000000" w:rsidRPr="00C509A4" w:rsidP="00C509A4">
            <w:pPr>
              <w:pStyle w:val="ListBullet"/>
            </w:pPr>
            <w:r w:rsidRPr="00C509A4">
              <w:t>environmental</w:t>
            </w:r>
          </w:p>
          <w:p w:rsidR="00000000" w:rsidRPr="00C509A4" w:rsidP="00C509A4">
            <w:pPr>
              <w:pStyle w:val="ListBullet"/>
            </w:pPr>
            <w:r w:rsidRPr="00C509A4">
              <w:t>legisl</w:t>
            </w:r>
            <w:r w:rsidRPr="00C509A4">
              <w:t>ative</w:t>
            </w:r>
          </w:p>
          <w:p w:rsidR="00000000" w:rsidRPr="00C509A4" w:rsidP="00C509A4">
            <w:pPr>
              <w:pStyle w:val="ListBullet"/>
            </w:pPr>
            <w:r w:rsidRPr="00C509A4">
              <w:t>regulatory</w:t>
            </w:r>
          </w:p>
          <w:p w:rsidR="00000000" w:rsidP="00C509A4">
            <w:pPr>
              <w:pStyle w:val="ListBullet"/>
              <w:rPr>
                <w:lang w:val="en-NZ"/>
              </w:rPr>
            </w:pPr>
            <w:r w:rsidRPr="00C509A4">
              <w:t>organisational policy</w:t>
            </w:r>
          </w:p>
        </w:tc>
      </w:tr>
      <w:tr w:rsidTr="00C224F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Life cycle may include:</w:t>
            </w:r>
          </w:p>
        </w:tc>
        <w:tc>
          <w:tcPr>
            <w:tcW w:w="6154" w:type="dxa"/>
            <w:tcBorders>
              <w:top w:val="nil"/>
              <w:left w:val="nil"/>
              <w:bottom w:val="nil"/>
              <w:right w:val="nil"/>
            </w:tcBorders>
            <w:tcMar>
              <w:top w:w="0" w:type="dxa"/>
              <w:left w:w="62" w:type="dxa"/>
              <w:bottom w:w="0" w:type="dxa"/>
              <w:right w:w="62" w:type="dxa"/>
            </w:tcMar>
          </w:tcPr>
          <w:p w:rsidR="00000000" w:rsidP="00C509A4">
            <w:pPr>
              <w:pStyle w:val="ListBullet"/>
              <w:rPr>
                <w:lang w:val="en-NZ"/>
              </w:rPr>
            </w:pPr>
            <w:r w:rsidRPr="00C509A4">
              <w:t>whole of a particular item/system/process, from identification of a capability need to capability disposal</w:t>
            </w:r>
          </w:p>
        </w:tc>
      </w:tr>
      <w:tr w:rsidTr="00C224F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t>Materiel sustainment records may include:</w:t>
            </w:r>
          </w:p>
        </w:tc>
        <w:tc>
          <w:tcPr>
            <w:tcW w:w="6154" w:type="dxa"/>
            <w:tcBorders>
              <w:top w:val="nil"/>
              <w:left w:val="nil"/>
              <w:bottom w:val="nil"/>
              <w:right w:val="nil"/>
            </w:tcBorders>
            <w:tcMar>
              <w:top w:w="0" w:type="dxa"/>
              <w:left w:w="62" w:type="dxa"/>
              <w:bottom w:w="0" w:type="dxa"/>
              <w:right w:w="62" w:type="dxa"/>
            </w:tcMar>
          </w:tcPr>
          <w:p w:rsidR="00000000" w:rsidRPr="00C509A4" w:rsidP="00C509A4">
            <w:pPr>
              <w:pStyle w:val="ListBullet"/>
            </w:pPr>
            <w:r w:rsidRPr="00C509A4">
              <w:t>databases</w:t>
            </w:r>
          </w:p>
          <w:p w:rsidR="00000000" w:rsidRPr="00C509A4" w:rsidP="00C509A4">
            <w:pPr>
              <w:pStyle w:val="ListBullet"/>
            </w:pPr>
            <w:r w:rsidRPr="00C509A4">
              <w:t>files</w:t>
            </w:r>
          </w:p>
          <w:p w:rsidR="00000000" w:rsidRPr="00C509A4" w:rsidP="00C509A4">
            <w:pPr>
              <w:pStyle w:val="ListBullet"/>
            </w:pPr>
            <w:r w:rsidRPr="00C509A4">
              <w:t>finance systems</w:t>
            </w:r>
          </w:p>
          <w:p w:rsidR="00000000" w:rsidRPr="00C509A4" w:rsidP="00C509A4">
            <w:pPr>
              <w:pStyle w:val="ListBullet"/>
            </w:pPr>
            <w:r w:rsidRPr="00C509A4">
              <w:t>logistics information technology systems</w:t>
            </w:r>
          </w:p>
          <w:p w:rsidR="00000000" w:rsidRPr="00C509A4" w:rsidP="00C509A4">
            <w:pPr>
              <w:pStyle w:val="ListBullet"/>
            </w:pPr>
            <w:r w:rsidRPr="00C509A4">
              <w:t>logistics systems</w:t>
            </w:r>
          </w:p>
          <w:p w:rsidR="00000000" w:rsidRPr="00C509A4" w:rsidP="00C509A4">
            <w:pPr>
              <w:pStyle w:val="ListBullet"/>
            </w:pPr>
            <w:r w:rsidRPr="00C509A4">
              <w:t>registers</w:t>
            </w:r>
          </w:p>
          <w:p w:rsidR="00000000" w:rsidRPr="00C509A4" w:rsidP="00C509A4">
            <w:pPr>
              <w:pStyle w:val="ListBullet"/>
            </w:pPr>
            <w:r w:rsidRPr="00C509A4">
              <w:t>spreadsheets</w:t>
            </w:r>
          </w:p>
          <w:p w:rsidR="00000000" w:rsidRPr="00C509A4" w:rsidP="00C509A4">
            <w:pPr>
              <w:pStyle w:val="ListBullet"/>
            </w:pPr>
            <w:r w:rsidRPr="00C509A4">
              <w:t>technical data systems</w:t>
            </w:r>
          </w:p>
        </w:tc>
      </w:tr>
    </w:tbl>
    <w:p w:rsidR="00C224F0" w:rsidP="00C509A4">
      <w:pPr>
        <w:pStyle w:val="BodyText"/>
      </w:pPr>
    </w:p>
    <w:p w:rsidR="00C224F0" w:rsidP="00C509A4">
      <w:pPr>
        <w:pStyle w:val="BodyText"/>
      </w:pPr>
    </w:p>
    <w:p w:rsidR="00000000" w:rsidRPr="00C509A4" w:rsidP="00C509A4">
      <w:pPr>
        <w:pStyle w:val="Heading1"/>
      </w:pPr>
      <w:bookmarkStart w:id="12" w:name="O_296075"/>
      <w:bookmarkEnd w:id="12"/>
      <w:r w:rsidRPr="00C509A4">
        <w:t>Unit Sector(s)</w:t>
      </w:r>
    </w:p>
    <w:p w:rsidR="00000000" w:rsidRPr="00C509A4" w:rsidP="00C509A4">
      <w:pPr>
        <w:pStyle w:val="BodyText"/>
      </w:pPr>
      <w:r w:rsidRPr="00C509A4">
        <w:t>Not Applicable</w:t>
      </w:r>
    </w:p>
    <w:p w:rsidR="00000000" w:rsidRPr="00C509A4" w:rsidP="00C509A4">
      <w:pPr>
        <w:pStyle w:val="AllowPageBreak"/>
      </w:pPr>
    </w:p>
    <w:p w:rsidR="00000000" w:rsidRPr="00C509A4" w:rsidP="00C509A4">
      <w:pPr>
        <w:pStyle w:val="Heading1"/>
      </w:pPr>
      <w:bookmarkStart w:id="13" w:name="O_224589"/>
      <w:bookmarkEnd w:id="13"/>
      <w:r w:rsidRPr="00C509A4">
        <w:t>Competency Field</w:t>
      </w:r>
    </w:p>
    <w:tbl>
      <w:tblPr>
        <w:tblW w:w="9640" w:type="dxa"/>
        <w:tblLayout w:type="fixed"/>
        <w:tblCellMar>
          <w:left w:w="62" w:type="dxa"/>
          <w:right w:w="62" w:type="dxa"/>
        </w:tblCellMar>
        <w:tblLook w:val="0000"/>
      </w:tblPr>
      <w:tblGrid>
        <w:gridCol w:w="2978"/>
        <w:gridCol w:w="6662"/>
      </w:tblGrid>
      <w:tr w:rsidTr="00C224F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509A4">
            <w:pPr>
              <w:pStyle w:val="BodyText"/>
              <w:rPr>
                <w:lang w:val="en-NZ"/>
              </w:rPr>
            </w:pPr>
            <w:r w:rsidRPr="00C509A4">
              <w:rPr>
                <w:rStyle w:val="SpecialBold"/>
              </w:rPr>
              <w:t>Competency Field</w:t>
            </w:r>
            <w:r w:rsidRPr="00C509A4">
              <w:t xml:space="preserve"> </w:t>
            </w:r>
          </w:p>
        </w:tc>
        <w:tc>
          <w:tcPr>
            <w:tcW w:w="6662" w:type="dxa"/>
            <w:tcBorders>
              <w:top w:val="nil"/>
              <w:left w:val="nil"/>
              <w:bottom w:val="nil"/>
              <w:right w:val="nil"/>
            </w:tcBorders>
            <w:tcMar>
              <w:top w:w="0" w:type="dxa"/>
              <w:left w:w="62" w:type="dxa"/>
              <w:bottom w:w="0" w:type="dxa"/>
              <w:right w:w="62" w:type="dxa"/>
            </w:tcMar>
          </w:tcPr>
          <w:p w:rsidR="00000000" w:rsidRPr="00C509A4" w:rsidP="00C509A4">
            <w:pPr>
              <w:pStyle w:val="BodyText"/>
            </w:pPr>
            <w:r w:rsidRPr="00C509A4">
              <w:t>X - Logistics</w:t>
            </w:r>
          </w:p>
        </w:tc>
      </w:tr>
    </w:tbl>
    <w:p w:rsidR="00C224F0" w:rsidP="00C509A4">
      <w:pPr>
        <w:pStyle w:val="BodyText"/>
      </w:pPr>
    </w:p>
    <w:p w:rsidR="00C224F0" w:rsidP="00C509A4">
      <w:pPr>
        <w:pStyle w:val="BodyText"/>
      </w:pPr>
    </w:p>
    <w:p w:rsidR="00000000" w:rsidRPr="00C509A4" w:rsidP="00C509A4"/>
    <w:sectPr w:rsidSect="00C509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24F0" w:rsidP="00C224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F0" w:rsidP="00C50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224F0" w:rsidP="00C509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224F0" w:rsidP="00C509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24F0" w:rsidP="00C224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F0" w:rsidP="00C509A4">
    <w:pPr>
      <w:pStyle w:val="Header"/>
      <w:framePr w:wrap="around"/>
    </w:pPr>
    <w:r>
      <w:fldChar w:fldCharType="begin"/>
    </w:r>
    <w:r>
      <w:instrText xml:space="preserve"> TITLE   \* MERGEFORMAT </w:instrText>
    </w:r>
    <w:r>
      <w:fldChar w:fldCharType="separate"/>
    </w:r>
    <w:r>
      <w:t>TLIX4017A Conduct materiel sustainment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24F0" w:rsidP="00C509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58E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B4C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785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9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09A4"/>
    <w:pPr>
      <w:spacing w:before="360" w:after="60"/>
      <w:outlineLvl w:val="0"/>
    </w:pPr>
    <w:rPr>
      <w:sz w:val="32"/>
    </w:rPr>
  </w:style>
  <w:style w:type="paragraph" w:styleId="Heading2">
    <w:name w:val="heading 2"/>
    <w:basedOn w:val="HeadingBase"/>
    <w:next w:val="BodyText"/>
    <w:link w:val="Heading2Char"/>
    <w:qFormat/>
    <w:rsid w:val="00C509A4"/>
    <w:pPr>
      <w:keepLines/>
      <w:spacing w:before="240" w:after="120"/>
      <w:outlineLvl w:val="1"/>
    </w:pPr>
    <w:rPr>
      <w:sz w:val="28"/>
      <w:szCs w:val="40"/>
    </w:rPr>
  </w:style>
  <w:style w:type="paragraph" w:styleId="Heading3">
    <w:name w:val="heading 3"/>
    <w:basedOn w:val="HeadingBase"/>
    <w:next w:val="BodyText"/>
    <w:link w:val="Heading3Char"/>
    <w:qFormat/>
    <w:rsid w:val="00C509A4"/>
    <w:pPr>
      <w:spacing w:before="180" w:after="120"/>
      <w:outlineLvl w:val="2"/>
    </w:pPr>
    <w:rPr>
      <w:spacing w:val="-10"/>
      <w:kern w:val="32"/>
    </w:rPr>
  </w:style>
  <w:style w:type="paragraph" w:styleId="Heading4">
    <w:name w:val="heading 4"/>
    <w:basedOn w:val="HeadingBase"/>
    <w:next w:val="BodyText"/>
    <w:link w:val="Heading4Char"/>
    <w:qFormat/>
    <w:rsid w:val="00C509A4"/>
    <w:pPr>
      <w:spacing w:before="160" w:after="120"/>
      <w:outlineLvl w:val="3"/>
    </w:pPr>
    <w:rPr>
      <w:sz w:val="22"/>
    </w:rPr>
  </w:style>
  <w:style w:type="paragraph" w:styleId="Heading5">
    <w:name w:val="heading 5"/>
    <w:basedOn w:val="HeadingBase"/>
    <w:next w:val="Normal"/>
    <w:link w:val="Heading5Char"/>
    <w:qFormat/>
    <w:rsid w:val="00C509A4"/>
    <w:pPr>
      <w:spacing w:before="80"/>
      <w:outlineLvl w:val="4"/>
    </w:pPr>
    <w:rPr>
      <w:color w:val="918585"/>
      <w:sz w:val="20"/>
    </w:rPr>
  </w:style>
  <w:style w:type="paragraph" w:styleId="Heading6">
    <w:name w:val="heading 6"/>
    <w:basedOn w:val="HeadingBase"/>
    <w:next w:val="Normal"/>
    <w:link w:val="Heading6Char"/>
    <w:qFormat/>
    <w:rsid w:val="00C509A4"/>
    <w:pPr>
      <w:spacing w:before="60"/>
      <w:outlineLvl w:val="5"/>
    </w:pPr>
    <w:rPr>
      <w:color w:val="918585"/>
      <w:sz w:val="20"/>
    </w:rPr>
  </w:style>
  <w:style w:type="paragraph" w:styleId="Heading7">
    <w:name w:val="heading 7"/>
    <w:basedOn w:val="Normal"/>
    <w:next w:val="Normal"/>
    <w:link w:val="Heading7Char"/>
    <w:qFormat/>
    <w:rsid w:val="00C509A4"/>
    <w:pPr>
      <w:ind w:left="720"/>
      <w:outlineLvl w:val="6"/>
    </w:pPr>
    <w:rPr>
      <w:i/>
    </w:rPr>
  </w:style>
  <w:style w:type="paragraph" w:styleId="Heading8">
    <w:name w:val="heading 8"/>
    <w:basedOn w:val="Normal"/>
    <w:next w:val="Normal"/>
    <w:link w:val="Heading8Char"/>
    <w:qFormat/>
    <w:rsid w:val="00C509A4"/>
    <w:pPr>
      <w:ind w:left="720"/>
      <w:outlineLvl w:val="7"/>
    </w:pPr>
    <w:rPr>
      <w:i/>
    </w:rPr>
  </w:style>
  <w:style w:type="paragraph" w:styleId="Heading9">
    <w:name w:val="heading 9"/>
    <w:basedOn w:val="Normal"/>
    <w:next w:val="Normal"/>
    <w:link w:val="Heading9Char"/>
    <w:qFormat/>
    <w:rsid w:val="00C509A4"/>
    <w:pPr>
      <w:ind w:left="720"/>
      <w:outlineLvl w:val="8"/>
    </w:pPr>
    <w:rPr>
      <w:i/>
    </w:rPr>
  </w:style>
  <w:style w:type="character" w:default="1" w:styleId="DefaultParagraphFont">
    <w:name w:val="Default Paragraph Font"/>
    <w:uiPriority w:val="1"/>
    <w:unhideWhenUsed/>
    <w:rsid w:val="00C50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9A4"/>
  </w:style>
  <w:style w:type="character" w:customStyle="1" w:styleId="Heading1Char">
    <w:name w:val="Heading 1 Char"/>
    <w:basedOn w:val="DefaultParagraphFont"/>
    <w:link w:val="Heading1"/>
    <w:rsid w:val="00C509A4"/>
    <w:rPr>
      <w:rFonts w:ascii="Times New Roman" w:eastAsia="Times New Roman" w:hAnsi="Times New Roman" w:cs="Times New Roman"/>
      <w:b/>
      <w:sz w:val="32"/>
      <w:szCs w:val="20"/>
      <w:lang w:eastAsia="en-US"/>
    </w:rPr>
  </w:style>
  <w:style w:type="paragraph" w:styleId="BodyText">
    <w:name w:val="Body Text"/>
    <w:basedOn w:val="Normal"/>
    <w:link w:val="BodyTextChar"/>
    <w:rsid w:val="00C509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09A4"/>
    <w:rPr>
      <w:rFonts w:ascii="Times New Roman" w:eastAsia="Times New Roman" w:hAnsi="Times New Roman" w:cs="Times New Roman"/>
      <w:sz w:val="24"/>
      <w:lang w:val="en-US" w:eastAsia="en-US"/>
    </w:rPr>
  </w:style>
  <w:style w:type="paragraph" w:styleId="Footer">
    <w:name w:val="footer"/>
    <w:basedOn w:val="Normal"/>
    <w:link w:val="FooterChar"/>
    <w:rsid w:val="00C50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9A4"/>
    <w:rPr>
      <w:rFonts w:ascii="Times New Roman" w:eastAsia="Times New Roman" w:hAnsi="Times New Roman" w:cs="Times New Roman"/>
      <w:sz w:val="16"/>
      <w:lang w:val="en-US" w:eastAsia="en-US"/>
    </w:rPr>
  </w:style>
  <w:style w:type="paragraph" w:styleId="List">
    <w:name w:val="List"/>
    <w:basedOn w:val="BodyText"/>
    <w:next w:val="BodyText"/>
    <w:rsid w:val="00C509A4"/>
    <w:pPr>
      <w:tabs>
        <w:tab w:val="left" w:pos="340"/>
      </w:tabs>
      <w:spacing w:before="60" w:after="60"/>
      <w:ind w:left="340" w:hanging="340"/>
    </w:pPr>
  </w:style>
  <w:style w:type="paragraph" w:styleId="ListBullet">
    <w:name w:val="List Bullet"/>
    <w:basedOn w:val="List"/>
    <w:rsid w:val="00C509A4"/>
    <w:pPr>
      <w:numPr>
        <w:numId w:val="13"/>
      </w:numPr>
      <w:tabs>
        <w:tab w:val="clear" w:pos="340"/>
      </w:tabs>
      <w:spacing w:before="40" w:after="40"/>
    </w:pPr>
  </w:style>
  <w:style w:type="character" w:customStyle="1" w:styleId="SpecialBold">
    <w:name w:val="Special Bold"/>
    <w:basedOn w:val="DefaultParagraphFont"/>
    <w:rsid w:val="00C509A4"/>
    <w:rPr>
      <w:b/>
      <w:spacing w:val="0"/>
    </w:rPr>
  </w:style>
  <w:style w:type="paragraph" w:styleId="ListBullet2">
    <w:name w:val="List Bullet 2"/>
    <w:basedOn w:val="List2"/>
    <w:rsid w:val="00C509A4"/>
    <w:pPr>
      <w:numPr>
        <w:numId w:val="14"/>
      </w:numPr>
      <w:tabs>
        <w:tab w:val="clear" w:pos="680"/>
      </w:tabs>
    </w:pPr>
  </w:style>
  <w:style w:type="paragraph" w:styleId="Header">
    <w:name w:val="header"/>
    <w:basedOn w:val="Normal"/>
    <w:link w:val="HeaderChar"/>
    <w:rsid w:val="00C50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9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09A4"/>
    <w:pPr>
      <w:spacing w:before="240" w:after="120"/>
      <w:outlineLvl w:val="0"/>
    </w:pPr>
    <w:rPr>
      <w:rFonts w:ascii="Times New Roman" w:hAnsi="Times New Roman"/>
      <w:b/>
      <w:sz w:val="28"/>
    </w:rPr>
  </w:style>
  <w:style w:type="paragraph" w:customStyle="1" w:styleId="AllowPageBreak">
    <w:name w:val="AllowPageBreak"/>
    <w:rsid w:val="00C50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0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9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09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09A4"/>
    <w:rPr>
      <w:rFonts w:ascii="Courier New" w:eastAsia="Times New Roman" w:hAnsi="Courier New" w:cs="Times New Roman"/>
      <w:i/>
      <w:szCs w:val="20"/>
      <w:lang w:val="en-US" w:eastAsia="en-US"/>
    </w:rPr>
  </w:style>
  <w:style w:type="paragraph" w:customStyle="1" w:styleId="HeadingBase">
    <w:name w:val="Heading Base"/>
    <w:rsid w:val="00C50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9A4"/>
    <w:pPr>
      <w:tabs>
        <w:tab w:val="right" w:leader="dot" w:pos="9072"/>
      </w:tabs>
      <w:ind w:left="567"/>
    </w:pPr>
    <w:rPr>
      <w:szCs w:val="22"/>
    </w:rPr>
  </w:style>
  <w:style w:type="paragraph" w:customStyle="1" w:styleId="TOCBase">
    <w:name w:val="TOC Base"/>
    <w:rsid w:val="00C50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9A4"/>
    <w:pPr>
      <w:tabs>
        <w:tab w:val="right" w:leader="dot" w:pos="9072"/>
      </w:tabs>
      <w:spacing w:before="40" w:after="40"/>
      <w:ind w:left="284"/>
    </w:pPr>
    <w:rPr>
      <w:rFonts w:ascii="Times New Roman" w:hAnsi="Times New Roman"/>
    </w:rPr>
  </w:style>
  <w:style w:type="paragraph" w:styleId="TOC1">
    <w:name w:val="toc 1"/>
    <w:basedOn w:val="TOCBase"/>
    <w:next w:val="Normal"/>
    <w:rsid w:val="00C509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09A4"/>
    <w:pPr>
      <w:spacing w:before="5040"/>
      <w:jc w:val="center"/>
    </w:pPr>
    <w:rPr>
      <w:sz w:val="48"/>
      <w:szCs w:val="72"/>
      <w:lang w:val="en-US"/>
    </w:rPr>
  </w:style>
  <w:style w:type="character" w:customStyle="1" w:styleId="TitleChar">
    <w:name w:val="Title Char"/>
    <w:basedOn w:val="DefaultParagraphFont"/>
    <w:link w:val="Title"/>
    <w:rsid w:val="00C50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9A4"/>
    <w:pPr>
      <w:tabs>
        <w:tab w:val="left" w:pos="3600"/>
        <w:tab w:val="left" w:pos="3958"/>
      </w:tabs>
    </w:pPr>
  </w:style>
  <w:style w:type="paragraph" w:customStyle="1" w:styleId="Note">
    <w:name w:val="Note"/>
    <w:basedOn w:val="BodyText"/>
    <w:rsid w:val="00C50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9A4"/>
    <w:pPr>
      <w:framePr w:wrap="auto" w:hAnchor="text" w:y="6049"/>
    </w:pPr>
    <w:rPr>
      <w:color w:val="000000"/>
      <w:sz w:val="40"/>
    </w:rPr>
  </w:style>
  <w:style w:type="paragraph" w:customStyle="1" w:styleId="TOCTitle">
    <w:name w:val="TOCTitle"/>
    <w:basedOn w:val="Heading1"/>
    <w:rsid w:val="00C509A4"/>
    <w:pPr>
      <w:spacing w:after="240"/>
      <w:jc w:val="center"/>
      <w:outlineLvl w:val="9"/>
    </w:pPr>
    <w:rPr>
      <w:caps/>
    </w:rPr>
  </w:style>
  <w:style w:type="paragraph" w:customStyle="1" w:styleId="Version">
    <w:name w:val="Version"/>
    <w:rsid w:val="00C509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9A4"/>
    <w:pPr>
      <w:keepNext w:val="0"/>
      <w:tabs>
        <w:tab w:val="right" w:pos="4176"/>
      </w:tabs>
      <w:ind w:left="198" w:hanging="198"/>
    </w:pPr>
    <w:rPr>
      <w:rFonts w:ascii="Garamond" w:hAnsi="Garamond"/>
    </w:rPr>
  </w:style>
  <w:style w:type="paragraph" w:styleId="IndexHeading">
    <w:name w:val="index heading"/>
    <w:basedOn w:val="Normal"/>
    <w:next w:val="Index1"/>
    <w:semiHidden/>
    <w:rsid w:val="00C509A4"/>
    <w:pPr>
      <w:spacing w:before="120" w:after="120"/>
    </w:pPr>
    <w:rPr>
      <w:rFonts w:ascii="Arial" w:hAnsi="Arial"/>
      <w:b/>
      <w:color w:val="918585"/>
      <w:sz w:val="24"/>
    </w:rPr>
  </w:style>
  <w:style w:type="paragraph" w:customStyle="1" w:styleId="Chapter">
    <w:name w:val="Chapter"/>
    <w:basedOn w:val="Normal"/>
    <w:rsid w:val="00C509A4"/>
    <w:pPr>
      <w:spacing w:before="240"/>
    </w:pPr>
    <w:rPr>
      <w:rFonts w:ascii="Times New Roman" w:hAnsi="Times New Roman"/>
      <w:smallCaps/>
      <w:spacing w:val="80"/>
      <w:sz w:val="28"/>
    </w:rPr>
  </w:style>
  <w:style w:type="paragraph" w:customStyle="1" w:styleId="InChapter">
    <w:name w:val="InChapter"/>
    <w:basedOn w:val="Heading3"/>
    <w:rsid w:val="00C509A4"/>
    <w:pPr>
      <w:spacing w:after="240"/>
      <w:outlineLvl w:val="9"/>
    </w:pPr>
    <w:rPr>
      <w:noProof/>
    </w:rPr>
  </w:style>
  <w:style w:type="paragraph" w:styleId="Index2">
    <w:name w:val="index 2"/>
    <w:basedOn w:val="Normal"/>
    <w:next w:val="Normal"/>
    <w:semiHidden/>
    <w:rsid w:val="00C509A4"/>
    <w:pPr>
      <w:tabs>
        <w:tab w:val="right" w:pos="4176"/>
      </w:tabs>
      <w:ind w:left="568" w:hanging="284"/>
    </w:pPr>
    <w:rPr>
      <w:rFonts w:ascii="Garamond" w:hAnsi="Garamond"/>
    </w:rPr>
  </w:style>
  <w:style w:type="paragraph" w:customStyle="1" w:styleId="Byline">
    <w:name w:val="Byline"/>
    <w:rsid w:val="00C50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9A4"/>
    <w:pPr>
      <w:tabs>
        <w:tab w:val="clear" w:pos="3600"/>
        <w:tab w:val="clear" w:pos="3958"/>
      </w:tabs>
      <w:jc w:val="right"/>
    </w:pPr>
  </w:style>
  <w:style w:type="character" w:styleId="Emphasis">
    <w:name w:val="Emphasis"/>
    <w:basedOn w:val="DefaultParagraphFont"/>
    <w:qFormat/>
    <w:rsid w:val="00C509A4"/>
    <w:rPr>
      <w:i/>
    </w:rPr>
  </w:style>
  <w:style w:type="paragraph" w:styleId="Caption">
    <w:name w:val="caption"/>
    <w:basedOn w:val="BodyText"/>
    <w:next w:val="Normal"/>
    <w:qFormat/>
    <w:rsid w:val="00C509A4"/>
    <w:pPr>
      <w:framePr w:w="2268" w:hSpace="181" w:vSpace="181" w:wrap="around" w:vAnchor="text" w:hAnchor="page" w:x="1135" w:y="285" w:anchorLock="1"/>
    </w:pPr>
    <w:rPr>
      <w:i/>
    </w:rPr>
  </w:style>
  <w:style w:type="paragraph" w:customStyle="1" w:styleId="MiniTOCTitle">
    <w:name w:val="MiniTOCTitle"/>
    <w:basedOn w:val="Heading4"/>
    <w:rsid w:val="00C509A4"/>
    <w:pPr>
      <w:spacing w:before="240"/>
      <w:outlineLvl w:val="9"/>
    </w:pPr>
    <w:rPr>
      <w:noProof/>
      <w:sz w:val="24"/>
    </w:rPr>
  </w:style>
  <w:style w:type="paragraph" w:customStyle="1" w:styleId="MiniTOCItem">
    <w:name w:val="MiniTOCItem"/>
    <w:basedOn w:val="ListBullet"/>
    <w:rsid w:val="00C509A4"/>
    <w:pPr>
      <w:numPr>
        <w:numId w:val="0"/>
      </w:numPr>
      <w:tabs>
        <w:tab w:val="right" w:leader="dot" w:pos="6521"/>
      </w:tabs>
      <w:spacing w:before="0" w:after="0"/>
    </w:pPr>
  </w:style>
  <w:style w:type="paragraph" w:customStyle="1" w:styleId="TOFTitle">
    <w:name w:val="TOFTitle"/>
    <w:basedOn w:val="TOCTitle"/>
    <w:rsid w:val="00C509A4"/>
  </w:style>
  <w:style w:type="paragraph" w:styleId="TableofFigures">
    <w:name w:val="table of figures"/>
    <w:basedOn w:val="Normal"/>
    <w:next w:val="Normal"/>
    <w:semiHidden/>
    <w:rsid w:val="00C509A4"/>
    <w:pPr>
      <w:tabs>
        <w:tab w:val="right" w:leader="dot" w:pos="9072"/>
      </w:tabs>
      <w:ind w:left="970" w:hanging="403"/>
    </w:pPr>
    <w:rPr>
      <w:rFonts w:ascii="Times New Roman" w:hAnsi="Times New Roman"/>
      <w:b/>
    </w:rPr>
  </w:style>
  <w:style w:type="paragraph" w:styleId="ListNumber">
    <w:name w:val="List Number"/>
    <w:basedOn w:val="List"/>
    <w:rsid w:val="00C509A4"/>
    <w:pPr>
      <w:numPr>
        <w:numId w:val="11"/>
      </w:numPr>
    </w:pPr>
  </w:style>
  <w:style w:type="character" w:customStyle="1" w:styleId="WingdingSymbols">
    <w:name w:val="Wingding Symbols"/>
    <w:rsid w:val="00C509A4"/>
    <w:rPr>
      <w:rFonts w:ascii="Wingdings" w:hAnsi="Wingdings"/>
    </w:rPr>
  </w:style>
  <w:style w:type="paragraph" w:customStyle="1" w:styleId="TableHeading">
    <w:name w:val="Table Heading"/>
    <w:basedOn w:val="HeadingBase"/>
    <w:rsid w:val="00C509A4"/>
    <w:pPr>
      <w:keepLines/>
      <w:pBdr>
        <w:bottom w:val="single" w:sz="6" w:space="1" w:color="918585"/>
      </w:pBdr>
      <w:spacing w:before="240"/>
    </w:pPr>
  </w:style>
  <w:style w:type="character" w:customStyle="1" w:styleId="HotSpot">
    <w:name w:val="HotSpot"/>
    <w:rsid w:val="00C509A4"/>
    <w:rPr>
      <w:color w:val="0033CC"/>
      <w:u w:val="none"/>
    </w:rPr>
  </w:style>
  <w:style w:type="paragraph" w:customStyle="1" w:styleId="BodyTextRight">
    <w:name w:val="Body Text Right"/>
    <w:basedOn w:val="BodyText"/>
    <w:rsid w:val="00C509A4"/>
    <w:pPr>
      <w:spacing w:before="0" w:after="0"/>
      <w:jc w:val="right"/>
    </w:pPr>
  </w:style>
  <w:style w:type="paragraph" w:styleId="Index3">
    <w:name w:val="index 3"/>
    <w:basedOn w:val="ListNumber2"/>
    <w:next w:val="Normal"/>
    <w:semiHidden/>
    <w:rsid w:val="00C509A4"/>
    <w:pPr>
      <w:numPr>
        <w:numId w:val="0"/>
      </w:numPr>
      <w:tabs>
        <w:tab w:val="right" w:leader="dot" w:pos="4176"/>
      </w:tabs>
    </w:pPr>
  </w:style>
  <w:style w:type="paragraph" w:styleId="ListNumber2">
    <w:name w:val="List Number 2"/>
    <w:basedOn w:val="List2"/>
    <w:rsid w:val="00C509A4"/>
    <w:pPr>
      <w:numPr>
        <w:numId w:val="10"/>
      </w:numPr>
      <w:tabs>
        <w:tab w:val="clear" w:pos="1060"/>
      </w:tabs>
    </w:pPr>
  </w:style>
  <w:style w:type="paragraph" w:customStyle="1" w:styleId="MarginNote">
    <w:name w:val="Margin Note"/>
    <w:basedOn w:val="BodyText"/>
    <w:rsid w:val="00C50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9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09A4"/>
    <w:rPr>
      <w:sz w:val="32"/>
    </w:rPr>
  </w:style>
  <w:style w:type="paragraph" w:customStyle="1" w:styleId="HeadingProcedure">
    <w:name w:val="Heading Procedure"/>
    <w:basedOn w:val="HeadingBase"/>
    <w:next w:val="Normal"/>
    <w:rsid w:val="00C509A4"/>
    <w:pPr>
      <w:tabs>
        <w:tab w:val="left" w:pos="0"/>
      </w:tabs>
      <w:spacing w:before="120" w:after="60"/>
    </w:pPr>
    <w:rPr>
      <w:i/>
      <w:color w:val="918585"/>
      <w:sz w:val="22"/>
    </w:rPr>
  </w:style>
  <w:style w:type="paragraph" w:customStyle="1" w:styleId="TableBodyText">
    <w:name w:val="Table Body Text"/>
    <w:basedOn w:val="BodyText"/>
    <w:rsid w:val="00C509A4"/>
    <w:pPr>
      <w:spacing w:before="60" w:after="60"/>
    </w:pPr>
  </w:style>
  <w:style w:type="paragraph" w:styleId="ListContinue">
    <w:name w:val="List Continue"/>
    <w:basedOn w:val="List"/>
    <w:rsid w:val="00C509A4"/>
    <w:pPr>
      <w:ind w:firstLine="0"/>
    </w:pPr>
  </w:style>
  <w:style w:type="paragraph" w:customStyle="1" w:styleId="ListNote">
    <w:name w:val="List Note"/>
    <w:basedOn w:val="List"/>
    <w:rsid w:val="00C509A4"/>
    <w:pPr>
      <w:pBdr>
        <w:top w:val="single" w:sz="6" w:space="2" w:color="918585"/>
        <w:bottom w:val="single" w:sz="6" w:space="2" w:color="918585"/>
      </w:pBdr>
      <w:tabs>
        <w:tab w:val="left" w:pos="1021"/>
      </w:tabs>
      <w:ind w:firstLine="0"/>
    </w:pPr>
  </w:style>
  <w:style w:type="paragraph" w:customStyle="1" w:styleId="Warning">
    <w:name w:val="Warning"/>
    <w:basedOn w:val="BodyText"/>
    <w:rsid w:val="00C509A4"/>
    <w:pPr>
      <w:shd w:val="clear" w:color="auto" w:fill="D9D9D9"/>
      <w:tabs>
        <w:tab w:val="left" w:pos="992"/>
      </w:tabs>
      <w:ind w:left="119" w:right="119"/>
    </w:pPr>
    <w:rPr>
      <w:sz w:val="20"/>
    </w:rPr>
  </w:style>
  <w:style w:type="paragraph" w:customStyle="1" w:styleId="MarginIcons">
    <w:name w:val="Margin Icons"/>
    <w:basedOn w:val="BodyText"/>
    <w:rsid w:val="00C50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9A4"/>
    <w:rPr>
      <w:rFonts w:ascii="Courier New" w:hAnsi="Courier New"/>
    </w:rPr>
  </w:style>
  <w:style w:type="paragraph" w:customStyle="1" w:styleId="NoteBullet">
    <w:name w:val="Note Bullet"/>
    <w:basedOn w:val="Note"/>
    <w:rsid w:val="00C509A4"/>
    <w:pPr>
      <w:tabs>
        <w:tab w:val="clear" w:pos="680"/>
      </w:tabs>
      <w:spacing w:before="60" w:after="60"/>
    </w:pPr>
  </w:style>
  <w:style w:type="paragraph" w:customStyle="1" w:styleId="SubHeading2">
    <w:name w:val="SubHeading2"/>
    <w:basedOn w:val="HeadingBase"/>
    <w:rsid w:val="00C509A4"/>
    <w:pPr>
      <w:spacing w:before="240" w:after="60"/>
    </w:pPr>
    <w:rPr>
      <w:sz w:val="20"/>
    </w:rPr>
  </w:style>
  <w:style w:type="paragraph" w:customStyle="1" w:styleId="SubHeading1">
    <w:name w:val="SubHeading1"/>
    <w:basedOn w:val="HeadingBase"/>
    <w:rsid w:val="00C509A4"/>
    <w:pPr>
      <w:spacing w:before="240" w:after="60"/>
    </w:pPr>
    <w:rPr>
      <w:color w:val="918585"/>
      <w:sz w:val="22"/>
    </w:rPr>
  </w:style>
  <w:style w:type="paragraph" w:customStyle="1" w:styleId="SideHeading">
    <w:name w:val="Side Heading"/>
    <w:basedOn w:val="HeadingBase"/>
    <w:rsid w:val="00C50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9A4"/>
    <w:pPr>
      <w:numPr>
        <w:numId w:val="12"/>
      </w:numPr>
    </w:pPr>
  </w:style>
  <w:style w:type="paragraph" w:styleId="PlainText">
    <w:name w:val="Plain Text"/>
    <w:basedOn w:val="Normal"/>
    <w:link w:val="PlainTextChar"/>
    <w:rsid w:val="00C509A4"/>
    <w:rPr>
      <w:sz w:val="20"/>
    </w:rPr>
  </w:style>
  <w:style w:type="character" w:customStyle="1" w:styleId="PlainTextChar">
    <w:name w:val="Plain Text Char"/>
    <w:basedOn w:val="DefaultParagraphFont"/>
    <w:link w:val="PlainText"/>
    <w:rsid w:val="00C509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09A4"/>
    <w:rPr>
      <w:b/>
      <w:smallCaps/>
    </w:rPr>
  </w:style>
  <w:style w:type="paragraph" w:customStyle="1" w:styleId="TableListNumber">
    <w:name w:val="Table List Number"/>
    <w:basedOn w:val="ListNumber"/>
    <w:rsid w:val="00C509A4"/>
    <w:pPr>
      <w:numPr>
        <w:numId w:val="0"/>
      </w:numPr>
    </w:pPr>
  </w:style>
  <w:style w:type="paragraph" w:styleId="TOC4">
    <w:name w:val="toc 4"/>
    <w:basedOn w:val="TOCBase"/>
    <w:next w:val="Normal"/>
    <w:semiHidden/>
    <w:rsid w:val="00C509A4"/>
    <w:pPr>
      <w:tabs>
        <w:tab w:val="right" w:leader="dot" w:pos="9071"/>
      </w:tabs>
      <w:ind w:left="1701"/>
    </w:pPr>
  </w:style>
  <w:style w:type="paragraph" w:customStyle="1" w:styleId="ListAlpha">
    <w:name w:val="List Alpha"/>
    <w:basedOn w:val="List"/>
    <w:rsid w:val="00C509A4"/>
    <w:pPr>
      <w:numPr>
        <w:numId w:val="9"/>
      </w:numPr>
    </w:pPr>
  </w:style>
  <w:style w:type="paragraph" w:customStyle="1" w:styleId="ListAlpha2">
    <w:name w:val="List Alpha 2"/>
    <w:basedOn w:val="List2"/>
    <w:rsid w:val="00C509A4"/>
    <w:pPr>
      <w:numPr>
        <w:numId w:val="8"/>
      </w:numPr>
    </w:pPr>
  </w:style>
  <w:style w:type="paragraph" w:styleId="List2">
    <w:name w:val="List 2"/>
    <w:basedOn w:val="BodyText"/>
    <w:rsid w:val="00C509A4"/>
    <w:pPr>
      <w:tabs>
        <w:tab w:val="left" w:pos="680"/>
      </w:tabs>
      <w:spacing w:before="60" w:after="60"/>
      <w:ind w:left="680" w:hanging="340"/>
    </w:pPr>
  </w:style>
  <w:style w:type="paragraph" w:styleId="List3">
    <w:name w:val="List 3"/>
    <w:basedOn w:val="BodyText"/>
    <w:rsid w:val="00C509A4"/>
    <w:pPr>
      <w:tabs>
        <w:tab w:val="left" w:pos="1021"/>
      </w:tabs>
      <w:spacing w:before="60" w:after="60"/>
      <w:ind w:left="1020" w:hanging="340"/>
    </w:pPr>
  </w:style>
  <w:style w:type="paragraph" w:styleId="List4">
    <w:name w:val="List 4"/>
    <w:basedOn w:val="BodyText"/>
    <w:rsid w:val="00C509A4"/>
    <w:pPr>
      <w:tabs>
        <w:tab w:val="left" w:pos="1361"/>
      </w:tabs>
      <w:spacing w:before="60" w:after="60"/>
      <w:ind w:left="1361" w:hanging="340"/>
    </w:pPr>
  </w:style>
  <w:style w:type="paragraph" w:styleId="List5">
    <w:name w:val="List 5"/>
    <w:basedOn w:val="BodyText"/>
    <w:rsid w:val="00C509A4"/>
    <w:pPr>
      <w:tabs>
        <w:tab w:val="left" w:pos="1701"/>
      </w:tabs>
      <w:spacing w:before="60" w:after="60"/>
      <w:ind w:left="1701" w:hanging="340"/>
    </w:pPr>
  </w:style>
  <w:style w:type="paragraph" w:styleId="ListBullet3">
    <w:name w:val="List Bullet 3"/>
    <w:basedOn w:val="List3"/>
    <w:rsid w:val="00C509A4"/>
    <w:pPr>
      <w:numPr>
        <w:numId w:val="15"/>
      </w:numPr>
      <w:tabs>
        <w:tab w:val="clear" w:pos="1021"/>
      </w:tabs>
      <w:ind w:left="1037" w:hanging="357"/>
    </w:pPr>
  </w:style>
  <w:style w:type="paragraph" w:styleId="ListBullet4">
    <w:name w:val="List Bullet 4"/>
    <w:basedOn w:val="List4"/>
    <w:rsid w:val="00C509A4"/>
    <w:pPr>
      <w:numPr>
        <w:numId w:val="3"/>
      </w:numPr>
    </w:pPr>
  </w:style>
  <w:style w:type="paragraph" w:styleId="ListBullet5">
    <w:name w:val="List Bullet 5"/>
    <w:basedOn w:val="List5"/>
    <w:rsid w:val="00C509A4"/>
    <w:pPr>
      <w:numPr>
        <w:numId w:val="4"/>
      </w:numPr>
    </w:pPr>
  </w:style>
  <w:style w:type="paragraph" w:styleId="ListContinue2">
    <w:name w:val="List Continue 2"/>
    <w:basedOn w:val="List2"/>
    <w:rsid w:val="00C509A4"/>
    <w:pPr>
      <w:ind w:firstLine="0"/>
    </w:pPr>
  </w:style>
  <w:style w:type="paragraph" w:styleId="ListContinue3">
    <w:name w:val="List Continue 3"/>
    <w:basedOn w:val="List3"/>
    <w:rsid w:val="00C509A4"/>
    <w:pPr>
      <w:ind w:left="1021" w:firstLine="0"/>
    </w:pPr>
  </w:style>
  <w:style w:type="paragraph" w:styleId="ListContinue4">
    <w:name w:val="List Continue 4"/>
    <w:basedOn w:val="List4"/>
    <w:rsid w:val="00C509A4"/>
    <w:pPr>
      <w:ind w:firstLine="0"/>
    </w:pPr>
  </w:style>
  <w:style w:type="paragraph" w:styleId="ListContinue5">
    <w:name w:val="List Continue 5"/>
    <w:basedOn w:val="List5"/>
    <w:rsid w:val="00C509A4"/>
    <w:pPr>
      <w:ind w:firstLine="0"/>
    </w:pPr>
  </w:style>
  <w:style w:type="paragraph" w:styleId="ListNumber3">
    <w:name w:val="List Number 3"/>
    <w:basedOn w:val="List3"/>
    <w:rsid w:val="00C509A4"/>
    <w:pPr>
      <w:numPr>
        <w:numId w:val="5"/>
      </w:numPr>
    </w:pPr>
  </w:style>
  <w:style w:type="paragraph" w:styleId="ListNumber4">
    <w:name w:val="List Number 4"/>
    <w:basedOn w:val="List4"/>
    <w:rsid w:val="00C509A4"/>
    <w:pPr>
      <w:numPr>
        <w:numId w:val="6"/>
      </w:numPr>
    </w:pPr>
  </w:style>
  <w:style w:type="paragraph" w:styleId="ListNumber5">
    <w:name w:val="List Number 5"/>
    <w:basedOn w:val="List5"/>
    <w:rsid w:val="00C509A4"/>
    <w:pPr>
      <w:numPr>
        <w:numId w:val="7"/>
      </w:numPr>
    </w:pPr>
  </w:style>
  <w:style w:type="paragraph" w:styleId="BlockText">
    <w:name w:val="Block Text"/>
    <w:basedOn w:val="Normal"/>
    <w:rsid w:val="00C509A4"/>
    <w:pPr>
      <w:spacing w:after="120"/>
      <w:ind w:left="1440" w:right="1440"/>
    </w:pPr>
  </w:style>
  <w:style w:type="character" w:customStyle="1" w:styleId="Subscript">
    <w:name w:val="Subscript"/>
    <w:basedOn w:val="DefaultParagraphFont"/>
    <w:rsid w:val="00C509A4"/>
    <w:rPr>
      <w:sz w:val="16"/>
      <w:vertAlign w:val="subscript"/>
    </w:rPr>
  </w:style>
  <w:style w:type="character" w:customStyle="1" w:styleId="Superscript">
    <w:name w:val="Superscript"/>
    <w:basedOn w:val="DefaultParagraphFont"/>
    <w:rsid w:val="00C509A4"/>
    <w:rPr>
      <w:sz w:val="16"/>
      <w:vertAlign w:val="superscript"/>
    </w:rPr>
  </w:style>
  <w:style w:type="character" w:customStyle="1" w:styleId="Symbols">
    <w:name w:val="Symbols"/>
    <w:basedOn w:val="DefaultParagraphFont"/>
    <w:rsid w:val="00C509A4"/>
    <w:rPr>
      <w:rFonts w:ascii="Symbol" w:hAnsi="Symbol"/>
    </w:rPr>
  </w:style>
  <w:style w:type="character" w:customStyle="1" w:styleId="MenuOptions">
    <w:name w:val="Menu Options"/>
    <w:basedOn w:val="DefaultParagraphFont"/>
    <w:rsid w:val="00C509A4"/>
    <w:rPr>
      <w:rFonts w:ascii="Arial Narrow" w:hAnsi="Arial Narrow"/>
      <w:smallCaps/>
    </w:rPr>
  </w:style>
  <w:style w:type="character" w:customStyle="1" w:styleId="Buttons">
    <w:name w:val="Buttons"/>
    <w:basedOn w:val="DefaultParagraphFont"/>
    <w:rsid w:val="00C509A4"/>
    <w:rPr>
      <w:b/>
    </w:rPr>
  </w:style>
  <w:style w:type="character" w:customStyle="1" w:styleId="Underlined">
    <w:name w:val="Underlined"/>
    <w:basedOn w:val="DefaultParagraphFont"/>
    <w:rsid w:val="00C509A4"/>
    <w:rPr>
      <w:u w:val="single"/>
    </w:rPr>
  </w:style>
  <w:style w:type="paragraph" w:customStyle="1" w:styleId="TableBodyTextRight">
    <w:name w:val="Table Body Text Right"/>
    <w:basedOn w:val="TableBodyText"/>
    <w:rsid w:val="00C509A4"/>
    <w:pPr>
      <w:widowControl w:val="0"/>
      <w:autoSpaceDE w:val="0"/>
      <w:autoSpaceDN w:val="0"/>
      <w:adjustRightInd w:val="0"/>
      <w:jc w:val="right"/>
    </w:pPr>
    <w:rPr>
      <w:rFonts w:cs="Arial"/>
      <w:szCs w:val="18"/>
    </w:rPr>
  </w:style>
  <w:style w:type="paragraph" w:customStyle="1" w:styleId="CopyrightText">
    <w:name w:val="Copyright Text"/>
    <w:basedOn w:val="BodyText"/>
    <w:rsid w:val="00C509A4"/>
    <w:rPr>
      <w:sz w:val="18"/>
    </w:rPr>
  </w:style>
  <w:style w:type="paragraph" w:customStyle="1" w:styleId="BodySmallRight">
    <w:name w:val="Body Small Right"/>
    <w:basedOn w:val="BodyTextRight"/>
    <w:rsid w:val="00C509A4"/>
    <w:rPr>
      <w:sz w:val="18"/>
      <w:szCs w:val="18"/>
    </w:rPr>
  </w:style>
  <w:style w:type="paragraph" w:customStyle="1" w:styleId="MarginEdition">
    <w:name w:val="Margin Edition"/>
    <w:basedOn w:val="MarginNote"/>
    <w:rsid w:val="00C509A4"/>
    <w:pPr>
      <w:spacing w:before="0" w:after="0"/>
    </w:pPr>
    <w:rPr>
      <w:rFonts w:ascii="Times New Roman" w:hAnsi="Times New Roman"/>
      <w:color w:val="999999"/>
    </w:rPr>
  </w:style>
  <w:style w:type="paragraph" w:customStyle="1" w:styleId="Spacer">
    <w:name w:val="Spacer"/>
    <w:basedOn w:val="Normal"/>
    <w:rsid w:val="00C509A4"/>
    <w:rPr>
      <w:sz w:val="2"/>
      <w:szCs w:val="2"/>
    </w:rPr>
  </w:style>
  <w:style w:type="character" w:customStyle="1" w:styleId="Small">
    <w:name w:val="Small"/>
    <w:basedOn w:val="DefaultParagraphFont"/>
    <w:rsid w:val="00C509A4"/>
    <w:rPr>
      <w:sz w:val="16"/>
    </w:rPr>
  </w:style>
  <w:style w:type="paragraph" w:customStyle="1" w:styleId="WideTable">
    <w:name w:val="Wide Table"/>
    <w:basedOn w:val="Normal"/>
    <w:rsid w:val="00C509A4"/>
    <w:pPr>
      <w:ind w:left="-1418"/>
    </w:pPr>
    <w:rPr>
      <w:sz w:val="2"/>
      <w:szCs w:val="2"/>
    </w:rPr>
  </w:style>
  <w:style w:type="character" w:styleId="PageNumber">
    <w:name w:val="page number"/>
    <w:basedOn w:val="DefaultParagraphFont"/>
    <w:rsid w:val="00C509A4"/>
  </w:style>
  <w:style w:type="paragraph" w:styleId="Quote">
    <w:name w:val="Quote"/>
    <w:basedOn w:val="Heading1"/>
    <w:link w:val="QuoteChar"/>
    <w:qFormat/>
    <w:rsid w:val="00C509A4"/>
    <w:rPr>
      <w:b w:val="0"/>
      <w:sz w:val="72"/>
      <w:szCs w:val="72"/>
      <w:lang w:val="en-NZ"/>
    </w:rPr>
  </w:style>
  <w:style w:type="character" w:customStyle="1" w:styleId="QuoteChar">
    <w:name w:val="Quote Char"/>
    <w:basedOn w:val="DefaultParagraphFont"/>
    <w:link w:val="Quote"/>
    <w:rsid w:val="00C50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9A4"/>
    <w:pPr>
      <w:pageBreakBefore/>
    </w:pPr>
  </w:style>
  <w:style w:type="paragraph" w:customStyle="1" w:styleId="Border">
    <w:name w:val="Border"/>
    <w:basedOn w:val="Normal"/>
    <w:qFormat/>
    <w:rsid w:val="00C50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9A4"/>
    <w:rPr>
      <w:b/>
      <w:bCs/>
      <w:i/>
      <w:iCs/>
      <w:color w:val="auto"/>
    </w:rPr>
  </w:style>
  <w:style w:type="paragraph" w:styleId="IntenseQuote">
    <w:name w:val="Intense Quote"/>
    <w:basedOn w:val="Normal"/>
    <w:next w:val="Normal"/>
    <w:link w:val="IntenseQuoteChar"/>
    <w:uiPriority w:val="30"/>
    <w:qFormat/>
    <w:rsid w:val="00C50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9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09A4"/>
    <w:rPr>
      <w:smallCaps/>
      <w:color w:val="auto"/>
      <w:u w:val="single"/>
    </w:rPr>
  </w:style>
  <w:style w:type="character" w:styleId="IntenseReference">
    <w:name w:val="Intense Reference"/>
    <w:basedOn w:val="DefaultParagraphFont"/>
    <w:uiPriority w:val="32"/>
    <w:qFormat/>
    <w:rsid w:val="00C509A4"/>
    <w:rPr>
      <w:b/>
      <w:bCs/>
      <w:smallCaps/>
      <w:color w:val="auto"/>
      <w:spacing w:val="5"/>
      <w:u w:val="single"/>
    </w:rPr>
  </w:style>
  <w:style w:type="paragraph" w:customStyle="1" w:styleId="2ColumnHeading">
    <w:name w:val="2Column Heading"/>
    <w:basedOn w:val="BodyText"/>
    <w:qFormat/>
    <w:rsid w:val="00C509A4"/>
    <w:pPr>
      <w:spacing w:after="60"/>
      <w:ind w:left="-2268"/>
    </w:pPr>
    <w:rPr>
      <w:b/>
    </w:rPr>
  </w:style>
  <w:style w:type="paragraph" w:customStyle="1" w:styleId="Heading1TOC">
    <w:name w:val="Heading1 TOC"/>
    <w:basedOn w:val="Normal"/>
    <w:qFormat/>
    <w:rsid w:val="00C509A4"/>
    <w:pPr>
      <w:spacing w:before="240" w:after="120"/>
    </w:pPr>
    <w:rPr>
      <w:rFonts w:ascii="Times New Roman" w:hAnsi="Times New Roman"/>
      <w:b/>
      <w:sz w:val="32"/>
    </w:rPr>
  </w:style>
  <w:style w:type="paragraph" w:customStyle="1" w:styleId="Heading2TOC">
    <w:name w:val="Heading2 TOC"/>
    <w:basedOn w:val="Normal"/>
    <w:qFormat/>
    <w:rsid w:val="00C509A4"/>
    <w:pPr>
      <w:spacing w:before="240" w:after="60"/>
    </w:pPr>
    <w:rPr>
      <w:rFonts w:ascii="Times New Roman" w:hAnsi="Times New Roman"/>
      <w:b/>
      <w:sz w:val="28"/>
    </w:rPr>
  </w:style>
  <w:style w:type="character" w:customStyle="1" w:styleId="Underline">
    <w:name w:val="Underline"/>
    <w:basedOn w:val="DefaultParagraphFont"/>
    <w:qFormat/>
    <w:rsid w:val="00C509A4"/>
    <w:rPr>
      <w:u w:val="single"/>
    </w:rPr>
  </w:style>
  <w:style w:type="character" w:customStyle="1" w:styleId="BoldandItalics">
    <w:name w:val="Bold and Italics"/>
    <w:qFormat/>
    <w:rsid w:val="00C509A4"/>
    <w:rPr>
      <w:b/>
      <w:i/>
      <w:u w:val="none"/>
    </w:rPr>
  </w:style>
  <w:style w:type="paragraph" w:styleId="BalloonText">
    <w:name w:val="Balloon Text"/>
    <w:basedOn w:val="Normal"/>
    <w:link w:val="BalloonTextChar"/>
    <w:rsid w:val="00C509A4"/>
    <w:rPr>
      <w:rFonts w:ascii="Tahoma" w:hAnsi="Tahoma" w:cs="Tahoma"/>
      <w:sz w:val="16"/>
      <w:szCs w:val="16"/>
    </w:rPr>
  </w:style>
  <w:style w:type="character" w:customStyle="1" w:styleId="BalloonTextChar">
    <w:name w:val="Balloon Text Char"/>
    <w:basedOn w:val="DefaultParagraphFont"/>
    <w:link w:val="BalloonText"/>
    <w:rsid w:val="00C509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09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09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1223</Words>
  <Characters>8252</Characters>
  <Application>Microsoft Office Word</Application>
  <DocSecurity>0</DocSecurity>
  <Lines>298</Lines>
  <Paragraphs>183</Paragraphs>
  <ScaleCrop>false</ScaleCrop>
  <Company>Author-it Software Corporation Ltd.</Company>
  <LinksUpToDate>false</LinksUpToDate>
  <CharactersWithSpaces>9403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TLIX4017A Conduct materiel sustainment activities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2012-05-27T04:12:00Z</dcterms:created>
  <dcterms:modified xsi:type="dcterms:W3CDTF">2012-05-27T04:12:00Z</dcterms:modified>
</cp:coreProperties>
</file>