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561E6" w:rsidP="00D561E6">
      <w:pPr>
        <w:pStyle w:val="Title"/>
      </w:pPr>
      <w:r>
        <w:fldChar w:fldCharType="begin"/>
      </w:r>
      <w:r>
        <w:instrText xml:space="preserve"> TITLE   \* MERGEFORMAT </w:instrText>
      </w:r>
      <w:r>
        <w:fldChar w:fldCharType="separate"/>
      </w:r>
      <w:r>
        <w:t>TLIW5002A Manage rail assets and interfaces</w:t>
      </w:r>
      <w:r>
        <w:fldChar w:fldCharType="end"/>
      </w:r>
    </w:p>
    <w:p w:rsidR="00D561E6" w:rsidP="00D561E6">
      <w:pPr>
        <w:pStyle w:val="Version"/>
        <w:sectPr w:rsidSect="0010147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01477" w:rsidP="00101477">
      <w:pPr>
        <w:pStyle w:val="SuperHeading"/>
      </w:pPr>
      <w:r w:rsidRPr="00101477">
        <w:t>TLIW5002A Manage rail assets and interfaces</w:t>
      </w:r>
    </w:p>
    <w:p w:rsidR="00000000" w:rsidRPr="00101477" w:rsidP="00101477">
      <w:pPr>
        <w:pStyle w:val="Heading1"/>
      </w:pPr>
      <w:bookmarkStart w:id="1" w:name="O_628438"/>
      <w:bookmarkEnd w:id="1"/>
      <w:r w:rsidRPr="00101477">
        <w:t>Modification History</w:t>
      </w:r>
    </w:p>
    <w:p w:rsidR="00000000" w:rsidRPr="00101477" w:rsidP="00101477">
      <w:pPr>
        <w:pStyle w:val="BodyText"/>
      </w:pPr>
      <w:r w:rsidRPr="00101477">
        <w:t>Release 1. This is the first release of this unit.</w:t>
      </w:r>
    </w:p>
    <w:p w:rsidR="00000000" w:rsidRPr="00101477" w:rsidP="00101477">
      <w:pPr>
        <w:pStyle w:val="AllowPageBreak"/>
      </w:pPr>
    </w:p>
    <w:p w:rsidR="00000000" w:rsidRPr="00101477" w:rsidP="00101477">
      <w:pPr>
        <w:pStyle w:val="Heading1"/>
      </w:pPr>
      <w:bookmarkStart w:id="2" w:name="O_628439"/>
      <w:bookmarkEnd w:id="2"/>
      <w:r w:rsidRPr="00101477">
        <w:t>Unit Descriptor</w:t>
      </w:r>
    </w:p>
    <w:p w:rsidR="00000000" w:rsidRPr="00101477" w:rsidP="00101477">
      <w:pPr>
        <w:pStyle w:val="BodyText"/>
      </w:pPr>
      <w:r w:rsidRPr="00101477">
        <w:t>This unit involves the skills and knowledge required to manage rail assets and interfaces. It includes managing rail infrastructure fixed assets and ma</w:t>
      </w:r>
      <w:r w:rsidRPr="00101477">
        <w:t xml:space="preserve">intenance regimes; managing rail operation fixed assets and management regimes; applying reliability, availability, maintainability and safety of rail infrastructure; and managing wheel rail interface. </w:t>
      </w:r>
    </w:p>
    <w:p w:rsidR="00000000" w:rsidRPr="00101477" w:rsidP="00101477">
      <w:pPr>
        <w:pStyle w:val="BodyText"/>
      </w:pPr>
    </w:p>
    <w:p w:rsidR="00000000" w:rsidRPr="00101477" w:rsidP="00101477">
      <w:pPr>
        <w:pStyle w:val="BodyText"/>
      </w:pPr>
      <w:r w:rsidRPr="00101477">
        <w:t xml:space="preserve">Licensing, legislative, regulatory or certification </w:t>
      </w:r>
      <w:r w:rsidRPr="00101477">
        <w:t>requirements are not applicable to this unit at the time of publication.</w:t>
      </w:r>
    </w:p>
    <w:p w:rsidR="00000000" w:rsidRPr="00101477" w:rsidP="00101477">
      <w:pPr>
        <w:pStyle w:val="AllowPageBreak"/>
      </w:pPr>
    </w:p>
    <w:p w:rsidR="00000000" w:rsidRPr="00101477" w:rsidP="00101477">
      <w:pPr>
        <w:pStyle w:val="Heading1"/>
      </w:pPr>
      <w:bookmarkStart w:id="3" w:name="O_628440"/>
      <w:bookmarkEnd w:id="3"/>
      <w:r w:rsidRPr="00101477">
        <w:t>Application of the Unit</w:t>
      </w:r>
    </w:p>
    <w:p w:rsidR="00000000" w:rsidRPr="00101477" w:rsidP="00101477">
      <w:pPr>
        <w:pStyle w:val="BodyText"/>
      </w:pPr>
      <w:r w:rsidRPr="00101477">
        <w:t>This unit involves knowledge of rail assets in general terms. It covers the different rail infrastructure and operational components and can b</w:t>
      </w:r>
      <w:r w:rsidRPr="00101477">
        <w:t>e applied to freight, heavy haul or passenger rail systems.</w:t>
      </w:r>
    </w:p>
    <w:p w:rsidR="00000000" w:rsidRPr="00101477" w:rsidP="00101477">
      <w:pPr>
        <w:pStyle w:val="AllowPageBreak"/>
      </w:pPr>
    </w:p>
    <w:p w:rsidR="00000000" w:rsidRPr="00101477" w:rsidP="00101477">
      <w:pPr>
        <w:pStyle w:val="Heading1"/>
      </w:pPr>
      <w:bookmarkStart w:id="4" w:name="O_628441"/>
      <w:bookmarkEnd w:id="4"/>
      <w:r w:rsidRPr="00101477">
        <w:t>Licensing/Regulatory Information</w:t>
      </w:r>
    </w:p>
    <w:p w:rsidR="00000000" w:rsidRPr="00101477" w:rsidP="00101477">
      <w:pPr>
        <w:pStyle w:val="BodyText"/>
      </w:pPr>
      <w:r w:rsidRPr="00101477">
        <w:t>Refer to Unit Descriptor.</w:t>
      </w:r>
    </w:p>
    <w:p w:rsidR="00000000" w:rsidRPr="00101477" w:rsidP="00101477">
      <w:pPr>
        <w:pStyle w:val="AllowPageBreak"/>
      </w:pPr>
    </w:p>
    <w:p w:rsidR="00000000" w:rsidRPr="00101477" w:rsidP="00101477">
      <w:pPr>
        <w:pStyle w:val="Heading1"/>
      </w:pPr>
      <w:bookmarkStart w:id="5" w:name="O_628442"/>
      <w:bookmarkEnd w:id="5"/>
      <w:r w:rsidRPr="00101477">
        <w:t>Pre-Requisites</w:t>
      </w:r>
    </w:p>
    <w:p w:rsidR="00000000" w:rsidRPr="00101477" w:rsidP="00101477">
      <w:pPr>
        <w:pStyle w:val="BodyText"/>
      </w:pPr>
      <w:r w:rsidRPr="00101477">
        <w:t>Nil</w:t>
      </w:r>
    </w:p>
    <w:p w:rsidR="00000000" w:rsidRPr="00101477" w:rsidP="00101477">
      <w:pPr>
        <w:pStyle w:val="AllowPageBreak"/>
      </w:pPr>
    </w:p>
    <w:p w:rsidR="00000000" w:rsidRPr="00101477" w:rsidP="00101477">
      <w:pPr>
        <w:pStyle w:val="Heading1"/>
      </w:pPr>
      <w:bookmarkStart w:id="6" w:name="O_628443"/>
      <w:bookmarkEnd w:id="6"/>
      <w:r w:rsidRPr="00101477">
        <w:t>Employability Skills Information</w:t>
      </w:r>
    </w:p>
    <w:p w:rsidR="00000000" w:rsidRPr="00101477" w:rsidP="00101477">
      <w:pPr>
        <w:pStyle w:val="BodyText"/>
      </w:pPr>
      <w:r w:rsidRPr="00101477">
        <w:t>This unit contains employability s</w:t>
      </w:r>
      <w:r w:rsidRPr="00101477">
        <w:t>kills.</w:t>
      </w:r>
    </w:p>
    <w:p w:rsidR="00000000" w:rsidRPr="00101477" w:rsidP="00101477">
      <w:pPr>
        <w:pStyle w:val="AllowPageBreak"/>
      </w:pPr>
    </w:p>
    <w:p w:rsidR="00000000" w:rsidRPr="00101477" w:rsidP="00101477">
      <w:pPr>
        <w:pStyle w:val="Heading1"/>
      </w:pPr>
      <w:bookmarkStart w:id="7" w:name="O_628444"/>
      <w:bookmarkEnd w:id="7"/>
      <w:r w:rsidRPr="00101477">
        <w:t>Elements and Performance Criteria Pre-Content</w:t>
      </w:r>
    </w:p>
    <w:tbl>
      <w:tblPr>
        <w:tblW w:w="9640" w:type="dxa"/>
        <w:tblLayout w:type="fixed"/>
        <w:tblCellMar>
          <w:left w:w="62" w:type="dxa"/>
          <w:right w:w="62" w:type="dxa"/>
        </w:tblCellMar>
        <w:tblLook w:val="0000"/>
      </w:tblPr>
      <w:tblGrid>
        <w:gridCol w:w="2776"/>
        <w:gridCol w:w="6864"/>
      </w:tblGrid>
      <w:tr w:rsidTr="00D561E6">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101477">
            <w:pPr>
              <w:pStyle w:val="BodyText"/>
              <w:rPr>
                <w:lang w:val="en-NZ"/>
              </w:rPr>
            </w:pPr>
            <w:r w:rsidRPr="00101477">
              <w:t>Elements describe the essential outcomes of a unit of competency.</w:t>
            </w:r>
          </w:p>
        </w:tc>
        <w:tc>
          <w:tcPr>
            <w:tcW w:w="6864" w:type="dxa"/>
            <w:tcBorders>
              <w:top w:val="nil"/>
              <w:left w:val="nil"/>
              <w:bottom w:val="nil"/>
              <w:right w:val="nil"/>
            </w:tcBorders>
            <w:tcMar>
              <w:top w:w="0" w:type="dxa"/>
              <w:left w:w="62" w:type="dxa"/>
              <w:bottom w:w="0" w:type="dxa"/>
              <w:right w:w="62" w:type="dxa"/>
            </w:tcMar>
          </w:tcPr>
          <w:p w:rsidR="00000000" w:rsidRPr="00101477" w:rsidP="00101477">
            <w:pPr>
              <w:pStyle w:val="BodyText"/>
            </w:pPr>
            <w:r w:rsidRPr="00101477">
              <w:t>Performance criteria describe the required performance needed to demonstrate achievement of the element. Assessment of p</w:t>
            </w:r>
            <w:r w:rsidRPr="00101477">
              <w:t>erformance is to be consistent with the evidence guide.</w:t>
            </w:r>
          </w:p>
        </w:tc>
      </w:tr>
    </w:tbl>
    <w:p w:rsidR="00000000" w:rsidRPr="00101477" w:rsidP="00101477">
      <w:pPr>
        <w:pStyle w:val="BodyText"/>
      </w:pPr>
    </w:p>
    <w:p w:rsidR="00000000" w:rsidRPr="00101477" w:rsidP="00101477">
      <w:pPr>
        <w:pStyle w:val="AllowPageBreak"/>
      </w:pPr>
    </w:p>
    <w:p w:rsidR="00000000" w:rsidRPr="00101477" w:rsidP="00101477">
      <w:pPr>
        <w:pStyle w:val="Heading1"/>
      </w:pPr>
      <w:bookmarkStart w:id="8" w:name="O_628445"/>
      <w:bookmarkEnd w:id="8"/>
      <w:r w:rsidRPr="00101477">
        <w:t>Elements and Performance Criteria</w:t>
      </w:r>
    </w:p>
    <w:tbl>
      <w:tblPr>
        <w:tblW w:w="0" w:type="auto"/>
        <w:tblCellMar>
          <w:left w:w="62" w:type="dxa"/>
          <w:right w:w="62" w:type="dxa"/>
        </w:tblCellMar>
        <w:tblLook w:val="0000"/>
      </w:tblPr>
      <w:tblGrid>
        <w:gridCol w:w="344"/>
        <w:gridCol w:w="1748"/>
        <w:gridCol w:w="557"/>
        <w:gridCol w:w="6547"/>
      </w:tblGrid>
      <w:tr w:rsidTr="00D561E6">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101477" w:rsidP="00101477">
            <w:pPr>
              <w:pStyle w:val="BodyText"/>
            </w:pPr>
            <w:r w:rsidRPr="00101477">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101477">
            <w:pPr>
              <w:pStyle w:val="BodyText"/>
              <w:rPr>
                <w:lang w:val="en-NZ"/>
              </w:rPr>
            </w:pPr>
            <w:r w:rsidRPr="00101477">
              <w:rPr>
                <w:rStyle w:val="SpecialBold"/>
              </w:rPr>
              <w:t>Manage rail infrastructure fixed assets and maintenance regimes</w:t>
            </w:r>
          </w:p>
        </w:tc>
        <w:tc>
          <w:tcPr>
            <w:tcW w:w="0" w:type="auto"/>
            <w:tcBorders>
              <w:top w:val="nil"/>
              <w:left w:val="nil"/>
              <w:bottom w:val="nil"/>
              <w:right w:val="nil"/>
            </w:tcBorders>
            <w:tcMar>
              <w:top w:w="0" w:type="dxa"/>
              <w:left w:w="62" w:type="dxa"/>
              <w:bottom w:w="0" w:type="dxa"/>
              <w:right w:w="62" w:type="dxa"/>
            </w:tcMar>
          </w:tcPr>
          <w:p w:rsidR="00000000" w:rsidP="00101477">
            <w:pPr>
              <w:pStyle w:val="BodyText"/>
              <w:rPr>
                <w:lang w:val="en-NZ"/>
              </w:rPr>
            </w:pPr>
            <w:r w:rsidRPr="00101477">
              <w:t>1.1</w:t>
            </w:r>
          </w:p>
        </w:tc>
        <w:tc>
          <w:tcPr>
            <w:tcW w:w="0" w:type="auto"/>
            <w:tcBorders>
              <w:top w:val="nil"/>
              <w:left w:val="nil"/>
              <w:bottom w:val="nil"/>
              <w:right w:val="nil"/>
            </w:tcBorders>
            <w:tcMar>
              <w:top w:w="0" w:type="dxa"/>
              <w:left w:w="62" w:type="dxa"/>
              <w:bottom w:w="0" w:type="dxa"/>
              <w:right w:w="62" w:type="dxa"/>
            </w:tcMar>
          </w:tcPr>
          <w:p w:rsidR="00000000" w:rsidP="00101477">
            <w:pPr>
              <w:pStyle w:val="BodyText"/>
              <w:rPr>
                <w:lang w:val="en-NZ"/>
              </w:rPr>
            </w:pPr>
            <w:r w:rsidRPr="00101477">
              <w:t>Components and functions of track and track bed are identified and explained</w:t>
            </w:r>
          </w:p>
        </w:tc>
      </w:tr>
      <w:tr w:rsidTr="00D561E6">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01477">
            <w:pPr>
              <w:pStyle w:val="BodyText"/>
              <w:rPr>
                <w:lang w:val="en-NZ"/>
              </w:rPr>
            </w:pPr>
            <w:r w:rsidRPr="00101477">
              <w:t>1.2</w:t>
            </w:r>
          </w:p>
        </w:tc>
        <w:tc>
          <w:tcPr>
            <w:tcW w:w="0" w:type="auto"/>
            <w:tcBorders>
              <w:top w:val="nil"/>
              <w:left w:val="nil"/>
              <w:bottom w:val="nil"/>
              <w:right w:val="nil"/>
            </w:tcBorders>
            <w:tcMar>
              <w:top w:w="0" w:type="dxa"/>
              <w:left w:w="62" w:type="dxa"/>
              <w:bottom w:w="0" w:type="dxa"/>
              <w:right w:w="62" w:type="dxa"/>
            </w:tcMar>
          </w:tcPr>
          <w:p w:rsidR="00000000" w:rsidP="00101477">
            <w:pPr>
              <w:pStyle w:val="BodyText"/>
              <w:rPr>
                <w:lang w:val="en-NZ"/>
              </w:rPr>
            </w:pPr>
            <w:r w:rsidRPr="00101477">
              <w:t>Electrical infrastructure components and functions are identified are explained</w:t>
            </w:r>
          </w:p>
        </w:tc>
      </w:tr>
      <w:tr w:rsidTr="00D561E6">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01477">
            <w:pPr>
              <w:pStyle w:val="BodyText"/>
              <w:rPr>
                <w:lang w:val="en-NZ"/>
              </w:rPr>
            </w:pPr>
            <w:r w:rsidRPr="00101477">
              <w:t>1.3</w:t>
            </w:r>
          </w:p>
        </w:tc>
        <w:tc>
          <w:tcPr>
            <w:tcW w:w="0" w:type="auto"/>
            <w:tcBorders>
              <w:top w:val="nil"/>
              <w:left w:val="nil"/>
              <w:bottom w:val="nil"/>
              <w:right w:val="nil"/>
            </w:tcBorders>
            <w:tcMar>
              <w:top w:w="0" w:type="dxa"/>
              <w:left w:w="62" w:type="dxa"/>
              <w:bottom w:w="0" w:type="dxa"/>
              <w:right w:w="62" w:type="dxa"/>
            </w:tcMar>
          </w:tcPr>
          <w:p w:rsidR="00000000" w:rsidP="00101477">
            <w:pPr>
              <w:pStyle w:val="BodyText"/>
              <w:rPr>
                <w:lang w:val="en-NZ"/>
              </w:rPr>
            </w:pPr>
            <w:r w:rsidRPr="00101477">
              <w:t>Other fixed assets and their functions are identified and explained</w:t>
            </w:r>
          </w:p>
        </w:tc>
      </w:tr>
      <w:tr w:rsidTr="00D561E6">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01477">
            <w:pPr>
              <w:pStyle w:val="BodyText"/>
              <w:rPr>
                <w:lang w:val="en-NZ"/>
              </w:rPr>
            </w:pPr>
            <w:r w:rsidRPr="00101477">
              <w:t>1.4</w:t>
            </w:r>
          </w:p>
        </w:tc>
        <w:tc>
          <w:tcPr>
            <w:tcW w:w="0" w:type="auto"/>
            <w:tcBorders>
              <w:top w:val="nil"/>
              <w:left w:val="nil"/>
              <w:bottom w:val="nil"/>
              <w:right w:val="nil"/>
            </w:tcBorders>
            <w:tcMar>
              <w:top w:w="0" w:type="dxa"/>
              <w:left w:w="62" w:type="dxa"/>
              <w:bottom w:w="0" w:type="dxa"/>
              <w:right w:w="62" w:type="dxa"/>
            </w:tcMar>
          </w:tcPr>
          <w:p w:rsidR="00000000" w:rsidP="00101477">
            <w:pPr>
              <w:pStyle w:val="BodyText"/>
              <w:rPr>
                <w:lang w:val="en-NZ"/>
              </w:rPr>
            </w:pPr>
            <w:r w:rsidRPr="00101477">
              <w:t>Organisational track inspection methodologies are identified, analysed and where required, recommendations for improvement are made to management</w:t>
            </w:r>
          </w:p>
        </w:tc>
      </w:tr>
      <w:tr w:rsidTr="00D561E6">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01477">
            <w:pPr>
              <w:pStyle w:val="BodyText"/>
              <w:rPr>
                <w:lang w:val="en-NZ"/>
              </w:rPr>
            </w:pPr>
            <w:r w:rsidRPr="00101477">
              <w:t>1.5</w:t>
            </w:r>
          </w:p>
        </w:tc>
        <w:tc>
          <w:tcPr>
            <w:tcW w:w="0" w:type="auto"/>
            <w:tcBorders>
              <w:top w:val="nil"/>
              <w:left w:val="nil"/>
              <w:bottom w:val="nil"/>
              <w:right w:val="nil"/>
            </w:tcBorders>
            <w:tcMar>
              <w:top w:w="0" w:type="dxa"/>
              <w:left w:w="62" w:type="dxa"/>
              <w:bottom w:w="0" w:type="dxa"/>
              <w:right w:w="62" w:type="dxa"/>
            </w:tcMar>
          </w:tcPr>
          <w:p w:rsidR="00000000" w:rsidP="00101477">
            <w:pPr>
              <w:pStyle w:val="BodyText"/>
              <w:rPr>
                <w:lang w:val="en-NZ"/>
              </w:rPr>
            </w:pPr>
            <w:r w:rsidRPr="00101477">
              <w:t>Inspection and maintenance regimes for other assets are identified, analysed and where required, recomm</w:t>
            </w:r>
            <w:r w:rsidRPr="00101477">
              <w:t>endations for improvement are made to management</w:t>
            </w:r>
          </w:p>
        </w:tc>
      </w:tr>
      <w:tr w:rsidTr="00D561E6">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101477" w:rsidP="00101477">
            <w:pPr>
              <w:pStyle w:val="BodyText"/>
            </w:pPr>
            <w:r w:rsidRPr="00101477">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101477">
            <w:pPr>
              <w:pStyle w:val="BodyText"/>
              <w:rPr>
                <w:lang w:val="en-NZ"/>
              </w:rPr>
            </w:pPr>
            <w:r w:rsidRPr="00101477">
              <w:rPr>
                <w:rStyle w:val="SpecialBold"/>
              </w:rPr>
              <w:t>Manage rail operation fixed assets and management regimes</w:t>
            </w:r>
          </w:p>
        </w:tc>
        <w:tc>
          <w:tcPr>
            <w:tcW w:w="0" w:type="auto"/>
            <w:tcBorders>
              <w:top w:val="nil"/>
              <w:left w:val="nil"/>
              <w:bottom w:val="nil"/>
              <w:right w:val="nil"/>
            </w:tcBorders>
            <w:tcMar>
              <w:top w:w="0" w:type="dxa"/>
              <w:left w:w="62" w:type="dxa"/>
              <w:bottom w:w="0" w:type="dxa"/>
              <w:right w:w="62" w:type="dxa"/>
            </w:tcMar>
          </w:tcPr>
          <w:p w:rsidR="00000000" w:rsidP="00101477">
            <w:pPr>
              <w:pStyle w:val="BodyText"/>
              <w:rPr>
                <w:lang w:val="en-NZ"/>
              </w:rPr>
            </w:pPr>
            <w:r w:rsidRPr="00101477">
              <w:t>2.1</w:t>
            </w:r>
          </w:p>
        </w:tc>
        <w:tc>
          <w:tcPr>
            <w:tcW w:w="0" w:type="auto"/>
            <w:tcBorders>
              <w:top w:val="nil"/>
              <w:left w:val="nil"/>
              <w:bottom w:val="nil"/>
              <w:right w:val="nil"/>
            </w:tcBorders>
            <w:tcMar>
              <w:top w:w="0" w:type="dxa"/>
              <w:left w:w="62" w:type="dxa"/>
              <w:bottom w:w="0" w:type="dxa"/>
              <w:right w:w="62" w:type="dxa"/>
            </w:tcMar>
          </w:tcPr>
          <w:p w:rsidR="00000000" w:rsidP="00101477">
            <w:pPr>
              <w:pStyle w:val="BodyText"/>
              <w:rPr>
                <w:lang w:val="en-NZ"/>
              </w:rPr>
            </w:pPr>
            <w:r w:rsidRPr="00101477">
              <w:t>Rail operation assets and their individual life cycles are identified and explained</w:t>
            </w:r>
          </w:p>
        </w:tc>
      </w:tr>
      <w:tr w:rsidTr="00D561E6">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01477">
            <w:pPr>
              <w:pStyle w:val="BodyText"/>
              <w:rPr>
                <w:lang w:val="en-NZ"/>
              </w:rPr>
            </w:pPr>
            <w:r w:rsidRPr="00101477">
              <w:t>2.2</w:t>
            </w:r>
          </w:p>
        </w:tc>
        <w:tc>
          <w:tcPr>
            <w:tcW w:w="0" w:type="auto"/>
            <w:tcBorders>
              <w:top w:val="nil"/>
              <w:left w:val="nil"/>
              <w:bottom w:val="nil"/>
              <w:right w:val="nil"/>
            </w:tcBorders>
            <w:tcMar>
              <w:top w:w="0" w:type="dxa"/>
              <w:left w:w="62" w:type="dxa"/>
              <w:bottom w:w="0" w:type="dxa"/>
              <w:right w:w="62" w:type="dxa"/>
            </w:tcMar>
          </w:tcPr>
          <w:p w:rsidR="00000000" w:rsidP="00101477">
            <w:pPr>
              <w:pStyle w:val="BodyText"/>
              <w:rPr>
                <w:lang w:val="en-NZ"/>
              </w:rPr>
            </w:pPr>
            <w:r w:rsidRPr="00101477">
              <w:t>Asset maintenance plans are identified, accessed and implemented</w:t>
            </w:r>
          </w:p>
        </w:tc>
      </w:tr>
      <w:tr w:rsidTr="00D561E6">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01477">
            <w:pPr>
              <w:pStyle w:val="BodyText"/>
              <w:rPr>
                <w:lang w:val="en-NZ"/>
              </w:rPr>
            </w:pPr>
            <w:r w:rsidRPr="00101477">
              <w:t>2.3</w:t>
            </w:r>
          </w:p>
        </w:tc>
        <w:tc>
          <w:tcPr>
            <w:tcW w:w="0" w:type="auto"/>
            <w:tcBorders>
              <w:top w:val="nil"/>
              <w:left w:val="nil"/>
              <w:bottom w:val="nil"/>
              <w:right w:val="nil"/>
            </w:tcBorders>
            <w:tcMar>
              <w:top w:w="0" w:type="dxa"/>
              <w:left w:w="62" w:type="dxa"/>
              <w:bottom w:w="0" w:type="dxa"/>
              <w:right w:w="62" w:type="dxa"/>
            </w:tcMar>
          </w:tcPr>
          <w:p w:rsidR="00000000" w:rsidP="00101477">
            <w:pPr>
              <w:pStyle w:val="BodyText"/>
              <w:rPr>
                <w:lang w:val="en-NZ"/>
              </w:rPr>
            </w:pPr>
            <w:r w:rsidRPr="00101477">
              <w:t>Processes to monitor asset utilisation and their effectiveness in meeting operational needs are identified and followed</w:t>
            </w:r>
          </w:p>
        </w:tc>
      </w:tr>
      <w:tr w:rsidTr="00D561E6">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01477">
            <w:pPr>
              <w:pStyle w:val="BodyText"/>
              <w:rPr>
                <w:lang w:val="en-NZ"/>
              </w:rPr>
            </w:pPr>
            <w:r w:rsidRPr="00101477">
              <w:t>2.4</w:t>
            </w:r>
          </w:p>
        </w:tc>
        <w:tc>
          <w:tcPr>
            <w:tcW w:w="0" w:type="auto"/>
            <w:tcBorders>
              <w:top w:val="nil"/>
              <w:left w:val="nil"/>
              <w:bottom w:val="nil"/>
              <w:right w:val="nil"/>
            </w:tcBorders>
            <w:tcMar>
              <w:top w:w="0" w:type="dxa"/>
              <w:left w:w="62" w:type="dxa"/>
              <w:bottom w:w="0" w:type="dxa"/>
              <w:right w:w="62" w:type="dxa"/>
            </w:tcMar>
          </w:tcPr>
          <w:p w:rsidR="00000000" w:rsidP="00101477">
            <w:pPr>
              <w:pStyle w:val="BodyText"/>
              <w:rPr>
                <w:lang w:val="en-NZ"/>
              </w:rPr>
            </w:pPr>
            <w:r w:rsidRPr="00101477">
              <w:t xml:space="preserve">Potential conflict between operational asset utilisation </w:t>
            </w:r>
            <w:r w:rsidRPr="00101477">
              <w:t>and maintenance requirements are identified, explained and managed</w:t>
            </w:r>
          </w:p>
        </w:tc>
      </w:tr>
      <w:tr w:rsidTr="00D561E6">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01477">
            <w:pPr>
              <w:pStyle w:val="BodyText"/>
              <w:rPr>
                <w:lang w:val="en-NZ"/>
              </w:rPr>
            </w:pPr>
            <w:r w:rsidRPr="00101477">
              <w:t>2.5</w:t>
            </w:r>
          </w:p>
        </w:tc>
        <w:tc>
          <w:tcPr>
            <w:tcW w:w="0" w:type="auto"/>
            <w:tcBorders>
              <w:top w:val="nil"/>
              <w:left w:val="nil"/>
              <w:bottom w:val="nil"/>
              <w:right w:val="nil"/>
            </w:tcBorders>
            <w:tcMar>
              <w:top w:w="0" w:type="dxa"/>
              <w:left w:w="62" w:type="dxa"/>
              <w:bottom w:w="0" w:type="dxa"/>
              <w:right w:w="62" w:type="dxa"/>
            </w:tcMar>
          </w:tcPr>
          <w:p w:rsidR="00000000" w:rsidP="00101477">
            <w:pPr>
              <w:pStyle w:val="BodyText"/>
              <w:rPr>
                <w:lang w:val="en-NZ"/>
              </w:rPr>
            </w:pPr>
            <w:r w:rsidRPr="00101477">
              <w:t>Organisational technologies and processes that could enhance asset utilisation are identified, analysed and recommended to management</w:t>
            </w:r>
          </w:p>
        </w:tc>
      </w:tr>
      <w:tr w:rsidTr="00D561E6">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01477">
            <w:pPr>
              <w:pStyle w:val="BodyText"/>
              <w:rPr>
                <w:lang w:val="en-NZ"/>
              </w:rPr>
            </w:pPr>
            <w:r w:rsidRPr="00101477">
              <w:t>2.6</w:t>
            </w:r>
          </w:p>
        </w:tc>
        <w:tc>
          <w:tcPr>
            <w:tcW w:w="0" w:type="auto"/>
            <w:tcBorders>
              <w:top w:val="nil"/>
              <w:left w:val="nil"/>
              <w:bottom w:val="nil"/>
              <w:right w:val="nil"/>
            </w:tcBorders>
            <w:tcMar>
              <w:top w:w="0" w:type="dxa"/>
              <w:left w:w="62" w:type="dxa"/>
              <w:bottom w:w="0" w:type="dxa"/>
              <w:right w:w="62" w:type="dxa"/>
            </w:tcMar>
          </w:tcPr>
          <w:p w:rsidR="00000000" w:rsidP="00101477">
            <w:pPr>
              <w:pStyle w:val="BodyText"/>
              <w:rPr>
                <w:lang w:val="en-NZ"/>
              </w:rPr>
            </w:pPr>
            <w:r w:rsidRPr="00101477">
              <w:t>Inspection and maintenance regimes for other assets are identified and analysed</w:t>
            </w:r>
          </w:p>
        </w:tc>
      </w:tr>
      <w:tr w:rsidTr="00D561E6">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101477" w:rsidP="00101477">
            <w:pPr>
              <w:pStyle w:val="BodyText"/>
            </w:pPr>
            <w:r w:rsidRPr="00101477">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101477">
            <w:pPr>
              <w:pStyle w:val="BodyText"/>
              <w:rPr>
                <w:lang w:val="en-NZ"/>
              </w:rPr>
            </w:pPr>
            <w:r w:rsidRPr="00101477">
              <w:rPr>
                <w:rStyle w:val="SpecialBold"/>
              </w:rPr>
              <w:t>Apply reliability, availability, maintainability and safety of rail infrastructure</w:t>
            </w:r>
          </w:p>
        </w:tc>
        <w:tc>
          <w:tcPr>
            <w:tcW w:w="0" w:type="auto"/>
            <w:tcBorders>
              <w:top w:val="nil"/>
              <w:left w:val="nil"/>
              <w:bottom w:val="nil"/>
              <w:right w:val="nil"/>
            </w:tcBorders>
            <w:tcMar>
              <w:top w:w="0" w:type="dxa"/>
              <w:left w:w="62" w:type="dxa"/>
              <w:bottom w:w="0" w:type="dxa"/>
              <w:right w:w="62" w:type="dxa"/>
            </w:tcMar>
          </w:tcPr>
          <w:p w:rsidR="00000000" w:rsidP="00101477">
            <w:pPr>
              <w:pStyle w:val="BodyText"/>
              <w:rPr>
                <w:lang w:val="en-NZ"/>
              </w:rPr>
            </w:pPr>
            <w:r w:rsidRPr="00101477">
              <w:t>3.1</w:t>
            </w:r>
          </w:p>
        </w:tc>
        <w:tc>
          <w:tcPr>
            <w:tcW w:w="0" w:type="auto"/>
            <w:tcBorders>
              <w:top w:val="nil"/>
              <w:left w:val="nil"/>
              <w:bottom w:val="nil"/>
              <w:right w:val="nil"/>
            </w:tcBorders>
            <w:tcMar>
              <w:top w:w="0" w:type="dxa"/>
              <w:left w:w="62" w:type="dxa"/>
              <w:bottom w:w="0" w:type="dxa"/>
              <w:right w:w="62" w:type="dxa"/>
            </w:tcMar>
          </w:tcPr>
          <w:p w:rsidR="00000000" w:rsidP="00101477">
            <w:pPr>
              <w:pStyle w:val="BodyText"/>
              <w:rPr>
                <w:lang w:val="en-NZ"/>
              </w:rPr>
            </w:pPr>
            <w:r w:rsidRPr="00101477">
              <w:t>Concepts related to rail infrastructure reliability, availability, maintainability and</w:t>
            </w:r>
            <w:r w:rsidRPr="00101477">
              <w:t xml:space="preserve"> safety (RAMS) are identified and explained</w:t>
            </w:r>
          </w:p>
        </w:tc>
      </w:tr>
      <w:tr w:rsidTr="00D561E6">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01477">
            <w:pPr>
              <w:pStyle w:val="BodyText"/>
              <w:rPr>
                <w:lang w:val="en-NZ"/>
              </w:rPr>
            </w:pPr>
            <w:r w:rsidRPr="00101477">
              <w:t>3.2</w:t>
            </w:r>
          </w:p>
        </w:tc>
        <w:tc>
          <w:tcPr>
            <w:tcW w:w="0" w:type="auto"/>
            <w:tcBorders>
              <w:top w:val="nil"/>
              <w:left w:val="nil"/>
              <w:bottom w:val="nil"/>
              <w:right w:val="nil"/>
            </w:tcBorders>
            <w:tcMar>
              <w:top w:w="0" w:type="dxa"/>
              <w:left w:w="62" w:type="dxa"/>
              <w:bottom w:w="0" w:type="dxa"/>
              <w:right w:w="62" w:type="dxa"/>
            </w:tcMar>
          </w:tcPr>
          <w:p w:rsidR="00000000" w:rsidP="00101477">
            <w:pPr>
              <w:pStyle w:val="BodyText"/>
              <w:rPr>
                <w:lang w:val="en-NZ"/>
              </w:rPr>
            </w:pPr>
            <w:r w:rsidRPr="00101477">
              <w:t>Risk assessment is undertaken in relation to rail infrastructure RAMS</w:t>
            </w:r>
          </w:p>
        </w:tc>
      </w:tr>
      <w:tr w:rsidTr="00D561E6">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01477">
            <w:pPr>
              <w:pStyle w:val="BodyText"/>
              <w:rPr>
                <w:lang w:val="en-NZ"/>
              </w:rPr>
            </w:pPr>
            <w:r w:rsidRPr="00101477">
              <w:t>3.3</w:t>
            </w:r>
          </w:p>
        </w:tc>
        <w:tc>
          <w:tcPr>
            <w:tcW w:w="0" w:type="auto"/>
            <w:tcBorders>
              <w:top w:val="nil"/>
              <w:left w:val="nil"/>
              <w:bottom w:val="nil"/>
              <w:right w:val="nil"/>
            </w:tcBorders>
            <w:tcMar>
              <w:top w:w="0" w:type="dxa"/>
              <w:left w:w="62" w:type="dxa"/>
              <w:bottom w:w="0" w:type="dxa"/>
              <w:right w:w="62" w:type="dxa"/>
            </w:tcMar>
          </w:tcPr>
          <w:p w:rsidR="00000000" w:rsidP="00101477">
            <w:pPr>
              <w:pStyle w:val="BodyText"/>
              <w:rPr>
                <w:lang w:val="en-NZ"/>
              </w:rPr>
            </w:pPr>
            <w:r w:rsidRPr="00101477">
              <w:t>Programs are developed and implemented to ensure rail infrastructure RAMS are applied</w:t>
            </w:r>
          </w:p>
        </w:tc>
      </w:tr>
      <w:tr w:rsidTr="00D561E6">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01477">
            <w:pPr>
              <w:pStyle w:val="BodyText"/>
              <w:rPr>
                <w:lang w:val="en-NZ"/>
              </w:rPr>
            </w:pPr>
            <w:r w:rsidRPr="00101477">
              <w:t>3.4</w:t>
            </w:r>
          </w:p>
        </w:tc>
        <w:tc>
          <w:tcPr>
            <w:tcW w:w="0" w:type="auto"/>
            <w:tcBorders>
              <w:top w:val="nil"/>
              <w:left w:val="nil"/>
              <w:bottom w:val="nil"/>
              <w:right w:val="nil"/>
            </w:tcBorders>
            <w:tcMar>
              <w:top w:w="0" w:type="dxa"/>
              <w:left w:w="62" w:type="dxa"/>
              <w:bottom w:w="0" w:type="dxa"/>
              <w:right w:w="62" w:type="dxa"/>
            </w:tcMar>
          </w:tcPr>
          <w:p w:rsidR="00000000" w:rsidP="00101477">
            <w:pPr>
              <w:pStyle w:val="BodyText"/>
              <w:rPr>
                <w:lang w:val="en-NZ"/>
              </w:rPr>
            </w:pPr>
            <w:r w:rsidRPr="00101477">
              <w:t>Impacts of safety requirements on rail network are identified, explained and taken into consideration</w:t>
            </w:r>
          </w:p>
        </w:tc>
      </w:tr>
      <w:tr w:rsidTr="00D561E6">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101477" w:rsidP="00101477">
            <w:pPr>
              <w:pStyle w:val="BodyText"/>
            </w:pPr>
            <w:r w:rsidRPr="00101477">
              <w:rPr>
                <w:rStyle w:val="SpecialBold"/>
              </w:rPr>
              <w:t>4</w:t>
            </w:r>
          </w:p>
        </w:tc>
        <w:tc>
          <w:tcPr>
            <w:tcW w:w="0" w:type="auto"/>
            <w:vMerge w:val="restart"/>
            <w:tcBorders>
              <w:top w:val="nil"/>
              <w:left w:val="nil"/>
              <w:bottom w:val="nil"/>
              <w:right w:val="nil"/>
            </w:tcBorders>
            <w:tcMar>
              <w:top w:w="0" w:type="dxa"/>
              <w:left w:w="62" w:type="dxa"/>
              <w:bottom w:w="0" w:type="dxa"/>
              <w:right w:w="62" w:type="dxa"/>
            </w:tcMar>
          </w:tcPr>
          <w:p w:rsidR="00000000" w:rsidP="00101477">
            <w:pPr>
              <w:pStyle w:val="BodyText"/>
              <w:rPr>
                <w:lang w:val="en-NZ"/>
              </w:rPr>
            </w:pPr>
            <w:r w:rsidRPr="00101477">
              <w:rPr>
                <w:rStyle w:val="SpecialBold"/>
              </w:rPr>
              <w:t>Manage wheel rail interface</w:t>
            </w:r>
          </w:p>
        </w:tc>
        <w:tc>
          <w:tcPr>
            <w:tcW w:w="0" w:type="auto"/>
            <w:tcBorders>
              <w:top w:val="nil"/>
              <w:left w:val="nil"/>
              <w:bottom w:val="nil"/>
              <w:right w:val="nil"/>
            </w:tcBorders>
            <w:tcMar>
              <w:top w:w="0" w:type="dxa"/>
              <w:left w:w="62" w:type="dxa"/>
              <w:bottom w:w="0" w:type="dxa"/>
              <w:right w:w="62" w:type="dxa"/>
            </w:tcMar>
          </w:tcPr>
          <w:p w:rsidR="00000000" w:rsidP="00101477">
            <w:pPr>
              <w:pStyle w:val="BodyText"/>
              <w:rPr>
                <w:lang w:val="en-NZ"/>
              </w:rPr>
            </w:pPr>
            <w:r w:rsidRPr="00101477">
              <w:t>4.1</w:t>
            </w:r>
          </w:p>
        </w:tc>
        <w:tc>
          <w:tcPr>
            <w:tcW w:w="0" w:type="auto"/>
            <w:tcBorders>
              <w:top w:val="nil"/>
              <w:left w:val="nil"/>
              <w:bottom w:val="nil"/>
              <w:right w:val="nil"/>
            </w:tcBorders>
            <w:tcMar>
              <w:top w:w="0" w:type="dxa"/>
              <w:left w:w="62" w:type="dxa"/>
              <w:bottom w:w="0" w:type="dxa"/>
              <w:right w:w="62" w:type="dxa"/>
            </w:tcMar>
          </w:tcPr>
          <w:p w:rsidR="00000000" w:rsidP="00101477">
            <w:pPr>
              <w:pStyle w:val="BodyText"/>
              <w:rPr>
                <w:lang w:val="en-NZ"/>
              </w:rPr>
            </w:pPr>
            <w:r w:rsidRPr="00101477">
              <w:t>Wheel rail interface is identified and explained</w:t>
            </w:r>
          </w:p>
        </w:tc>
      </w:tr>
      <w:tr w:rsidTr="00D561E6">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01477">
            <w:pPr>
              <w:pStyle w:val="BodyText"/>
              <w:rPr>
                <w:lang w:val="en-NZ"/>
              </w:rPr>
            </w:pPr>
            <w:r w:rsidRPr="00101477">
              <w:t>4.2</w:t>
            </w:r>
          </w:p>
        </w:tc>
        <w:tc>
          <w:tcPr>
            <w:tcW w:w="0" w:type="auto"/>
            <w:tcBorders>
              <w:top w:val="nil"/>
              <w:left w:val="nil"/>
              <w:bottom w:val="nil"/>
              <w:right w:val="nil"/>
            </w:tcBorders>
            <w:tcMar>
              <w:top w:w="0" w:type="dxa"/>
              <w:left w:w="62" w:type="dxa"/>
              <w:bottom w:w="0" w:type="dxa"/>
              <w:right w:w="62" w:type="dxa"/>
            </w:tcMar>
          </w:tcPr>
          <w:p w:rsidR="00000000" w:rsidP="00101477">
            <w:pPr>
              <w:pStyle w:val="BodyText"/>
              <w:rPr>
                <w:lang w:val="en-NZ"/>
              </w:rPr>
            </w:pPr>
            <w:r w:rsidRPr="00101477">
              <w:t xml:space="preserve">Defects and problems related to wheel rail interface are anticipated and rectified, and preventative programs are developed and </w:t>
            </w:r>
            <w:r w:rsidRPr="00101477">
              <w:t>implemented</w:t>
            </w:r>
          </w:p>
        </w:tc>
      </w:tr>
      <w:tr w:rsidTr="00D561E6">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01477">
            <w:pPr>
              <w:pStyle w:val="BodyText"/>
              <w:rPr>
                <w:lang w:val="en-NZ"/>
              </w:rPr>
            </w:pPr>
            <w:r w:rsidRPr="00101477">
              <w:t>4.3</w:t>
            </w:r>
          </w:p>
        </w:tc>
        <w:tc>
          <w:tcPr>
            <w:tcW w:w="0" w:type="auto"/>
            <w:tcBorders>
              <w:top w:val="nil"/>
              <w:left w:val="nil"/>
              <w:bottom w:val="nil"/>
              <w:right w:val="nil"/>
            </w:tcBorders>
            <w:tcMar>
              <w:top w:w="0" w:type="dxa"/>
              <w:left w:w="62" w:type="dxa"/>
              <w:bottom w:w="0" w:type="dxa"/>
              <w:right w:w="62" w:type="dxa"/>
            </w:tcMar>
          </w:tcPr>
          <w:p w:rsidR="00000000" w:rsidP="00101477">
            <w:pPr>
              <w:pStyle w:val="BodyText"/>
              <w:rPr>
                <w:lang w:val="en-NZ"/>
              </w:rPr>
            </w:pPr>
            <w:r w:rsidRPr="00101477">
              <w:t>Impacts of poor management of wheel rail interface are identified and explained</w:t>
            </w:r>
          </w:p>
        </w:tc>
      </w:tr>
      <w:tr w:rsidTr="00D561E6">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01477">
            <w:pPr>
              <w:pStyle w:val="BodyText"/>
              <w:rPr>
                <w:lang w:val="en-NZ"/>
              </w:rPr>
            </w:pPr>
            <w:r w:rsidRPr="00101477">
              <w:t>4.4</w:t>
            </w:r>
          </w:p>
        </w:tc>
        <w:tc>
          <w:tcPr>
            <w:tcW w:w="0" w:type="auto"/>
            <w:tcBorders>
              <w:top w:val="nil"/>
              <w:left w:val="nil"/>
              <w:bottom w:val="nil"/>
              <w:right w:val="nil"/>
            </w:tcBorders>
            <w:tcMar>
              <w:top w:w="0" w:type="dxa"/>
              <w:left w:w="62" w:type="dxa"/>
              <w:bottom w:w="0" w:type="dxa"/>
              <w:right w:w="62" w:type="dxa"/>
            </w:tcMar>
          </w:tcPr>
          <w:p w:rsidR="00000000" w:rsidP="00101477">
            <w:pPr>
              <w:pStyle w:val="BodyText"/>
              <w:rPr>
                <w:lang w:val="en-NZ"/>
              </w:rPr>
            </w:pPr>
            <w:r w:rsidRPr="00101477">
              <w:t>Damage that can be caused by poor wheel rail interface is identified and explained</w:t>
            </w:r>
          </w:p>
        </w:tc>
      </w:tr>
      <w:tr w:rsidTr="00D561E6">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01477">
            <w:pPr>
              <w:pStyle w:val="BodyText"/>
              <w:rPr>
                <w:lang w:val="en-NZ"/>
              </w:rPr>
            </w:pPr>
            <w:r w:rsidRPr="00101477">
              <w:t>4.5</w:t>
            </w:r>
          </w:p>
        </w:tc>
        <w:tc>
          <w:tcPr>
            <w:tcW w:w="0" w:type="auto"/>
            <w:tcBorders>
              <w:top w:val="nil"/>
              <w:left w:val="nil"/>
              <w:bottom w:val="nil"/>
              <w:right w:val="nil"/>
            </w:tcBorders>
            <w:tcMar>
              <w:top w:w="0" w:type="dxa"/>
              <w:left w:w="62" w:type="dxa"/>
              <w:bottom w:w="0" w:type="dxa"/>
              <w:right w:w="62" w:type="dxa"/>
            </w:tcMar>
          </w:tcPr>
          <w:p w:rsidR="00000000" w:rsidP="00101477">
            <w:pPr>
              <w:pStyle w:val="BodyText"/>
              <w:rPr>
                <w:lang w:val="en-NZ"/>
              </w:rPr>
            </w:pPr>
            <w:r w:rsidRPr="00101477">
              <w:t>Methods for measuring and maintaining rail profiles are identified and applied</w:t>
            </w:r>
          </w:p>
        </w:tc>
      </w:tr>
      <w:tr w:rsidTr="00D561E6">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01477">
            <w:pPr>
              <w:pStyle w:val="BodyText"/>
              <w:rPr>
                <w:lang w:val="en-NZ"/>
              </w:rPr>
            </w:pPr>
            <w:r w:rsidRPr="00101477">
              <w:t>4.6</w:t>
            </w:r>
          </w:p>
        </w:tc>
        <w:tc>
          <w:tcPr>
            <w:tcW w:w="0" w:type="auto"/>
            <w:tcBorders>
              <w:top w:val="nil"/>
              <w:left w:val="nil"/>
              <w:bottom w:val="nil"/>
              <w:right w:val="nil"/>
            </w:tcBorders>
            <w:tcMar>
              <w:top w:w="0" w:type="dxa"/>
              <w:left w:w="62" w:type="dxa"/>
              <w:bottom w:w="0" w:type="dxa"/>
              <w:right w:w="62" w:type="dxa"/>
            </w:tcMar>
          </w:tcPr>
          <w:p w:rsidR="00000000" w:rsidRPr="00101477" w:rsidP="00101477">
            <w:pPr>
              <w:pStyle w:val="BodyText"/>
            </w:pPr>
            <w:r w:rsidRPr="00101477">
              <w:t>Methods for maintaining rolling stock wheels are identified and applied</w:t>
            </w:r>
          </w:p>
        </w:tc>
      </w:tr>
    </w:tbl>
    <w:p w:rsidR="00000000" w:rsidRPr="00101477" w:rsidP="00101477">
      <w:pPr>
        <w:pStyle w:val="BodyText"/>
      </w:pPr>
    </w:p>
    <w:p w:rsidR="00000000" w:rsidRPr="00101477" w:rsidP="00101477">
      <w:pPr>
        <w:pStyle w:val="AllowPageBreak"/>
      </w:pPr>
    </w:p>
    <w:p w:rsidR="00000000" w:rsidRPr="00101477" w:rsidP="00101477">
      <w:pPr>
        <w:pStyle w:val="Heading1"/>
      </w:pPr>
      <w:bookmarkStart w:id="9" w:name="O_628446"/>
      <w:bookmarkEnd w:id="9"/>
      <w:r w:rsidRPr="00101477">
        <w:t>Required Skills and Knowledge</w:t>
      </w:r>
    </w:p>
    <w:tbl>
      <w:tblPr>
        <w:tblW w:w="9640" w:type="dxa"/>
        <w:tblLayout w:type="fixed"/>
        <w:tblCellMar>
          <w:left w:w="62" w:type="dxa"/>
          <w:right w:w="62" w:type="dxa"/>
        </w:tblCellMar>
        <w:tblLook w:val="0000"/>
      </w:tblPr>
      <w:tblGrid>
        <w:gridCol w:w="9640"/>
      </w:tblGrid>
      <w:tr w:rsidTr="0010147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01477">
            <w:pPr>
              <w:pStyle w:val="BodyText"/>
              <w:rPr>
                <w:lang w:val="en-NZ"/>
              </w:rPr>
            </w:pPr>
            <w:r w:rsidRPr="00101477">
              <w:t>This section describes the knowledge and skills required for this unit.</w:t>
            </w:r>
          </w:p>
        </w:tc>
      </w:tr>
      <w:tr w:rsidTr="0010147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01477">
            <w:pPr>
              <w:pStyle w:val="BodyText"/>
              <w:rPr>
                <w:lang w:val="en-NZ"/>
              </w:rPr>
            </w:pPr>
            <w:r w:rsidRPr="00101477">
              <w:rPr>
                <w:rStyle w:val="SpecialBold"/>
              </w:rPr>
              <w:t>Required knowledge:</w:t>
            </w:r>
          </w:p>
        </w:tc>
      </w:tr>
      <w:tr w:rsidTr="0010147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01477">
            <w:pPr>
              <w:pStyle w:val="ListBullet"/>
              <w:rPr>
                <w:lang w:val="en-NZ"/>
              </w:rPr>
            </w:pPr>
            <w:r w:rsidRPr="00101477">
              <w:t>Changes in rail industry operations and technology with implications for rail safety</w:t>
            </w:r>
          </w:p>
        </w:tc>
      </w:tr>
      <w:tr w:rsidTr="0010147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01477">
            <w:pPr>
              <w:pStyle w:val="ListBullet"/>
              <w:rPr>
                <w:lang w:val="en-NZ"/>
              </w:rPr>
            </w:pPr>
            <w:r w:rsidRPr="00101477">
              <w:t>Duty holders and their duties under rail safety legislation:</w:t>
            </w:r>
          </w:p>
        </w:tc>
      </w:tr>
      <w:tr w:rsidTr="0010147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01477">
            <w:pPr>
              <w:pStyle w:val="ListBullet2"/>
              <w:rPr>
                <w:lang w:val="en-NZ"/>
              </w:rPr>
            </w:pPr>
            <w:r w:rsidRPr="00101477">
              <w:t>contractors</w:t>
            </w:r>
          </w:p>
        </w:tc>
      </w:tr>
      <w:tr w:rsidTr="0010147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01477">
            <w:pPr>
              <w:pStyle w:val="ListBullet2"/>
              <w:rPr>
                <w:lang w:val="en-NZ"/>
              </w:rPr>
            </w:pPr>
            <w:r w:rsidRPr="00101477">
              <w:t>designers, manufacturers, suppliers, commissioners, erectors and installers</w:t>
            </w:r>
          </w:p>
        </w:tc>
      </w:tr>
      <w:tr w:rsidTr="0010147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01477">
            <w:pPr>
              <w:pStyle w:val="ListBullet2"/>
              <w:rPr>
                <w:lang w:val="en-NZ"/>
              </w:rPr>
            </w:pPr>
            <w:r w:rsidRPr="00101477">
              <w:t>de-commissioners</w:t>
            </w:r>
          </w:p>
        </w:tc>
      </w:tr>
      <w:tr w:rsidTr="0010147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01477">
            <w:pPr>
              <w:pStyle w:val="ListBullet2"/>
              <w:rPr>
                <w:lang w:val="en-NZ"/>
              </w:rPr>
            </w:pPr>
            <w:r w:rsidRPr="00101477">
              <w:t>managers of private sidings</w:t>
            </w:r>
          </w:p>
        </w:tc>
      </w:tr>
      <w:tr w:rsidTr="0010147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01477">
            <w:pPr>
              <w:pStyle w:val="ListBullet2"/>
              <w:rPr>
                <w:lang w:val="en-NZ"/>
              </w:rPr>
            </w:pPr>
            <w:r w:rsidRPr="00101477">
              <w:t>rail safety workers</w:t>
            </w:r>
          </w:p>
        </w:tc>
      </w:tr>
      <w:tr w:rsidTr="0010147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01477">
            <w:pPr>
              <w:pStyle w:val="ListBullet2"/>
              <w:rPr>
                <w:lang w:val="en-NZ"/>
              </w:rPr>
            </w:pPr>
            <w:r w:rsidRPr="00101477">
              <w:t>rail transport operators (rail infrastructure managers and/or rolling stock operators)</w:t>
            </w:r>
          </w:p>
        </w:tc>
      </w:tr>
      <w:tr w:rsidTr="0010147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01477">
            <w:pPr>
              <w:pStyle w:val="ListBullet"/>
              <w:rPr>
                <w:lang w:val="en-NZ"/>
              </w:rPr>
            </w:pPr>
            <w:r w:rsidRPr="00101477">
              <w:t xml:space="preserve">Key concepts and definitions relating to rail assets and interfaces </w:t>
            </w:r>
          </w:p>
        </w:tc>
      </w:tr>
      <w:tr w:rsidTr="0010147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01477">
            <w:pPr>
              <w:pStyle w:val="ListBullet"/>
              <w:rPr>
                <w:lang w:val="en-NZ"/>
              </w:rPr>
            </w:pPr>
            <w:r w:rsidRPr="00101477">
              <w:t>Key principles and practices associated with railway operations</w:t>
            </w:r>
          </w:p>
        </w:tc>
      </w:tr>
      <w:tr w:rsidTr="0010147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01477">
            <w:pPr>
              <w:pStyle w:val="ListBullet"/>
              <w:rPr>
                <w:lang w:val="en-NZ"/>
              </w:rPr>
            </w:pPr>
            <w:r w:rsidRPr="00101477">
              <w:t>Key regulatory requirements and standards for participants in the rail industry</w:t>
            </w:r>
          </w:p>
        </w:tc>
      </w:tr>
      <w:tr w:rsidTr="0010147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01477">
            <w:pPr>
              <w:pStyle w:val="ListBullet"/>
              <w:rPr>
                <w:lang w:val="en-NZ"/>
              </w:rPr>
            </w:pPr>
            <w:r w:rsidRPr="00101477">
              <w:t>Rail industry and rail industry terminology, including terminology used in technical standards</w:t>
            </w:r>
          </w:p>
        </w:tc>
      </w:tr>
      <w:tr w:rsidTr="0010147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01477">
            <w:pPr>
              <w:pStyle w:val="ListBullet"/>
              <w:rPr>
                <w:lang w:val="en-NZ"/>
              </w:rPr>
            </w:pPr>
            <w:r w:rsidRPr="00101477">
              <w:t>Rail safety management systems</w:t>
            </w:r>
          </w:p>
        </w:tc>
      </w:tr>
      <w:tr w:rsidTr="0010147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01477">
            <w:pPr>
              <w:pStyle w:val="ListBullet"/>
              <w:rPr>
                <w:lang w:val="en-NZ"/>
              </w:rPr>
            </w:pPr>
            <w:r w:rsidRPr="00101477">
              <w:t>Rail safety operating principles:</w:t>
            </w:r>
          </w:p>
        </w:tc>
      </w:tr>
      <w:tr w:rsidTr="0010147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01477">
            <w:pPr>
              <w:pStyle w:val="ListBullet2"/>
              <w:rPr>
                <w:lang w:val="en-NZ"/>
              </w:rPr>
            </w:pPr>
            <w:r w:rsidRPr="00101477">
              <w:t>ensuring</w:t>
            </w:r>
            <w:r w:rsidRPr="00101477">
              <w:t xml:space="preserve"> emergencies and incidents are properly managed</w:t>
            </w:r>
          </w:p>
        </w:tc>
      </w:tr>
      <w:tr w:rsidTr="0010147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01477">
            <w:pPr>
              <w:pStyle w:val="ListBullet2"/>
              <w:rPr>
                <w:lang w:val="en-NZ"/>
              </w:rPr>
            </w:pPr>
            <w:r w:rsidRPr="00101477">
              <w:t>ensuring interfaces between different organisations are properly defined and managed</w:t>
            </w:r>
          </w:p>
        </w:tc>
      </w:tr>
      <w:tr w:rsidTr="0010147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01477">
            <w:pPr>
              <w:pStyle w:val="ListBullet2"/>
              <w:rPr>
                <w:lang w:val="en-NZ"/>
              </w:rPr>
            </w:pPr>
            <w:r w:rsidRPr="00101477">
              <w:t>identifying and managing risk</w:t>
            </w:r>
          </w:p>
        </w:tc>
      </w:tr>
      <w:tr w:rsidTr="0010147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01477">
            <w:pPr>
              <w:pStyle w:val="ListBullet2"/>
              <w:rPr>
                <w:lang w:val="en-NZ"/>
              </w:rPr>
            </w:pPr>
            <w:r w:rsidRPr="00101477">
              <w:t>protecting persons from injury</w:t>
            </w:r>
          </w:p>
        </w:tc>
      </w:tr>
      <w:tr w:rsidTr="0010147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01477">
            <w:pPr>
              <w:pStyle w:val="ListBullet2"/>
              <w:rPr>
                <w:lang w:val="en-NZ"/>
              </w:rPr>
            </w:pPr>
            <w:r w:rsidRPr="00101477">
              <w:t>protecting property from damage</w:t>
            </w:r>
          </w:p>
        </w:tc>
      </w:tr>
      <w:tr w:rsidTr="0010147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01477">
            <w:pPr>
              <w:pStyle w:val="ListBullet2"/>
              <w:rPr>
                <w:lang w:val="en-NZ"/>
              </w:rPr>
            </w:pPr>
            <w:r w:rsidRPr="00101477">
              <w:t>track access</w:t>
            </w:r>
          </w:p>
        </w:tc>
      </w:tr>
      <w:tr w:rsidTr="0010147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01477">
            <w:pPr>
              <w:pStyle w:val="ListBullet2"/>
              <w:rPr>
                <w:lang w:val="en-NZ"/>
              </w:rPr>
            </w:pPr>
            <w:r w:rsidRPr="00101477">
              <w:t>train separation</w:t>
            </w:r>
          </w:p>
        </w:tc>
      </w:tr>
      <w:tr w:rsidTr="0010147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01477">
            <w:pPr>
              <w:pStyle w:val="ListBullet"/>
              <w:rPr>
                <w:lang w:val="en-NZ"/>
              </w:rPr>
            </w:pPr>
            <w:r w:rsidRPr="00101477">
              <w:t>Rail regulatory framework</w:t>
            </w:r>
          </w:p>
        </w:tc>
      </w:tr>
      <w:tr w:rsidTr="0010147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01477">
            <w:pPr>
              <w:pStyle w:val="ListBullet"/>
              <w:rPr>
                <w:lang w:val="en-NZ"/>
              </w:rPr>
            </w:pPr>
            <w:r w:rsidRPr="00101477">
              <w:t xml:space="preserve">Relevance of national and international standards to the rail industry </w:t>
            </w:r>
          </w:p>
        </w:tc>
      </w:tr>
      <w:tr w:rsidTr="0010147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01477">
            <w:pPr>
              <w:pStyle w:val="ListBullet"/>
              <w:rPr>
                <w:lang w:val="en-NZ"/>
              </w:rPr>
            </w:pPr>
            <w:r w:rsidRPr="00101477">
              <w:t>Relevant information:</w:t>
            </w:r>
          </w:p>
        </w:tc>
      </w:tr>
      <w:tr w:rsidTr="0010147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01477">
            <w:pPr>
              <w:pStyle w:val="ListBullet2"/>
              <w:rPr>
                <w:lang w:val="en-NZ"/>
              </w:rPr>
            </w:pPr>
            <w:r w:rsidRPr="00101477">
              <w:t>audit program information</w:t>
            </w:r>
          </w:p>
        </w:tc>
      </w:tr>
      <w:tr w:rsidTr="0010147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01477">
            <w:pPr>
              <w:pStyle w:val="ListBullet2"/>
              <w:rPr>
                <w:lang w:val="en-NZ"/>
              </w:rPr>
            </w:pPr>
            <w:r w:rsidRPr="00101477">
              <w:t>changes to regulations</w:t>
            </w:r>
          </w:p>
        </w:tc>
      </w:tr>
      <w:tr w:rsidTr="0010147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01477">
            <w:pPr>
              <w:pStyle w:val="ListBullet2"/>
              <w:rPr>
                <w:lang w:val="en-NZ"/>
              </w:rPr>
            </w:pPr>
            <w:r w:rsidRPr="00101477">
              <w:t>compliance and enforcement regime</w:t>
            </w:r>
          </w:p>
        </w:tc>
      </w:tr>
      <w:tr w:rsidTr="0010147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01477">
            <w:pPr>
              <w:pStyle w:val="ListBullet2"/>
              <w:rPr>
                <w:lang w:val="en-NZ"/>
              </w:rPr>
            </w:pPr>
            <w:r w:rsidRPr="00101477">
              <w:t>rail regulatory requirements</w:t>
            </w:r>
          </w:p>
        </w:tc>
      </w:tr>
      <w:tr w:rsidTr="0010147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101477" w:rsidP="00101477">
            <w:pPr>
              <w:pStyle w:val="ListBullet2"/>
            </w:pPr>
            <w:r w:rsidRPr="00101477">
              <w:t>safety notices</w:t>
            </w:r>
          </w:p>
        </w:tc>
      </w:tr>
    </w:tbl>
    <w:p w:rsidR="00000000" w:rsidRPr="00101477" w:rsidP="00101477">
      <w:pPr>
        <w:pStyle w:val="BodyText"/>
      </w:pPr>
    </w:p>
    <w:tbl>
      <w:tblPr>
        <w:tblW w:w="9640" w:type="dxa"/>
        <w:tblLayout w:type="fixed"/>
        <w:tblCellMar>
          <w:left w:w="62" w:type="dxa"/>
          <w:right w:w="62" w:type="dxa"/>
        </w:tblCellMar>
        <w:tblLook w:val="0000"/>
      </w:tblPr>
      <w:tblGrid>
        <w:gridCol w:w="9640"/>
      </w:tblGrid>
      <w:tr w:rsidTr="0010147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01477">
            <w:pPr>
              <w:pStyle w:val="BodyText"/>
              <w:rPr>
                <w:lang w:val="en-NZ"/>
              </w:rPr>
            </w:pPr>
            <w:r w:rsidRPr="00101477">
              <w:rPr>
                <w:rStyle w:val="SpecialBold"/>
              </w:rPr>
              <w:t>Required skills:</w:t>
            </w:r>
          </w:p>
        </w:tc>
      </w:tr>
      <w:tr w:rsidTr="0010147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01477">
            <w:pPr>
              <w:pStyle w:val="ListBullet"/>
              <w:rPr>
                <w:lang w:val="en-NZ"/>
              </w:rPr>
            </w:pPr>
            <w:r w:rsidRPr="00101477">
              <w:t>Access and use rail safety industry standards</w:t>
            </w:r>
          </w:p>
        </w:tc>
      </w:tr>
      <w:tr w:rsidTr="0010147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01477">
            <w:pPr>
              <w:pStyle w:val="ListBullet"/>
              <w:rPr>
                <w:lang w:val="en-NZ"/>
              </w:rPr>
            </w:pPr>
            <w:r w:rsidRPr="00101477">
              <w:t>Develop and maintain currency of rail industry knowledge and regulatory requirements</w:t>
            </w:r>
          </w:p>
        </w:tc>
      </w:tr>
      <w:tr w:rsidTr="0010147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01477">
            <w:pPr>
              <w:pStyle w:val="ListBullet"/>
              <w:rPr>
                <w:lang w:val="en-NZ"/>
              </w:rPr>
            </w:pPr>
            <w:r w:rsidRPr="00101477">
              <w:t>Communicate effectively with others and interpret complex information relating to rail operations</w:t>
            </w:r>
          </w:p>
        </w:tc>
      </w:tr>
      <w:tr w:rsidTr="0010147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01477">
            <w:pPr>
              <w:pStyle w:val="ListBullet"/>
              <w:rPr>
                <w:lang w:val="en-NZ"/>
              </w:rPr>
            </w:pPr>
            <w:r w:rsidRPr="00101477">
              <w:t>Manage wheel rail data</w:t>
            </w:r>
          </w:p>
        </w:tc>
      </w:tr>
      <w:tr w:rsidTr="0010147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01477">
            <w:pPr>
              <w:pStyle w:val="ListBullet"/>
              <w:rPr>
                <w:lang w:val="en-NZ"/>
              </w:rPr>
            </w:pPr>
            <w:r w:rsidRPr="00101477">
              <w:t>Network and build relationships with a diverse range of rail industry organisations</w:t>
            </w:r>
          </w:p>
        </w:tc>
      </w:tr>
      <w:tr w:rsidTr="0010147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01477">
            <w:pPr>
              <w:pStyle w:val="ListBullet"/>
              <w:rPr>
                <w:lang w:val="en-NZ"/>
              </w:rPr>
            </w:pPr>
            <w:r w:rsidRPr="00101477">
              <w:t>Research information related to the rail indu</w:t>
            </w:r>
            <w:r w:rsidRPr="00101477">
              <w:t>stry and rail safety regulation</w:t>
            </w:r>
          </w:p>
        </w:tc>
      </w:tr>
      <w:tr w:rsidTr="0010147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01477">
            <w:pPr>
              <w:pStyle w:val="ListBullet"/>
              <w:rPr>
                <w:lang w:val="en-NZ"/>
              </w:rPr>
            </w:pPr>
            <w:r w:rsidRPr="00101477">
              <w:t xml:space="preserve">Review changing regulatory information </w:t>
            </w:r>
          </w:p>
        </w:tc>
      </w:tr>
      <w:tr w:rsidTr="0010147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101477" w:rsidP="00101477">
            <w:pPr>
              <w:pStyle w:val="ListBullet"/>
            </w:pPr>
            <w:r w:rsidRPr="00101477">
              <w:t>Work ethically in accordance with legislation</w:t>
            </w:r>
          </w:p>
        </w:tc>
      </w:tr>
    </w:tbl>
    <w:p w:rsidR="00000000" w:rsidRPr="00101477" w:rsidP="00101477">
      <w:pPr>
        <w:pStyle w:val="BodyText"/>
      </w:pPr>
    </w:p>
    <w:p w:rsidR="00000000" w:rsidRPr="00101477" w:rsidP="00101477">
      <w:pPr>
        <w:pStyle w:val="AllowPageBreak"/>
      </w:pPr>
    </w:p>
    <w:p w:rsidR="00000000" w:rsidRPr="00101477" w:rsidP="00101477">
      <w:pPr>
        <w:pStyle w:val="Heading1"/>
      </w:pPr>
      <w:bookmarkStart w:id="10" w:name="O_628447"/>
      <w:bookmarkEnd w:id="10"/>
      <w:r w:rsidRPr="00101477">
        <w:t>Evidence Guide</w:t>
      </w:r>
    </w:p>
    <w:tbl>
      <w:tblPr>
        <w:tblW w:w="9640" w:type="dxa"/>
        <w:tblLayout w:type="fixed"/>
        <w:tblCellMar>
          <w:left w:w="62" w:type="dxa"/>
          <w:right w:w="62" w:type="dxa"/>
        </w:tblCellMar>
        <w:tblLook w:val="0000"/>
      </w:tblPr>
      <w:tblGrid>
        <w:gridCol w:w="3338"/>
        <w:gridCol w:w="6302"/>
      </w:tblGrid>
      <w:tr w:rsidTr="00101477">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101477">
            <w:pPr>
              <w:pStyle w:val="BodyText"/>
              <w:rPr>
                <w:lang w:val="en-NZ"/>
              </w:rPr>
            </w:pPr>
            <w:r w:rsidRPr="00101477">
              <w:t>The evidence guide provides advice on assessment and must be read in conjunction with the performance criteria, required knowledge and skills, the range statement and the assessment guidelines for this Training Package.</w:t>
            </w:r>
          </w:p>
        </w:tc>
      </w:tr>
      <w:tr w:rsidTr="00101477">
        <w:tblPrEx>
          <w:tblW w:w="9640" w:type="dxa"/>
          <w:tblLayout w:type="fixed"/>
          <w:tblCellMar>
            <w:left w:w="62" w:type="dxa"/>
            <w:right w:w="62" w:type="dxa"/>
          </w:tblCellMar>
          <w:tblLook w:val="0000"/>
        </w:tblPrEx>
        <w:tc>
          <w:tcPr>
            <w:tcW w:w="3338" w:type="dxa"/>
            <w:tcBorders>
              <w:top w:val="nil"/>
              <w:left w:val="nil"/>
              <w:bottom w:val="nil"/>
              <w:right w:val="nil"/>
            </w:tcBorders>
            <w:tcMar>
              <w:top w:w="0" w:type="dxa"/>
              <w:left w:w="62" w:type="dxa"/>
              <w:bottom w:w="0" w:type="dxa"/>
              <w:right w:w="62" w:type="dxa"/>
            </w:tcMar>
          </w:tcPr>
          <w:p w:rsidR="00000000" w:rsidP="00101477">
            <w:pPr>
              <w:pStyle w:val="BodyText"/>
              <w:rPr>
                <w:lang w:val="en-NZ"/>
              </w:rPr>
            </w:pPr>
            <w:r w:rsidRPr="00101477">
              <w:rPr>
                <w:rStyle w:val="SpecialBold"/>
              </w:rPr>
              <w:t>Critical aspects for assessment an</w:t>
            </w:r>
            <w:r w:rsidRPr="00101477">
              <w:rPr>
                <w:rStyle w:val="SpecialBold"/>
              </w:rPr>
              <w:t>d evidence required to demonstrate competency in this unit</w:t>
            </w:r>
          </w:p>
        </w:tc>
        <w:tc>
          <w:tcPr>
            <w:tcW w:w="6302" w:type="dxa"/>
            <w:tcBorders>
              <w:top w:val="nil"/>
              <w:left w:val="nil"/>
              <w:bottom w:val="nil"/>
              <w:right w:val="nil"/>
            </w:tcBorders>
            <w:tcMar>
              <w:top w:w="0" w:type="dxa"/>
              <w:left w:w="62" w:type="dxa"/>
              <w:bottom w:w="0" w:type="dxa"/>
              <w:right w:w="62" w:type="dxa"/>
            </w:tcMar>
          </w:tcPr>
          <w:p w:rsidR="00000000" w:rsidRPr="00101477" w:rsidP="00101477">
            <w:pPr>
              <w:pStyle w:val="BodyText"/>
            </w:pPr>
            <w:r w:rsidRPr="00101477">
              <w:t>The evidence required to demonstrate competence in this unit must be relevant to and satisfy all of the requirements of the Elements, Performance Criteria, Required Skills, Required Knowledge and i</w:t>
            </w:r>
            <w:r w:rsidRPr="00101477">
              <w:t>nclude demonstration of applying:</w:t>
            </w:r>
          </w:p>
          <w:p w:rsidR="00000000" w:rsidRPr="00101477" w:rsidP="00101477">
            <w:pPr>
              <w:pStyle w:val="ListBullet"/>
            </w:pPr>
            <w:r w:rsidRPr="00101477">
              <w:t>required knowledge and skills</w:t>
            </w:r>
          </w:p>
          <w:p w:rsidR="00000000" w:rsidRPr="00101477" w:rsidP="00101477">
            <w:pPr>
              <w:pStyle w:val="ListBullet"/>
            </w:pPr>
            <w:r w:rsidRPr="00101477">
              <w:t>relevant legislation and workplace procedures</w:t>
            </w:r>
          </w:p>
          <w:p w:rsidR="00000000" w:rsidP="00101477">
            <w:pPr>
              <w:pStyle w:val="ListBullet"/>
              <w:rPr>
                <w:lang w:val="en-NZ"/>
              </w:rPr>
            </w:pPr>
            <w:r w:rsidRPr="00101477">
              <w:t>other relevant aspects of the range statement.</w:t>
            </w:r>
          </w:p>
        </w:tc>
      </w:tr>
      <w:tr w:rsidTr="00101477">
        <w:tblPrEx>
          <w:tblW w:w="9640" w:type="dxa"/>
          <w:tblLayout w:type="fixed"/>
          <w:tblCellMar>
            <w:left w:w="62" w:type="dxa"/>
            <w:right w:w="62" w:type="dxa"/>
          </w:tblCellMar>
          <w:tblLook w:val="0000"/>
        </w:tblPrEx>
        <w:tc>
          <w:tcPr>
            <w:tcW w:w="3338" w:type="dxa"/>
            <w:tcBorders>
              <w:top w:val="nil"/>
              <w:left w:val="nil"/>
              <w:bottom w:val="nil"/>
              <w:right w:val="nil"/>
            </w:tcBorders>
            <w:tcMar>
              <w:top w:w="0" w:type="dxa"/>
              <w:left w:w="62" w:type="dxa"/>
              <w:bottom w:w="0" w:type="dxa"/>
              <w:right w:w="62" w:type="dxa"/>
            </w:tcMar>
          </w:tcPr>
          <w:p w:rsidR="00000000" w:rsidP="00101477">
            <w:pPr>
              <w:pStyle w:val="BodyText"/>
              <w:rPr>
                <w:lang w:val="en-NZ"/>
              </w:rPr>
            </w:pPr>
            <w:r w:rsidRPr="00101477">
              <w:rPr>
                <w:rStyle w:val="SpecialBold"/>
              </w:rPr>
              <w:t>Context of and specific resources for assessment</w:t>
            </w:r>
          </w:p>
        </w:tc>
        <w:tc>
          <w:tcPr>
            <w:tcW w:w="6302" w:type="dxa"/>
            <w:tcBorders>
              <w:top w:val="nil"/>
              <w:left w:val="nil"/>
              <w:bottom w:val="nil"/>
              <w:right w:val="nil"/>
            </w:tcBorders>
            <w:tcMar>
              <w:top w:w="0" w:type="dxa"/>
              <w:left w:w="62" w:type="dxa"/>
              <w:bottom w:w="0" w:type="dxa"/>
              <w:right w:w="62" w:type="dxa"/>
            </w:tcMar>
          </w:tcPr>
          <w:p w:rsidR="00000000" w:rsidRPr="00101477" w:rsidP="00101477">
            <w:pPr>
              <w:pStyle w:val="BodyText"/>
            </w:pPr>
            <w:r w:rsidRPr="00101477">
              <w:t>Performance is demonstrated consistently over time and in a suitable range of contexts.</w:t>
            </w:r>
          </w:p>
          <w:p w:rsidR="00000000" w:rsidRPr="00101477" w:rsidP="00101477">
            <w:pPr>
              <w:pStyle w:val="BodyText"/>
            </w:pPr>
            <w:r w:rsidRPr="00101477">
              <w:t>Resources for assessment include access to:</w:t>
            </w:r>
          </w:p>
          <w:p w:rsidR="00000000" w:rsidRPr="00101477" w:rsidP="00101477">
            <w:pPr>
              <w:pStyle w:val="ListBullet"/>
            </w:pPr>
            <w:r w:rsidRPr="00101477">
              <w:t>a range of relevant exercises, case studies and/or other simulated practical and knowledge assessment, and/or</w:t>
            </w:r>
          </w:p>
          <w:p w:rsidR="00000000" w:rsidRPr="00101477" w:rsidP="00101477">
            <w:pPr>
              <w:pStyle w:val="ListBullet"/>
            </w:pPr>
            <w:r w:rsidRPr="00101477">
              <w:t>an appropriat</w:t>
            </w:r>
            <w:r w:rsidRPr="00101477">
              <w:t>e range of relevant operational situations in the workplace.</w:t>
            </w:r>
          </w:p>
          <w:p w:rsidR="00000000" w:rsidRPr="00101477" w:rsidP="00101477">
            <w:pPr>
              <w:pStyle w:val="BodyText"/>
            </w:pPr>
            <w:r w:rsidRPr="00101477">
              <w:t>In both real and simulated environments, access is required to:</w:t>
            </w:r>
          </w:p>
          <w:p w:rsidR="00000000" w:rsidRPr="00101477" w:rsidP="00101477">
            <w:pPr>
              <w:pStyle w:val="ListBullet"/>
            </w:pPr>
            <w:r w:rsidRPr="00101477">
              <w:t>relevant and appropriate materials and equipment, and</w:t>
            </w:r>
          </w:p>
          <w:p w:rsidR="00000000" w:rsidP="00101477">
            <w:pPr>
              <w:pStyle w:val="ListBullet"/>
              <w:rPr>
                <w:lang w:val="en-NZ"/>
              </w:rPr>
            </w:pPr>
            <w:r w:rsidRPr="00101477">
              <w:t xml:space="preserve">applicable documentation including workplace procedures, regulations, codes </w:t>
            </w:r>
            <w:r w:rsidRPr="00101477">
              <w:t>of practice and operation manuals.</w:t>
            </w:r>
          </w:p>
        </w:tc>
      </w:tr>
      <w:tr w:rsidTr="00101477">
        <w:tblPrEx>
          <w:tblW w:w="9640" w:type="dxa"/>
          <w:tblLayout w:type="fixed"/>
          <w:tblCellMar>
            <w:left w:w="62" w:type="dxa"/>
            <w:right w:w="62" w:type="dxa"/>
          </w:tblCellMar>
          <w:tblLook w:val="0000"/>
        </w:tblPrEx>
        <w:tc>
          <w:tcPr>
            <w:tcW w:w="3338" w:type="dxa"/>
            <w:tcBorders>
              <w:top w:val="nil"/>
              <w:left w:val="nil"/>
              <w:bottom w:val="nil"/>
              <w:right w:val="nil"/>
            </w:tcBorders>
            <w:tcMar>
              <w:top w:w="0" w:type="dxa"/>
              <w:left w:w="62" w:type="dxa"/>
              <w:bottom w:w="0" w:type="dxa"/>
              <w:right w:w="62" w:type="dxa"/>
            </w:tcMar>
          </w:tcPr>
          <w:p w:rsidR="00000000" w:rsidP="00101477">
            <w:pPr>
              <w:pStyle w:val="BodyText"/>
              <w:rPr>
                <w:lang w:val="en-NZ"/>
              </w:rPr>
            </w:pPr>
            <w:r w:rsidRPr="00101477">
              <w:rPr>
                <w:rStyle w:val="SpecialBold"/>
              </w:rPr>
              <w:t>Method of assessment</w:t>
            </w:r>
          </w:p>
        </w:tc>
        <w:tc>
          <w:tcPr>
            <w:tcW w:w="6302" w:type="dxa"/>
            <w:tcBorders>
              <w:top w:val="nil"/>
              <w:left w:val="nil"/>
              <w:bottom w:val="nil"/>
              <w:right w:val="nil"/>
            </w:tcBorders>
            <w:tcMar>
              <w:top w:w="0" w:type="dxa"/>
              <w:left w:w="62" w:type="dxa"/>
              <w:bottom w:w="0" w:type="dxa"/>
              <w:right w:w="62" w:type="dxa"/>
            </w:tcMar>
          </w:tcPr>
          <w:p w:rsidR="00000000" w:rsidRPr="00101477" w:rsidP="00101477">
            <w:pPr>
              <w:pStyle w:val="BodyText"/>
            </w:pPr>
            <w:r w:rsidRPr="00101477">
              <w:t>As a minimum, assessment of knowledge must be conducted through appropriate written/oral tests</w:t>
            </w:r>
          </w:p>
          <w:p w:rsidR="00000000" w:rsidRPr="00101477" w:rsidP="00101477">
            <w:pPr>
              <w:pStyle w:val="BodyText"/>
            </w:pPr>
            <w:r w:rsidRPr="00101477">
              <w:t>Practical assessment must occur:</w:t>
            </w:r>
          </w:p>
          <w:p w:rsidR="00000000" w:rsidRPr="00101477" w:rsidP="00101477">
            <w:pPr>
              <w:pStyle w:val="ListBullet"/>
            </w:pPr>
            <w:r w:rsidRPr="00101477">
              <w:t>through activities in an appropriately simulated environment, and/or</w:t>
            </w:r>
          </w:p>
          <w:p w:rsidR="00000000" w:rsidRPr="00101477" w:rsidP="00101477">
            <w:pPr>
              <w:pStyle w:val="ListBullet"/>
            </w:pPr>
            <w:r w:rsidRPr="00101477">
              <w:t>i</w:t>
            </w:r>
            <w:r w:rsidRPr="00101477">
              <w:t>n an appropriate range of situations in the workplace.</w:t>
            </w:r>
          </w:p>
        </w:tc>
      </w:tr>
    </w:tbl>
    <w:p w:rsidR="00000000" w:rsidRPr="00101477" w:rsidP="00101477">
      <w:pPr>
        <w:pStyle w:val="BodyText"/>
      </w:pPr>
    </w:p>
    <w:p w:rsidR="00000000" w:rsidRPr="00101477" w:rsidP="00101477">
      <w:pPr>
        <w:pStyle w:val="AllowPageBreak"/>
      </w:pPr>
    </w:p>
    <w:p w:rsidR="00000000" w:rsidRPr="00101477" w:rsidP="00101477">
      <w:pPr>
        <w:pStyle w:val="Heading1"/>
      </w:pPr>
      <w:bookmarkStart w:id="11" w:name="O_628448"/>
      <w:bookmarkEnd w:id="11"/>
      <w:r w:rsidRPr="00101477">
        <w:t>Range Statement</w:t>
      </w:r>
    </w:p>
    <w:tbl>
      <w:tblPr>
        <w:tblW w:w="0" w:type="auto"/>
        <w:tblCellMar>
          <w:left w:w="62" w:type="dxa"/>
          <w:right w:w="62" w:type="dxa"/>
        </w:tblCellMar>
        <w:tblLook w:val="0000"/>
      </w:tblPr>
      <w:tblGrid>
        <w:gridCol w:w="2586"/>
        <w:gridCol w:w="6610"/>
      </w:tblGrid>
      <w:tr w:rsidTr="00D561E6">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101477">
            <w:pPr>
              <w:pStyle w:val="BodyText"/>
              <w:rPr>
                <w:lang w:val="en-NZ"/>
              </w:rPr>
            </w:pPr>
            <w:r w:rsidRPr="00101477">
              <w:t>The range statement relates to the unit of competency as a whole. It allows for different work environments and situations that may affect performance.</w:t>
            </w:r>
          </w:p>
        </w:tc>
      </w:tr>
      <w:tr w:rsidTr="00D561E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01477">
            <w:pPr>
              <w:pStyle w:val="BodyText"/>
              <w:rPr>
                <w:lang w:val="en-NZ"/>
              </w:rPr>
            </w:pPr>
            <w:r w:rsidRPr="00101477">
              <w:t>Fixed assets may include:</w:t>
            </w:r>
          </w:p>
        </w:tc>
        <w:tc>
          <w:tcPr>
            <w:tcW w:w="0" w:type="auto"/>
            <w:tcBorders>
              <w:top w:val="nil"/>
              <w:left w:val="nil"/>
              <w:bottom w:val="nil"/>
              <w:right w:val="nil"/>
            </w:tcBorders>
            <w:tcMar>
              <w:top w:w="0" w:type="dxa"/>
              <w:left w:w="62" w:type="dxa"/>
              <w:bottom w:w="0" w:type="dxa"/>
              <w:right w:w="62" w:type="dxa"/>
            </w:tcMar>
          </w:tcPr>
          <w:p w:rsidR="00000000" w:rsidRPr="00101477" w:rsidP="00101477">
            <w:pPr>
              <w:pStyle w:val="ListBullet"/>
            </w:pPr>
            <w:r w:rsidRPr="00101477">
              <w:t>bridges</w:t>
            </w:r>
          </w:p>
          <w:p w:rsidR="00000000" w:rsidRPr="00101477" w:rsidP="00101477">
            <w:pPr>
              <w:pStyle w:val="ListBullet"/>
            </w:pPr>
            <w:r w:rsidRPr="00101477">
              <w:t>cuttings</w:t>
            </w:r>
          </w:p>
          <w:p w:rsidR="00000000" w:rsidRPr="00101477" w:rsidP="00101477">
            <w:pPr>
              <w:pStyle w:val="ListBullet"/>
            </w:pPr>
            <w:r w:rsidRPr="00101477">
              <w:t>level crossings and equipment</w:t>
            </w:r>
          </w:p>
          <w:p w:rsidR="00000000" w:rsidRPr="00101477" w:rsidP="00101477">
            <w:pPr>
              <w:pStyle w:val="ListBullet"/>
            </w:pPr>
            <w:r w:rsidRPr="00101477">
              <w:t>sidings</w:t>
            </w:r>
          </w:p>
          <w:p w:rsidR="00000000" w:rsidRPr="00101477" w:rsidP="00101477">
            <w:pPr>
              <w:pStyle w:val="ListBullet"/>
            </w:pPr>
            <w:r w:rsidRPr="00101477">
              <w:t>signals</w:t>
            </w:r>
          </w:p>
          <w:p w:rsidR="00000000" w:rsidRPr="00101477" w:rsidP="00101477">
            <w:pPr>
              <w:pStyle w:val="ListBullet"/>
            </w:pPr>
            <w:r w:rsidRPr="00101477">
              <w:t>signs and boards</w:t>
            </w:r>
          </w:p>
          <w:p w:rsidR="00000000" w:rsidRPr="00101477" w:rsidP="00101477">
            <w:pPr>
              <w:pStyle w:val="ListBullet"/>
            </w:pPr>
            <w:r w:rsidRPr="00101477">
              <w:t>stations and platforms</w:t>
            </w:r>
          </w:p>
          <w:p w:rsidR="00000000" w:rsidP="00101477">
            <w:pPr>
              <w:pStyle w:val="ListBullet"/>
              <w:rPr>
                <w:lang w:val="en-NZ"/>
              </w:rPr>
            </w:pPr>
            <w:r w:rsidRPr="00101477">
              <w:t>tunnels</w:t>
            </w:r>
          </w:p>
        </w:tc>
      </w:tr>
      <w:tr w:rsidTr="00D561E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01477">
            <w:pPr>
              <w:pStyle w:val="BodyText"/>
              <w:rPr>
                <w:lang w:val="en-NZ"/>
              </w:rPr>
            </w:pPr>
            <w:r w:rsidRPr="00101477">
              <w:t>Rail operation assets may include:</w:t>
            </w:r>
          </w:p>
        </w:tc>
        <w:tc>
          <w:tcPr>
            <w:tcW w:w="0" w:type="auto"/>
            <w:tcBorders>
              <w:top w:val="nil"/>
              <w:left w:val="nil"/>
              <w:bottom w:val="nil"/>
              <w:right w:val="nil"/>
            </w:tcBorders>
            <w:tcMar>
              <w:top w:w="0" w:type="dxa"/>
              <w:left w:w="62" w:type="dxa"/>
              <w:bottom w:w="0" w:type="dxa"/>
              <w:right w:w="62" w:type="dxa"/>
            </w:tcMar>
          </w:tcPr>
          <w:p w:rsidR="00000000" w:rsidRPr="00101477" w:rsidP="00101477">
            <w:pPr>
              <w:pStyle w:val="ListBullet"/>
            </w:pPr>
            <w:r w:rsidRPr="00101477">
              <w:t>buildings</w:t>
            </w:r>
          </w:p>
          <w:p w:rsidR="00000000" w:rsidRPr="00101477" w:rsidP="00101477">
            <w:pPr>
              <w:pStyle w:val="ListBullet"/>
            </w:pPr>
            <w:r w:rsidRPr="00101477">
              <w:t>carriages</w:t>
            </w:r>
          </w:p>
          <w:p w:rsidR="00000000" w:rsidRPr="00101477" w:rsidP="00101477">
            <w:pPr>
              <w:pStyle w:val="ListBullet"/>
            </w:pPr>
            <w:r w:rsidRPr="00101477">
              <w:t>diesel multiple units (DMU)</w:t>
            </w:r>
          </w:p>
          <w:p w:rsidR="00000000" w:rsidRPr="00101477" w:rsidP="00101477">
            <w:pPr>
              <w:pStyle w:val="ListBullet"/>
            </w:pPr>
            <w:r w:rsidRPr="00101477">
              <w:t>electric multiple units (EMU)</w:t>
            </w:r>
          </w:p>
          <w:p w:rsidR="00000000" w:rsidRPr="00101477" w:rsidP="00101477">
            <w:pPr>
              <w:pStyle w:val="ListBullet"/>
            </w:pPr>
            <w:r w:rsidRPr="00101477">
              <w:t>locomotives</w:t>
            </w:r>
          </w:p>
          <w:p w:rsidR="00000000" w:rsidRPr="00101477" w:rsidP="00101477">
            <w:pPr>
              <w:pStyle w:val="ListBullet"/>
            </w:pPr>
            <w:r w:rsidRPr="00101477">
              <w:t xml:space="preserve">maintenance facilities </w:t>
            </w:r>
          </w:p>
          <w:p w:rsidR="00000000" w:rsidRPr="00101477" w:rsidP="00101477">
            <w:pPr>
              <w:pStyle w:val="ListBullet"/>
            </w:pPr>
            <w:r w:rsidRPr="00101477">
              <w:t>operating equipment</w:t>
            </w:r>
          </w:p>
          <w:p w:rsidR="00000000" w:rsidRPr="00101477" w:rsidP="00101477">
            <w:pPr>
              <w:pStyle w:val="ListBullet"/>
            </w:pPr>
            <w:r w:rsidRPr="00101477">
              <w:t>rolling stock</w:t>
            </w:r>
          </w:p>
          <w:p w:rsidR="00000000" w:rsidP="00101477">
            <w:pPr>
              <w:pStyle w:val="ListBullet"/>
              <w:rPr>
                <w:lang w:val="en-NZ"/>
              </w:rPr>
            </w:pPr>
            <w:r w:rsidRPr="00101477">
              <w:t>stations</w:t>
            </w:r>
          </w:p>
        </w:tc>
      </w:tr>
      <w:tr w:rsidTr="00D561E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01477">
            <w:pPr>
              <w:pStyle w:val="BodyText"/>
              <w:rPr>
                <w:lang w:val="en-NZ"/>
              </w:rPr>
            </w:pPr>
            <w:r w:rsidRPr="00101477">
              <w:t>Defects and problems may include:</w:t>
            </w:r>
          </w:p>
        </w:tc>
        <w:tc>
          <w:tcPr>
            <w:tcW w:w="0" w:type="auto"/>
            <w:tcBorders>
              <w:top w:val="nil"/>
              <w:left w:val="nil"/>
              <w:bottom w:val="nil"/>
              <w:right w:val="nil"/>
            </w:tcBorders>
            <w:tcMar>
              <w:top w:w="0" w:type="dxa"/>
              <w:left w:w="62" w:type="dxa"/>
              <w:bottom w:w="0" w:type="dxa"/>
              <w:right w:w="62" w:type="dxa"/>
            </w:tcMar>
          </w:tcPr>
          <w:p w:rsidR="00000000" w:rsidRPr="00101477" w:rsidP="00101477">
            <w:pPr>
              <w:pStyle w:val="ListBullet"/>
            </w:pPr>
            <w:r w:rsidRPr="00101477">
              <w:t>poor rail condition including:</w:t>
            </w:r>
          </w:p>
          <w:p w:rsidR="00000000" w:rsidRPr="00101477" w:rsidP="00101477">
            <w:pPr>
              <w:pStyle w:val="ListBullet2"/>
            </w:pPr>
            <w:r w:rsidRPr="00101477">
              <w:t>checking defects</w:t>
            </w:r>
          </w:p>
          <w:p w:rsidR="00000000" w:rsidRPr="00101477" w:rsidP="00101477">
            <w:pPr>
              <w:pStyle w:val="ListBullet2"/>
            </w:pPr>
            <w:r w:rsidRPr="00101477">
              <w:t>corrugations</w:t>
            </w:r>
          </w:p>
          <w:p w:rsidR="00000000" w:rsidRPr="00101477" w:rsidP="00101477">
            <w:pPr>
              <w:pStyle w:val="ListBullet2"/>
            </w:pPr>
            <w:r w:rsidRPr="00101477">
              <w:t>rolling contact fatigue</w:t>
            </w:r>
          </w:p>
          <w:p w:rsidR="00000000" w:rsidRPr="00101477" w:rsidP="00101477">
            <w:pPr>
              <w:pStyle w:val="ListBullet2"/>
            </w:pPr>
            <w:r w:rsidRPr="00101477">
              <w:t>manufacturing defects</w:t>
            </w:r>
          </w:p>
          <w:p w:rsidR="00000000" w:rsidRPr="00101477" w:rsidP="00101477">
            <w:pPr>
              <w:pStyle w:val="ListBullet2"/>
            </w:pPr>
            <w:r w:rsidRPr="00101477">
              <w:t>shelling</w:t>
            </w:r>
          </w:p>
          <w:p w:rsidR="00000000" w:rsidRPr="00101477" w:rsidP="00101477">
            <w:pPr>
              <w:pStyle w:val="ListBullet2"/>
            </w:pPr>
            <w:r w:rsidRPr="00101477">
              <w:t>squats</w:t>
            </w:r>
          </w:p>
          <w:p w:rsidR="00000000" w:rsidRPr="00101477" w:rsidP="00101477">
            <w:pPr>
              <w:pStyle w:val="ListBullet2"/>
            </w:pPr>
            <w:r w:rsidRPr="00101477">
              <w:t>wheel burn</w:t>
            </w:r>
          </w:p>
          <w:p w:rsidR="00000000" w:rsidRPr="00101477" w:rsidP="00101477">
            <w:pPr>
              <w:pStyle w:val="ListBullet2"/>
            </w:pPr>
            <w:r w:rsidRPr="00101477">
              <w:t>wheel slip defects</w:t>
            </w:r>
          </w:p>
          <w:p w:rsidR="00000000" w:rsidRPr="00101477" w:rsidP="00101477">
            <w:pPr>
              <w:pStyle w:val="ListBullet"/>
            </w:pPr>
            <w:r w:rsidRPr="00101477">
              <w:t>poor wheel condition including:</w:t>
            </w:r>
          </w:p>
          <w:p w:rsidR="00000000" w:rsidRPr="00101477" w:rsidP="00101477">
            <w:pPr>
              <w:pStyle w:val="ListBullet2"/>
            </w:pPr>
            <w:r w:rsidRPr="00101477">
              <w:t>arris</w:t>
            </w:r>
          </w:p>
          <w:p w:rsidR="00000000" w:rsidRPr="00101477" w:rsidP="00101477">
            <w:pPr>
              <w:pStyle w:val="ListBullet2"/>
            </w:pPr>
            <w:r w:rsidRPr="00101477">
              <w:t>cracks</w:t>
            </w:r>
          </w:p>
          <w:p w:rsidR="00000000" w:rsidRPr="00101477" w:rsidP="00101477">
            <w:pPr>
              <w:pStyle w:val="ListBullet2"/>
            </w:pPr>
            <w:r w:rsidRPr="00101477">
              <w:t xml:space="preserve">hollow tread </w:t>
            </w:r>
          </w:p>
          <w:p w:rsidR="00000000" w:rsidRPr="00101477" w:rsidP="00101477">
            <w:pPr>
              <w:pStyle w:val="ListBullet2"/>
            </w:pPr>
            <w:r w:rsidRPr="00101477">
              <w:t>scaling</w:t>
            </w:r>
          </w:p>
          <w:p w:rsidR="00000000" w:rsidRPr="00101477" w:rsidP="00101477">
            <w:pPr>
              <w:pStyle w:val="ListBullet2"/>
            </w:pPr>
            <w:r w:rsidRPr="00101477">
              <w:t>skidded wheels</w:t>
            </w:r>
          </w:p>
          <w:p w:rsidR="00000000" w:rsidRPr="00101477" w:rsidP="00101477">
            <w:pPr>
              <w:pStyle w:val="ListBullet2"/>
            </w:pPr>
            <w:r w:rsidRPr="00101477">
              <w:t>spalling</w:t>
            </w:r>
          </w:p>
        </w:tc>
      </w:tr>
    </w:tbl>
    <w:p w:rsidR="00000000" w:rsidRPr="00101477" w:rsidP="00101477">
      <w:pPr>
        <w:pStyle w:val="BodyText"/>
      </w:pPr>
    </w:p>
    <w:p w:rsidR="00000000" w:rsidRPr="00101477" w:rsidP="00101477">
      <w:pPr>
        <w:pStyle w:val="AllowPageBreak"/>
      </w:pPr>
    </w:p>
    <w:p w:rsidR="00000000" w:rsidRPr="00101477" w:rsidP="00101477">
      <w:pPr>
        <w:pStyle w:val="Heading1"/>
      </w:pPr>
      <w:bookmarkStart w:id="12" w:name="O_628449"/>
      <w:bookmarkEnd w:id="12"/>
      <w:r w:rsidRPr="00101477">
        <w:t>Unit Sector(s)</w:t>
      </w:r>
    </w:p>
    <w:p w:rsidR="00000000" w:rsidRPr="00101477" w:rsidP="00101477">
      <w:pPr>
        <w:pStyle w:val="BodyText"/>
      </w:pPr>
      <w:r w:rsidRPr="00101477">
        <w:t>Not applicable.</w:t>
      </w:r>
    </w:p>
    <w:p w:rsidR="00000000" w:rsidRPr="00101477" w:rsidP="00101477">
      <w:pPr>
        <w:pStyle w:val="AllowPageBreak"/>
      </w:pPr>
    </w:p>
    <w:p w:rsidR="00000000" w:rsidRPr="00101477" w:rsidP="00101477">
      <w:pPr>
        <w:pStyle w:val="Heading1"/>
      </w:pPr>
      <w:bookmarkStart w:id="13" w:name="O_628450"/>
      <w:bookmarkEnd w:id="13"/>
      <w:r w:rsidRPr="00101477">
        <w:t>Competency Field</w:t>
      </w:r>
    </w:p>
    <w:p w:rsidR="00000000" w:rsidRPr="00101477" w:rsidP="00101477">
      <w:pPr>
        <w:pStyle w:val="BodyText"/>
      </w:pPr>
      <w:r w:rsidRPr="00101477">
        <w:t>W – Equipment and Systems Operations</w:t>
      </w:r>
    </w:p>
    <w:p w:rsidR="00000000" w:rsidRPr="00101477" w:rsidP="00101477"/>
    <w:sectPr w:rsidSect="0010147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147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1477" w:rsidRPr="00D561E6" w:rsidP="00D561E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147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61E6" w:rsidP="0010147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9</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D561E6" w:rsidP="00101477">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D561E6" w:rsidP="0010147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147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1477" w:rsidRPr="00D561E6" w:rsidP="00D561E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147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61E6" w:rsidRPr="002D2AF8" w:rsidP="00101477">
    <w:pPr>
      <w:pStyle w:val="Header"/>
      <w:framePr w:wrap="around"/>
    </w:pPr>
    <w:r>
      <w:fldChar w:fldCharType="begin"/>
    </w:r>
    <w:r>
      <w:instrText xml:space="preserve"> TITLE   \* MERGEFORMAT </w:instrText>
    </w:r>
    <w:r>
      <w:fldChar w:fldCharType="separate"/>
    </w:r>
    <w:r>
      <w:t>TLIW5002A Manage rail assets and interfaces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2013</w:t>
    </w:r>
    <w:r>
      <w:fldChar w:fldCharType="end"/>
    </w:r>
  </w:p>
  <w:p w:rsidR="00D561E6" w:rsidP="0010147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CBA7B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2C0C6F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C5AF3F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147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01477"/>
    <w:pPr>
      <w:spacing w:before="360" w:after="60"/>
      <w:outlineLvl w:val="0"/>
    </w:pPr>
    <w:rPr>
      <w:sz w:val="32"/>
    </w:rPr>
  </w:style>
  <w:style w:type="paragraph" w:styleId="Heading2">
    <w:name w:val="heading 2"/>
    <w:basedOn w:val="HeadingBase"/>
    <w:next w:val="BodyText"/>
    <w:link w:val="Heading2Char"/>
    <w:qFormat/>
    <w:rsid w:val="00101477"/>
    <w:pPr>
      <w:keepLines/>
      <w:spacing w:before="240" w:after="120"/>
      <w:outlineLvl w:val="1"/>
    </w:pPr>
    <w:rPr>
      <w:sz w:val="28"/>
      <w:szCs w:val="40"/>
    </w:rPr>
  </w:style>
  <w:style w:type="paragraph" w:styleId="Heading3">
    <w:name w:val="heading 3"/>
    <w:basedOn w:val="HeadingBase"/>
    <w:next w:val="BodyText"/>
    <w:link w:val="Heading3Char"/>
    <w:qFormat/>
    <w:rsid w:val="00101477"/>
    <w:pPr>
      <w:spacing w:before="180" w:after="120"/>
      <w:outlineLvl w:val="2"/>
    </w:pPr>
    <w:rPr>
      <w:spacing w:val="-10"/>
      <w:kern w:val="32"/>
    </w:rPr>
  </w:style>
  <w:style w:type="paragraph" w:styleId="Heading4">
    <w:name w:val="heading 4"/>
    <w:basedOn w:val="HeadingBase"/>
    <w:next w:val="BodyText"/>
    <w:link w:val="Heading4Char"/>
    <w:qFormat/>
    <w:rsid w:val="00101477"/>
    <w:pPr>
      <w:spacing w:before="160" w:after="120"/>
      <w:outlineLvl w:val="3"/>
    </w:pPr>
    <w:rPr>
      <w:sz w:val="22"/>
    </w:rPr>
  </w:style>
  <w:style w:type="paragraph" w:styleId="Heading5">
    <w:name w:val="heading 5"/>
    <w:basedOn w:val="HeadingBase"/>
    <w:next w:val="Normal"/>
    <w:link w:val="Heading5Char"/>
    <w:qFormat/>
    <w:rsid w:val="00101477"/>
    <w:pPr>
      <w:spacing w:before="80"/>
      <w:outlineLvl w:val="4"/>
    </w:pPr>
    <w:rPr>
      <w:color w:val="918585"/>
      <w:sz w:val="20"/>
    </w:rPr>
  </w:style>
  <w:style w:type="paragraph" w:styleId="Heading6">
    <w:name w:val="heading 6"/>
    <w:basedOn w:val="HeadingBase"/>
    <w:next w:val="Normal"/>
    <w:link w:val="Heading6Char"/>
    <w:qFormat/>
    <w:rsid w:val="00101477"/>
    <w:pPr>
      <w:spacing w:before="60"/>
      <w:outlineLvl w:val="5"/>
    </w:pPr>
    <w:rPr>
      <w:color w:val="918585"/>
      <w:sz w:val="20"/>
    </w:rPr>
  </w:style>
  <w:style w:type="paragraph" w:styleId="Heading7">
    <w:name w:val="heading 7"/>
    <w:basedOn w:val="Normal"/>
    <w:next w:val="Normal"/>
    <w:link w:val="Heading7Char"/>
    <w:qFormat/>
    <w:rsid w:val="00101477"/>
    <w:pPr>
      <w:ind w:left="720"/>
      <w:outlineLvl w:val="6"/>
    </w:pPr>
    <w:rPr>
      <w:i/>
    </w:rPr>
  </w:style>
  <w:style w:type="paragraph" w:styleId="Heading8">
    <w:name w:val="heading 8"/>
    <w:basedOn w:val="Normal"/>
    <w:next w:val="Normal"/>
    <w:link w:val="Heading8Char"/>
    <w:qFormat/>
    <w:rsid w:val="00101477"/>
    <w:pPr>
      <w:ind w:left="720"/>
      <w:outlineLvl w:val="7"/>
    </w:pPr>
    <w:rPr>
      <w:i/>
    </w:rPr>
  </w:style>
  <w:style w:type="paragraph" w:styleId="Heading9">
    <w:name w:val="heading 9"/>
    <w:basedOn w:val="Normal"/>
    <w:next w:val="Normal"/>
    <w:link w:val="Heading9Char"/>
    <w:qFormat/>
    <w:rsid w:val="00101477"/>
    <w:pPr>
      <w:ind w:left="720"/>
      <w:outlineLvl w:val="8"/>
    </w:pPr>
    <w:rPr>
      <w:i/>
    </w:rPr>
  </w:style>
  <w:style w:type="character" w:default="1" w:styleId="DefaultParagraphFont">
    <w:name w:val="Default Paragraph Font"/>
    <w:uiPriority w:val="1"/>
    <w:unhideWhenUsed/>
    <w:rsid w:val="0010147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01477"/>
  </w:style>
  <w:style w:type="character" w:customStyle="1" w:styleId="Heading1Char">
    <w:name w:val="Heading 1 Char"/>
    <w:basedOn w:val="DefaultParagraphFont"/>
    <w:link w:val="Heading1"/>
    <w:rsid w:val="00101477"/>
    <w:rPr>
      <w:rFonts w:ascii="Times New Roman" w:eastAsia="Times New Roman" w:hAnsi="Times New Roman" w:cs="Times New Roman"/>
      <w:b/>
      <w:sz w:val="32"/>
      <w:szCs w:val="20"/>
      <w:lang w:eastAsia="en-US"/>
    </w:rPr>
  </w:style>
  <w:style w:type="paragraph" w:styleId="BodyText">
    <w:name w:val="Body Text"/>
    <w:basedOn w:val="Normal"/>
    <w:link w:val="BodyTextChar"/>
    <w:rsid w:val="0010147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01477"/>
    <w:rPr>
      <w:rFonts w:ascii="Times New Roman" w:eastAsia="Times New Roman" w:hAnsi="Times New Roman" w:cs="Times New Roman"/>
      <w:sz w:val="24"/>
      <w:lang w:eastAsia="en-US"/>
    </w:rPr>
  </w:style>
  <w:style w:type="paragraph" w:styleId="ListBullet">
    <w:name w:val="List Bullet"/>
    <w:basedOn w:val="List"/>
    <w:rsid w:val="00101477"/>
    <w:pPr>
      <w:numPr>
        <w:numId w:val="13"/>
      </w:numPr>
      <w:tabs>
        <w:tab w:val="clear" w:pos="340"/>
      </w:tabs>
      <w:spacing w:before="40" w:after="40"/>
    </w:pPr>
  </w:style>
  <w:style w:type="character" w:customStyle="1" w:styleId="SpecialBold">
    <w:name w:val="Special Bold"/>
    <w:basedOn w:val="DefaultParagraphFont"/>
    <w:rsid w:val="00101477"/>
    <w:rPr>
      <w:b/>
      <w:spacing w:val="0"/>
    </w:rPr>
  </w:style>
  <w:style w:type="paragraph" w:styleId="ListBullet2">
    <w:name w:val="List Bullet 2"/>
    <w:basedOn w:val="List2"/>
    <w:rsid w:val="00101477"/>
    <w:pPr>
      <w:numPr>
        <w:numId w:val="14"/>
      </w:numPr>
      <w:tabs>
        <w:tab w:val="clear" w:pos="680"/>
      </w:tabs>
    </w:pPr>
  </w:style>
  <w:style w:type="paragraph" w:customStyle="1" w:styleId="SuperHeading">
    <w:name w:val="SuperHeading"/>
    <w:basedOn w:val="Normal"/>
    <w:rsid w:val="00101477"/>
    <w:pPr>
      <w:spacing w:before="240" w:after="120"/>
      <w:outlineLvl w:val="0"/>
    </w:pPr>
    <w:rPr>
      <w:rFonts w:ascii="Times New Roman" w:hAnsi="Times New Roman"/>
      <w:b/>
      <w:sz w:val="32"/>
    </w:rPr>
  </w:style>
  <w:style w:type="paragraph" w:customStyle="1" w:styleId="AllowPageBreak">
    <w:name w:val="AllowPageBreak"/>
    <w:rsid w:val="0010147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0147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0147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0147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0147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0147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0147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0147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01477"/>
    <w:rPr>
      <w:rFonts w:ascii="Courier New" w:eastAsia="Times New Roman" w:hAnsi="Courier New" w:cs="Times New Roman"/>
      <w:i/>
      <w:szCs w:val="20"/>
      <w:lang w:eastAsia="en-US"/>
    </w:rPr>
  </w:style>
  <w:style w:type="paragraph" w:customStyle="1" w:styleId="HeadingBase">
    <w:name w:val="Heading Base"/>
    <w:rsid w:val="0010147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01477"/>
    <w:pPr>
      <w:tabs>
        <w:tab w:val="right" w:leader="dot" w:pos="9072"/>
      </w:tabs>
      <w:ind w:left="567"/>
    </w:pPr>
    <w:rPr>
      <w:szCs w:val="22"/>
    </w:rPr>
  </w:style>
  <w:style w:type="paragraph" w:customStyle="1" w:styleId="TOCBase">
    <w:name w:val="TOC Base"/>
    <w:rsid w:val="0010147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01477"/>
    <w:pPr>
      <w:tabs>
        <w:tab w:val="right" w:leader="dot" w:pos="9072"/>
      </w:tabs>
      <w:spacing w:before="40" w:after="40"/>
      <w:ind w:left="284"/>
    </w:pPr>
    <w:rPr>
      <w:rFonts w:ascii="Times New Roman" w:hAnsi="Times New Roman"/>
    </w:rPr>
  </w:style>
  <w:style w:type="paragraph" w:styleId="TOC1">
    <w:name w:val="toc 1"/>
    <w:basedOn w:val="TOCBase"/>
    <w:next w:val="Normal"/>
    <w:rsid w:val="0010147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0147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01477"/>
    <w:rPr>
      <w:rFonts w:ascii="Times New Roman" w:eastAsia="Times New Roman" w:hAnsi="Times New Roman" w:cs="Times New Roman"/>
      <w:sz w:val="16"/>
      <w:lang w:eastAsia="en-US"/>
    </w:rPr>
  </w:style>
  <w:style w:type="paragraph" w:styleId="Title">
    <w:name w:val="Title"/>
    <w:basedOn w:val="HeadingBase"/>
    <w:link w:val="TitleChar"/>
    <w:qFormat/>
    <w:rsid w:val="00101477"/>
    <w:pPr>
      <w:spacing w:before="5040"/>
      <w:jc w:val="center"/>
    </w:pPr>
    <w:rPr>
      <w:sz w:val="48"/>
      <w:szCs w:val="72"/>
      <w:lang w:val="en-US"/>
    </w:rPr>
  </w:style>
  <w:style w:type="character" w:customStyle="1" w:styleId="TitleChar">
    <w:name w:val="Title Char"/>
    <w:basedOn w:val="DefaultParagraphFont"/>
    <w:link w:val="Title"/>
    <w:rsid w:val="0010147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01477"/>
    <w:pPr>
      <w:tabs>
        <w:tab w:val="left" w:pos="3600"/>
        <w:tab w:val="left" w:pos="3958"/>
      </w:tabs>
    </w:pPr>
  </w:style>
  <w:style w:type="paragraph" w:styleId="List">
    <w:name w:val="List"/>
    <w:basedOn w:val="BodyText"/>
    <w:next w:val="BodyText"/>
    <w:rsid w:val="00101477"/>
    <w:pPr>
      <w:tabs>
        <w:tab w:val="left" w:pos="340"/>
      </w:tabs>
      <w:spacing w:before="60" w:after="60"/>
      <w:ind w:left="340" w:hanging="340"/>
    </w:pPr>
  </w:style>
  <w:style w:type="paragraph" w:customStyle="1" w:styleId="Note">
    <w:name w:val="Note"/>
    <w:basedOn w:val="BodyText"/>
    <w:rsid w:val="0010147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01477"/>
    <w:pPr>
      <w:framePr w:wrap="auto" w:hAnchor="text" w:y="6049"/>
    </w:pPr>
    <w:rPr>
      <w:color w:val="000000"/>
      <w:sz w:val="40"/>
    </w:rPr>
  </w:style>
  <w:style w:type="paragraph" w:customStyle="1" w:styleId="TOCTitle">
    <w:name w:val="TOCTitle"/>
    <w:basedOn w:val="Heading1"/>
    <w:rsid w:val="00101477"/>
    <w:pPr>
      <w:spacing w:after="240"/>
      <w:jc w:val="center"/>
      <w:outlineLvl w:val="9"/>
    </w:pPr>
    <w:rPr>
      <w:caps/>
    </w:rPr>
  </w:style>
  <w:style w:type="paragraph" w:customStyle="1" w:styleId="Version">
    <w:name w:val="Version"/>
    <w:rsid w:val="0010147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01477"/>
    <w:pPr>
      <w:keepNext w:val="0"/>
      <w:tabs>
        <w:tab w:val="right" w:pos="4176"/>
      </w:tabs>
      <w:ind w:left="198" w:hanging="198"/>
    </w:pPr>
    <w:rPr>
      <w:rFonts w:ascii="Garamond" w:hAnsi="Garamond"/>
    </w:rPr>
  </w:style>
  <w:style w:type="paragraph" w:styleId="IndexHeading">
    <w:name w:val="index heading"/>
    <w:basedOn w:val="Normal"/>
    <w:next w:val="Index1"/>
    <w:semiHidden/>
    <w:rsid w:val="00101477"/>
    <w:pPr>
      <w:spacing w:before="120" w:after="120"/>
    </w:pPr>
    <w:rPr>
      <w:rFonts w:ascii="Arial" w:hAnsi="Arial"/>
      <w:b/>
      <w:color w:val="918585"/>
      <w:sz w:val="24"/>
    </w:rPr>
  </w:style>
  <w:style w:type="paragraph" w:styleId="Header">
    <w:name w:val="header"/>
    <w:basedOn w:val="Normal"/>
    <w:link w:val="HeaderChar"/>
    <w:rsid w:val="0010147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01477"/>
    <w:rPr>
      <w:rFonts w:ascii="Times New Roman" w:eastAsia="Times New Roman" w:hAnsi="Times New Roman" w:cs="Times New Roman"/>
      <w:sz w:val="16"/>
      <w:szCs w:val="20"/>
      <w:lang w:val="en-GB" w:eastAsia="en-US"/>
    </w:rPr>
  </w:style>
  <w:style w:type="paragraph" w:customStyle="1" w:styleId="Chapter">
    <w:name w:val="Chapter"/>
    <w:basedOn w:val="Normal"/>
    <w:rsid w:val="00101477"/>
    <w:pPr>
      <w:spacing w:before="240"/>
    </w:pPr>
    <w:rPr>
      <w:rFonts w:ascii="Times New Roman" w:hAnsi="Times New Roman"/>
      <w:smallCaps/>
      <w:spacing w:val="80"/>
      <w:sz w:val="28"/>
    </w:rPr>
  </w:style>
  <w:style w:type="paragraph" w:customStyle="1" w:styleId="InChapter">
    <w:name w:val="InChapter"/>
    <w:basedOn w:val="Heading3"/>
    <w:rsid w:val="00101477"/>
    <w:pPr>
      <w:spacing w:after="240"/>
      <w:outlineLvl w:val="9"/>
    </w:pPr>
    <w:rPr>
      <w:noProof/>
    </w:rPr>
  </w:style>
  <w:style w:type="paragraph" w:styleId="Index2">
    <w:name w:val="index 2"/>
    <w:basedOn w:val="Normal"/>
    <w:next w:val="Normal"/>
    <w:semiHidden/>
    <w:rsid w:val="00101477"/>
    <w:pPr>
      <w:tabs>
        <w:tab w:val="right" w:pos="4176"/>
      </w:tabs>
      <w:ind w:left="568" w:hanging="284"/>
    </w:pPr>
    <w:rPr>
      <w:rFonts w:ascii="Garamond" w:hAnsi="Garamond"/>
    </w:rPr>
  </w:style>
  <w:style w:type="paragraph" w:customStyle="1" w:styleId="Byline">
    <w:name w:val="Byline"/>
    <w:rsid w:val="0010147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01477"/>
    <w:pPr>
      <w:tabs>
        <w:tab w:val="clear" w:pos="3600"/>
        <w:tab w:val="clear" w:pos="3958"/>
      </w:tabs>
      <w:jc w:val="right"/>
    </w:pPr>
  </w:style>
  <w:style w:type="character" w:styleId="Emphasis">
    <w:name w:val="Emphasis"/>
    <w:basedOn w:val="DefaultParagraphFont"/>
    <w:qFormat/>
    <w:rsid w:val="00101477"/>
    <w:rPr>
      <w:i/>
    </w:rPr>
  </w:style>
  <w:style w:type="paragraph" w:styleId="Caption">
    <w:name w:val="caption"/>
    <w:basedOn w:val="BodyText"/>
    <w:next w:val="Normal"/>
    <w:qFormat/>
    <w:rsid w:val="00101477"/>
    <w:pPr>
      <w:framePr w:w="2268" w:hSpace="181" w:vSpace="181" w:wrap="around" w:vAnchor="text" w:hAnchor="page" w:x="1135" w:y="285" w:anchorLock="1"/>
    </w:pPr>
    <w:rPr>
      <w:i/>
    </w:rPr>
  </w:style>
  <w:style w:type="paragraph" w:customStyle="1" w:styleId="MiniTOCTitle">
    <w:name w:val="MiniTOCTitle"/>
    <w:basedOn w:val="Heading4"/>
    <w:rsid w:val="00101477"/>
    <w:pPr>
      <w:spacing w:before="240"/>
      <w:outlineLvl w:val="9"/>
    </w:pPr>
    <w:rPr>
      <w:noProof/>
      <w:sz w:val="24"/>
    </w:rPr>
  </w:style>
  <w:style w:type="paragraph" w:customStyle="1" w:styleId="MiniTOCItem">
    <w:name w:val="MiniTOCItem"/>
    <w:basedOn w:val="ListBullet"/>
    <w:rsid w:val="00101477"/>
    <w:pPr>
      <w:numPr>
        <w:numId w:val="0"/>
      </w:numPr>
      <w:tabs>
        <w:tab w:val="right" w:leader="dot" w:pos="6521"/>
      </w:tabs>
      <w:spacing w:before="0" w:after="0"/>
    </w:pPr>
  </w:style>
  <w:style w:type="paragraph" w:customStyle="1" w:styleId="TOFTitle">
    <w:name w:val="TOFTitle"/>
    <w:basedOn w:val="TOCTitle"/>
    <w:rsid w:val="00101477"/>
  </w:style>
  <w:style w:type="paragraph" w:styleId="TableofFigures">
    <w:name w:val="table of figures"/>
    <w:basedOn w:val="Normal"/>
    <w:next w:val="Normal"/>
    <w:semiHidden/>
    <w:rsid w:val="00101477"/>
    <w:pPr>
      <w:tabs>
        <w:tab w:val="right" w:leader="dot" w:pos="9072"/>
      </w:tabs>
      <w:ind w:left="970" w:hanging="403"/>
    </w:pPr>
    <w:rPr>
      <w:rFonts w:ascii="Times New Roman" w:hAnsi="Times New Roman"/>
      <w:b/>
    </w:rPr>
  </w:style>
  <w:style w:type="paragraph" w:styleId="ListNumber">
    <w:name w:val="List Number"/>
    <w:basedOn w:val="List"/>
    <w:rsid w:val="00101477"/>
    <w:pPr>
      <w:numPr>
        <w:numId w:val="11"/>
      </w:numPr>
    </w:pPr>
  </w:style>
  <w:style w:type="character" w:customStyle="1" w:styleId="WingdingSymbols">
    <w:name w:val="Wingding Symbols"/>
    <w:rsid w:val="00101477"/>
    <w:rPr>
      <w:rFonts w:ascii="Wingdings" w:hAnsi="Wingdings"/>
    </w:rPr>
  </w:style>
  <w:style w:type="paragraph" w:customStyle="1" w:styleId="TableHeading">
    <w:name w:val="Table Heading"/>
    <w:basedOn w:val="HeadingBase"/>
    <w:rsid w:val="00101477"/>
    <w:pPr>
      <w:keepLines/>
      <w:pBdr>
        <w:bottom w:val="single" w:sz="6" w:space="1" w:color="918585"/>
      </w:pBdr>
      <w:spacing w:before="240"/>
    </w:pPr>
  </w:style>
  <w:style w:type="character" w:customStyle="1" w:styleId="HotSpot">
    <w:name w:val="HotSpot"/>
    <w:rsid w:val="00101477"/>
    <w:rPr>
      <w:color w:val="0033CC"/>
      <w:u w:val="none"/>
    </w:rPr>
  </w:style>
  <w:style w:type="paragraph" w:customStyle="1" w:styleId="BodyTextRight">
    <w:name w:val="Body Text Right"/>
    <w:basedOn w:val="BodyText"/>
    <w:rsid w:val="00101477"/>
    <w:pPr>
      <w:spacing w:before="0" w:after="0"/>
      <w:jc w:val="right"/>
    </w:pPr>
  </w:style>
  <w:style w:type="paragraph" w:styleId="Index3">
    <w:name w:val="index 3"/>
    <w:basedOn w:val="ListNumber2"/>
    <w:next w:val="Normal"/>
    <w:semiHidden/>
    <w:rsid w:val="00101477"/>
    <w:pPr>
      <w:numPr>
        <w:numId w:val="0"/>
      </w:numPr>
      <w:tabs>
        <w:tab w:val="right" w:leader="dot" w:pos="4176"/>
      </w:tabs>
    </w:pPr>
  </w:style>
  <w:style w:type="paragraph" w:styleId="ListNumber2">
    <w:name w:val="List Number 2"/>
    <w:basedOn w:val="List2"/>
    <w:rsid w:val="00101477"/>
    <w:pPr>
      <w:numPr>
        <w:numId w:val="10"/>
      </w:numPr>
      <w:tabs>
        <w:tab w:val="clear" w:pos="1060"/>
      </w:tabs>
    </w:pPr>
  </w:style>
  <w:style w:type="paragraph" w:customStyle="1" w:styleId="MarginNote">
    <w:name w:val="Margin Note"/>
    <w:basedOn w:val="BodyText"/>
    <w:rsid w:val="0010147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0147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0147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01477"/>
    <w:rPr>
      <w:sz w:val="32"/>
    </w:rPr>
  </w:style>
  <w:style w:type="paragraph" w:customStyle="1" w:styleId="HeadingProcedure">
    <w:name w:val="Heading Procedure"/>
    <w:basedOn w:val="HeadingBase"/>
    <w:next w:val="Normal"/>
    <w:rsid w:val="00101477"/>
    <w:pPr>
      <w:tabs>
        <w:tab w:val="left" w:pos="0"/>
      </w:tabs>
      <w:spacing w:before="120" w:after="60"/>
    </w:pPr>
    <w:rPr>
      <w:i/>
      <w:color w:val="918585"/>
      <w:sz w:val="22"/>
    </w:rPr>
  </w:style>
  <w:style w:type="paragraph" w:customStyle="1" w:styleId="TableBodyText">
    <w:name w:val="Table Body Text"/>
    <w:basedOn w:val="BodyText"/>
    <w:rsid w:val="00101477"/>
    <w:pPr>
      <w:spacing w:before="60" w:after="60"/>
    </w:pPr>
  </w:style>
  <w:style w:type="paragraph" w:styleId="ListContinue">
    <w:name w:val="List Continue"/>
    <w:basedOn w:val="List"/>
    <w:rsid w:val="00101477"/>
    <w:pPr>
      <w:ind w:firstLine="0"/>
    </w:pPr>
  </w:style>
  <w:style w:type="paragraph" w:customStyle="1" w:styleId="ListNote">
    <w:name w:val="List Note"/>
    <w:basedOn w:val="List"/>
    <w:rsid w:val="00101477"/>
    <w:pPr>
      <w:pBdr>
        <w:top w:val="single" w:sz="6" w:space="2" w:color="918585"/>
        <w:bottom w:val="single" w:sz="6" w:space="2" w:color="918585"/>
      </w:pBdr>
      <w:tabs>
        <w:tab w:val="left" w:pos="1021"/>
      </w:tabs>
      <w:ind w:firstLine="0"/>
    </w:pPr>
  </w:style>
  <w:style w:type="paragraph" w:customStyle="1" w:styleId="Warning">
    <w:name w:val="Warning"/>
    <w:basedOn w:val="BodyText"/>
    <w:rsid w:val="00101477"/>
    <w:pPr>
      <w:shd w:val="clear" w:color="auto" w:fill="D9D9D9"/>
      <w:tabs>
        <w:tab w:val="left" w:pos="992"/>
      </w:tabs>
      <w:ind w:left="119" w:right="119"/>
    </w:pPr>
    <w:rPr>
      <w:sz w:val="20"/>
    </w:rPr>
  </w:style>
  <w:style w:type="paragraph" w:customStyle="1" w:styleId="MarginIcons">
    <w:name w:val="Margin Icons"/>
    <w:basedOn w:val="BodyText"/>
    <w:rsid w:val="0010147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01477"/>
    <w:rPr>
      <w:rFonts w:ascii="Courier New" w:hAnsi="Courier New"/>
    </w:rPr>
  </w:style>
  <w:style w:type="paragraph" w:customStyle="1" w:styleId="NoteBullet">
    <w:name w:val="Note Bullet"/>
    <w:basedOn w:val="Note"/>
    <w:rsid w:val="00101477"/>
    <w:pPr>
      <w:tabs>
        <w:tab w:val="clear" w:pos="680"/>
      </w:tabs>
      <w:spacing w:before="60" w:after="60"/>
    </w:pPr>
  </w:style>
  <w:style w:type="paragraph" w:customStyle="1" w:styleId="SubHeading2">
    <w:name w:val="SubHeading2"/>
    <w:basedOn w:val="HeadingBase"/>
    <w:rsid w:val="00101477"/>
    <w:pPr>
      <w:spacing w:before="240" w:after="60"/>
    </w:pPr>
    <w:rPr>
      <w:sz w:val="20"/>
    </w:rPr>
  </w:style>
  <w:style w:type="paragraph" w:customStyle="1" w:styleId="SubHeading1">
    <w:name w:val="SubHeading1"/>
    <w:basedOn w:val="HeadingBase"/>
    <w:rsid w:val="00101477"/>
    <w:pPr>
      <w:spacing w:before="240" w:after="60"/>
    </w:pPr>
    <w:rPr>
      <w:color w:val="918585"/>
      <w:sz w:val="22"/>
    </w:rPr>
  </w:style>
  <w:style w:type="paragraph" w:customStyle="1" w:styleId="SideHeading">
    <w:name w:val="Side Heading"/>
    <w:basedOn w:val="HeadingBase"/>
    <w:rsid w:val="0010147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01477"/>
    <w:pPr>
      <w:numPr>
        <w:numId w:val="12"/>
      </w:numPr>
    </w:pPr>
  </w:style>
  <w:style w:type="paragraph" w:styleId="PlainText">
    <w:name w:val="Plain Text"/>
    <w:basedOn w:val="Normal"/>
    <w:link w:val="PlainTextChar"/>
    <w:rsid w:val="00101477"/>
    <w:rPr>
      <w:sz w:val="20"/>
    </w:rPr>
  </w:style>
  <w:style w:type="character" w:customStyle="1" w:styleId="PlainTextChar">
    <w:name w:val="Plain Text Char"/>
    <w:basedOn w:val="DefaultParagraphFont"/>
    <w:link w:val="PlainText"/>
    <w:rsid w:val="00101477"/>
    <w:rPr>
      <w:rFonts w:ascii="Courier New" w:eastAsia="Times New Roman" w:hAnsi="Courier New" w:cs="Times New Roman"/>
      <w:sz w:val="20"/>
      <w:szCs w:val="20"/>
      <w:lang w:eastAsia="en-US"/>
    </w:rPr>
  </w:style>
  <w:style w:type="character" w:customStyle="1" w:styleId="MenuOption">
    <w:name w:val="Menu Option"/>
    <w:basedOn w:val="DefaultParagraphFont"/>
    <w:rsid w:val="00101477"/>
    <w:rPr>
      <w:b/>
      <w:smallCaps/>
    </w:rPr>
  </w:style>
  <w:style w:type="paragraph" w:customStyle="1" w:styleId="TableListNumber">
    <w:name w:val="Table List Number"/>
    <w:basedOn w:val="ListNumber"/>
    <w:rsid w:val="00101477"/>
    <w:pPr>
      <w:numPr>
        <w:numId w:val="0"/>
      </w:numPr>
    </w:pPr>
  </w:style>
  <w:style w:type="paragraph" w:styleId="TOC4">
    <w:name w:val="toc 4"/>
    <w:basedOn w:val="TOCBase"/>
    <w:next w:val="Normal"/>
    <w:semiHidden/>
    <w:rsid w:val="00101477"/>
    <w:pPr>
      <w:tabs>
        <w:tab w:val="right" w:leader="dot" w:pos="9071"/>
      </w:tabs>
      <w:ind w:left="1701"/>
    </w:pPr>
  </w:style>
  <w:style w:type="paragraph" w:customStyle="1" w:styleId="ListAlpha">
    <w:name w:val="List Alpha"/>
    <w:basedOn w:val="List"/>
    <w:rsid w:val="00101477"/>
    <w:pPr>
      <w:numPr>
        <w:numId w:val="9"/>
      </w:numPr>
    </w:pPr>
  </w:style>
  <w:style w:type="paragraph" w:customStyle="1" w:styleId="ListAlpha2">
    <w:name w:val="List Alpha 2"/>
    <w:basedOn w:val="List2"/>
    <w:rsid w:val="00101477"/>
    <w:pPr>
      <w:numPr>
        <w:numId w:val="8"/>
      </w:numPr>
    </w:pPr>
  </w:style>
  <w:style w:type="paragraph" w:styleId="List2">
    <w:name w:val="List 2"/>
    <w:basedOn w:val="BodyText"/>
    <w:rsid w:val="00101477"/>
    <w:pPr>
      <w:tabs>
        <w:tab w:val="left" w:pos="680"/>
      </w:tabs>
      <w:spacing w:before="60" w:after="60"/>
      <w:ind w:left="680" w:hanging="340"/>
    </w:pPr>
  </w:style>
  <w:style w:type="paragraph" w:styleId="List3">
    <w:name w:val="List 3"/>
    <w:basedOn w:val="BodyText"/>
    <w:rsid w:val="00101477"/>
    <w:pPr>
      <w:tabs>
        <w:tab w:val="left" w:pos="1021"/>
      </w:tabs>
      <w:spacing w:before="60" w:after="60"/>
      <w:ind w:left="1020" w:hanging="340"/>
    </w:pPr>
  </w:style>
  <w:style w:type="paragraph" w:styleId="List4">
    <w:name w:val="List 4"/>
    <w:basedOn w:val="BodyText"/>
    <w:rsid w:val="00101477"/>
    <w:pPr>
      <w:tabs>
        <w:tab w:val="left" w:pos="1361"/>
      </w:tabs>
      <w:spacing w:before="60" w:after="60"/>
      <w:ind w:left="1361" w:hanging="340"/>
    </w:pPr>
  </w:style>
  <w:style w:type="paragraph" w:styleId="List5">
    <w:name w:val="List 5"/>
    <w:basedOn w:val="BodyText"/>
    <w:rsid w:val="00101477"/>
    <w:pPr>
      <w:tabs>
        <w:tab w:val="left" w:pos="1701"/>
      </w:tabs>
      <w:spacing w:before="60" w:after="60"/>
      <w:ind w:left="1701" w:hanging="340"/>
    </w:pPr>
  </w:style>
  <w:style w:type="paragraph" w:styleId="ListBullet3">
    <w:name w:val="List Bullet 3"/>
    <w:basedOn w:val="List3"/>
    <w:rsid w:val="00101477"/>
    <w:pPr>
      <w:numPr>
        <w:numId w:val="15"/>
      </w:numPr>
      <w:tabs>
        <w:tab w:val="clear" w:pos="1021"/>
      </w:tabs>
      <w:ind w:left="1037" w:hanging="357"/>
    </w:pPr>
  </w:style>
  <w:style w:type="paragraph" w:styleId="ListBullet4">
    <w:name w:val="List Bullet 4"/>
    <w:basedOn w:val="List4"/>
    <w:rsid w:val="00101477"/>
    <w:pPr>
      <w:numPr>
        <w:numId w:val="3"/>
      </w:numPr>
    </w:pPr>
  </w:style>
  <w:style w:type="paragraph" w:styleId="ListBullet5">
    <w:name w:val="List Bullet 5"/>
    <w:basedOn w:val="List5"/>
    <w:rsid w:val="00101477"/>
    <w:pPr>
      <w:numPr>
        <w:numId w:val="4"/>
      </w:numPr>
    </w:pPr>
  </w:style>
  <w:style w:type="paragraph" w:styleId="ListContinue2">
    <w:name w:val="List Continue 2"/>
    <w:basedOn w:val="List2"/>
    <w:rsid w:val="00101477"/>
    <w:pPr>
      <w:ind w:firstLine="0"/>
    </w:pPr>
  </w:style>
  <w:style w:type="paragraph" w:styleId="ListContinue3">
    <w:name w:val="List Continue 3"/>
    <w:basedOn w:val="List3"/>
    <w:rsid w:val="00101477"/>
    <w:pPr>
      <w:ind w:left="1021" w:firstLine="0"/>
    </w:pPr>
  </w:style>
  <w:style w:type="paragraph" w:styleId="ListContinue4">
    <w:name w:val="List Continue 4"/>
    <w:basedOn w:val="List4"/>
    <w:rsid w:val="00101477"/>
    <w:pPr>
      <w:ind w:firstLine="0"/>
    </w:pPr>
  </w:style>
  <w:style w:type="paragraph" w:styleId="ListContinue5">
    <w:name w:val="List Continue 5"/>
    <w:basedOn w:val="List5"/>
    <w:rsid w:val="00101477"/>
    <w:pPr>
      <w:ind w:firstLine="0"/>
    </w:pPr>
  </w:style>
  <w:style w:type="paragraph" w:styleId="ListNumber3">
    <w:name w:val="List Number 3"/>
    <w:basedOn w:val="List3"/>
    <w:rsid w:val="00101477"/>
    <w:pPr>
      <w:numPr>
        <w:numId w:val="5"/>
      </w:numPr>
    </w:pPr>
  </w:style>
  <w:style w:type="paragraph" w:styleId="ListNumber4">
    <w:name w:val="List Number 4"/>
    <w:basedOn w:val="List4"/>
    <w:rsid w:val="00101477"/>
    <w:pPr>
      <w:numPr>
        <w:numId w:val="6"/>
      </w:numPr>
    </w:pPr>
  </w:style>
  <w:style w:type="paragraph" w:styleId="ListNumber5">
    <w:name w:val="List Number 5"/>
    <w:basedOn w:val="List5"/>
    <w:rsid w:val="00101477"/>
    <w:pPr>
      <w:numPr>
        <w:numId w:val="7"/>
      </w:numPr>
    </w:pPr>
  </w:style>
  <w:style w:type="paragraph" w:styleId="BlockText">
    <w:name w:val="Block Text"/>
    <w:basedOn w:val="Normal"/>
    <w:rsid w:val="00101477"/>
    <w:pPr>
      <w:spacing w:after="120"/>
      <w:ind w:left="1440" w:right="1440"/>
    </w:pPr>
  </w:style>
  <w:style w:type="character" w:customStyle="1" w:styleId="Subscript">
    <w:name w:val="Subscript"/>
    <w:basedOn w:val="DefaultParagraphFont"/>
    <w:rsid w:val="00101477"/>
    <w:rPr>
      <w:sz w:val="16"/>
      <w:vertAlign w:val="subscript"/>
    </w:rPr>
  </w:style>
  <w:style w:type="character" w:customStyle="1" w:styleId="Superscript">
    <w:name w:val="Superscript"/>
    <w:basedOn w:val="DefaultParagraphFont"/>
    <w:rsid w:val="00101477"/>
    <w:rPr>
      <w:sz w:val="16"/>
      <w:vertAlign w:val="superscript"/>
    </w:rPr>
  </w:style>
  <w:style w:type="character" w:customStyle="1" w:styleId="Symbols">
    <w:name w:val="Symbols"/>
    <w:basedOn w:val="DefaultParagraphFont"/>
    <w:rsid w:val="00101477"/>
    <w:rPr>
      <w:rFonts w:ascii="Symbol" w:hAnsi="Symbol"/>
    </w:rPr>
  </w:style>
  <w:style w:type="character" w:customStyle="1" w:styleId="MenuOptions">
    <w:name w:val="Menu Options"/>
    <w:basedOn w:val="DefaultParagraphFont"/>
    <w:rsid w:val="00101477"/>
    <w:rPr>
      <w:rFonts w:ascii="Arial Narrow" w:hAnsi="Arial Narrow"/>
      <w:smallCaps/>
    </w:rPr>
  </w:style>
  <w:style w:type="character" w:customStyle="1" w:styleId="Buttons">
    <w:name w:val="Buttons"/>
    <w:basedOn w:val="DefaultParagraphFont"/>
    <w:rsid w:val="00101477"/>
    <w:rPr>
      <w:b/>
    </w:rPr>
  </w:style>
  <w:style w:type="character" w:customStyle="1" w:styleId="Underlined">
    <w:name w:val="Underlined"/>
    <w:basedOn w:val="DefaultParagraphFont"/>
    <w:rsid w:val="00101477"/>
    <w:rPr>
      <w:u w:val="single"/>
    </w:rPr>
  </w:style>
  <w:style w:type="paragraph" w:customStyle="1" w:styleId="TableBodyTextRight">
    <w:name w:val="Table Body Text Right"/>
    <w:basedOn w:val="TableBodyText"/>
    <w:rsid w:val="00101477"/>
    <w:pPr>
      <w:widowControl w:val="0"/>
      <w:autoSpaceDE w:val="0"/>
      <w:autoSpaceDN w:val="0"/>
      <w:adjustRightInd w:val="0"/>
      <w:jc w:val="right"/>
    </w:pPr>
    <w:rPr>
      <w:rFonts w:cs="Arial"/>
      <w:szCs w:val="18"/>
    </w:rPr>
  </w:style>
  <w:style w:type="paragraph" w:customStyle="1" w:styleId="CopyrightText">
    <w:name w:val="Copyright Text"/>
    <w:basedOn w:val="BodyText"/>
    <w:rsid w:val="00101477"/>
    <w:rPr>
      <w:sz w:val="18"/>
    </w:rPr>
  </w:style>
  <w:style w:type="paragraph" w:customStyle="1" w:styleId="BodySmallRight">
    <w:name w:val="Body Small Right"/>
    <w:basedOn w:val="BodyTextRight"/>
    <w:rsid w:val="00101477"/>
    <w:rPr>
      <w:sz w:val="18"/>
      <w:szCs w:val="18"/>
    </w:rPr>
  </w:style>
  <w:style w:type="paragraph" w:customStyle="1" w:styleId="MarginEdition">
    <w:name w:val="Margin Edition"/>
    <w:basedOn w:val="MarginNote"/>
    <w:rsid w:val="00101477"/>
    <w:pPr>
      <w:spacing w:before="0" w:after="0"/>
    </w:pPr>
    <w:rPr>
      <w:rFonts w:ascii="Times New Roman" w:hAnsi="Times New Roman"/>
      <w:color w:val="999999"/>
    </w:rPr>
  </w:style>
  <w:style w:type="paragraph" w:customStyle="1" w:styleId="Spacer">
    <w:name w:val="Spacer"/>
    <w:basedOn w:val="Normal"/>
    <w:rsid w:val="00101477"/>
    <w:rPr>
      <w:sz w:val="2"/>
      <w:szCs w:val="2"/>
    </w:rPr>
  </w:style>
  <w:style w:type="character" w:customStyle="1" w:styleId="Small">
    <w:name w:val="Small"/>
    <w:basedOn w:val="DefaultParagraphFont"/>
    <w:rsid w:val="00101477"/>
    <w:rPr>
      <w:sz w:val="16"/>
    </w:rPr>
  </w:style>
  <w:style w:type="paragraph" w:customStyle="1" w:styleId="WideTable">
    <w:name w:val="Wide Table"/>
    <w:basedOn w:val="Normal"/>
    <w:rsid w:val="00101477"/>
    <w:pPr>
      <w:ind w:left="-1418"/>
    </w:pPr>
    <w:rPr>
      <w:sz w:val="2"/>
      <w:szCs w:val="2"/>
    </w:rPr>
  </w:style>
  <w:style w:type="character" w:styleId="PageNumber">
    <w:name w:val="page number"/>
    <w:basedOn w:val="DefaultParagraphFont"/>
    <w:rsid w:val="00101477"/>
  </w:style>
  <w:style w:type="paragraph" w:styleId="Quote">
    <w:name w:val="Quote"/>
    <w:basedOn w:val="Heading1"/>
    <w:link w:val="QuoteChar"/>
    <w:qFormat/>
    <w:rsid w:val="00101477"/>
    <w:rPr>
      <w:b w:val="0"/>
      <w:sz w:val="72"/>
      <w:szCs w:val="72"/>
      <w:lang w:val="en-NZ"/>
    </w:rPr>
  </w:style>
  <w:style w:type="character" w:customStyle="1" w:styleId="QuoteChar">
    <w:name w:val="Quote Char"/>
    <w:basedOn w:val="DefaultParagraphFont"/>
    <w:link w:val="Quote"/>
    <w:rsid w:val="0010147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01477"/>
    <w:pPr>
      <w:pageBreakBefore/>
    </w:pPr>
  </w:style>
  <w:style w:type="paragraph" w:customStyle="1" w:styleId="Border">
    <w:name w:val="Border"/>
    <w:basedOn w:val="Normal"/>
    <w:qFormat/>
    <w:rsid w:val="0010147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01477"/>
    <w:rPr>
      <w:b/>
      <w:bCs/>
      <w:i/>
      <w:iCs/>
      <w:color w:val="auto"/>
    </w:rPr>
  </w:style>
  <w:style w:type="paragraph" w:styleId="IntenseQuote">
    <w:name w:val="Intense Quote"/>
    <w:basedOn w:val="Normal"/>
    <w:next w:val="Normal"/>
    <w:link w:val="IntenseQuoteChar"/>
    <w:uiPriority w:val="30"/>
    <w:qFormat/>
    <w:rsid w:val="0010147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0147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01477"/>
    <w:rPr>
      <w:smallCaps/>
      <w:color w:val="auto"/>
      <w:u w:val="single"/>
    </w:rPr>
  </w:style>
  <w:style w:type="character" w:styleId="IntenseReference">
    <w:name w:val="Intense Reference"/>
    <w:basedOn w:val="DefaultParagraphFont"/>
    <w:uiPriority w:val="32"/>
    <w:qFormat/>
    <w:rsid w:val="00101477"/>
    <w:rPr>
      <w:b/>
      <w:bCs/>
      <w:smallCaps/>
      <w:color w:val="auto"/>
      <w:spacing w:val="5"/>
      <w:u w:val="single"/>
    </w:rPr>
  </w:style>
  <w:style w:type="paragraph" w:customStyle="1" w:styleId="2ColumnHeading">
    <w:name w:val="2Column Heading"/>
    <w:basedOn w:val="BodyText"/>
    <w:qFormat/>
    <w:rsid w:val="00101477"/>
    <w:pPr>
      <w:spacing w:after="60"/>
      <w:ind w:left="-2268"/>
    </w:pPr>
    <w:rPr>
      <w:b/>
    </w:rPr>
  </w:style>
  <w:style w:type="paragraph" w:customStyle="1" w:styleId="Heading1TOC">
    <w:name w:val="Heading1 TOC"/>
    <w:basedOn w:val="Normal"/>
    <w:qFormat/>
    <w:rsid w:val="00101477"/>
    <w:pPr>
      <w:spacing w:before="240" w:after="120"/>
    </w:pPr>
    <w:rPr>
      <w:rFonts w:ascii="Times New Roman" w:hAnsi="Times New Roman"/>
      <w:b/>
      <w:sz w:val="32"/>
    </w:rPr>
  </w:style>
  <w:style w:type="paragraph" w:customStyle="1" w:styleId="Heading2TOC">
    <w:name w:val="Heading2 TOC"/>
    <w:basedOn w:val="Normal"/>
    <w:qFormat/>
    <w:rsid w:val="00101477"/>
    <w:pPr>
      <w:spacing w:before="240" w:after="60"/>
    </w:pPr>
    <w:rPr>
      <w:rFonts w:ascii="Times New Roman" w:hAnsi="Times New Roman"/>
      <w:b/>
      <w:sz w:val="28"/>
    </w:rPr>
  </w:style>
  <w:style w:type="character" w:customStyle="1" w:styleId="Underline">
    <w:name w:val="Underline"/>
    <w:basedOn w:val="DefaultParagraphFont"/>
    <w:qFormat/>
    <w:rsid w:val="00101477"/>
    <w:rPr>
      <w:u w:val="single"/>
    </w:rPr>
  </w:style>
  <w:style w:type="character" w:customStyle="1" w:styleId="BoldandItalics">
    <w:name w:val="Bold and Italics"/>
    <w:qFormat/>
    <w:rsid w:val="00101477"/>
    <w:rPr>
      <w:b/>
      <w:i/>
      <w:u w:val="none"/>
    </w:rPr>
  </w:style>
  <w:style w:type="paragraph" w:styleId="BalloonText">
    <w:name w:val="Balloon Text"/>
    <w:basedOn w:val="Normal"/>
    <w:link w:val="BalloonTextChar"/>
    <w:rsid w:val="00101477"/>
    <w:rPr>
      <w:rFonts w:ascii="Tahoma" w:hAnsi="Tahoma" w:cs="Tahoma"/>
      <w:sz w:val="16"/>
      <w:szCs w:val="16"/>
    </w:rPr>
  </w:style>
  <w:style w:type="character" w:customStyle="1" w:styleId="BalloonTextChar">
    <w:name w:val="Balloon Text Char"/>
    <w:basedOn w:val="DefaultParagraphFont"/>
    <w:link w:val="BalloonText"/>
    <w:rsid w:val="0010147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0147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0147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01477"/>
    <w:rPr>
      <w:b/>
      <w:color w:val="660033"/>
      <w:spacing w:val="0"/>
    </w:rPr>
  </w:style>
  <w:style w:type="paragraph" w:customStyle="1" w:styleId="Nameditemlist">
    <w:name w:val="Named item list"/>
    <w:basedOn w:val="BodyText"/>
    <w:qFormat/>
    <w:rsid w:val="0010147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1080</Words>
  <Characters>7020</Characters>
  <Application>Microsoft Office Word</Application>
  <DocSecurity>0</DocSecurity>
  <Lines>292</Lines>
  <Paragraphs>173</Paragraphs>
  <ScaleCrop>false</ScaleCrop>
  <Company>Author-it Software Corporation Ltd.</Company>
  <LinksUpToDate>false</LinksUpToDate>
  <CharactersWithSpaces>8013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TLIW5002A Manage rail assets and interfaces</dc:title>
  <dc:subject>Approved</dc:subject>
  <dc:creator>Transport &amp; Logistics Industry Skills Council</dc:creator>
  <cp:keywords>Release 1</cp:keywords>
  <dc:description>Review Date: 12 April 2008</dc:description>
  <cp:lastModifiedBy>TPCMS</cp:lastModifiedBy>
  <cp:revision>3</cp:revision>
  <dcterms:created xsi:type="dcterms:W3CDTF">2013-12-24T08:53:59Z</dcterms:created>
  <dcterms:modified xsi:type="dcterms:W3CDTF">2013-12-23T05:24:00Z</dcterms:modified>
</cp:coreProperties>
</file>