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CD1" w:rsidP="002F0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TLIW2039A Place and remove permanent way stop boards</w:t>
      </w:r>
      <w:r>
        <w:fldChar w:fldCharType="end"/>
      </w:r>
    </w:p>
    <w:p w:rsidR="002F0CD1" w:rsidP="002F0CD1">
      <w:pPr>
        <w:pStyle w:val="Version"/>
        <w:sectPr w:rsidSect="007D7C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C26" w:rsidP="007D7C26">
      <w:pPr>
        <w:pStyle w:val="SuperHeading"/>
      </w:pPr>
      <w:r w:rsidRPr="007D7C26">
        <w:t>TLIW2039A Place and remove permanent way stop boards</w:t>
      </w:r>
    </w:p>
    <w:p w:rsidR="00000000" w:rsidRPr="007D7C26" w:rsidP="007D7C26">
      <w:pPr>
        <w:pStyle w:val="Heading1"/>
      </w:pPr>
      <w:bookmarkStart w:id="1" w:name="O_358162"/>
      <w:bookmarkEnd w:id="1"/>
      <w:r w:rsidRPr="007D7C26">
        <w:t>Modification History</w:t>
      </w:r>
    </w:p>
    <w:p w:rsidR="00000000" w:rsidRPr="007D7C26" w:rsidP="007D7C26">
      <w:pPr>
        <w:pStyle w:val="BodyText"/>
      </w:pPr>
      <w:r w:rsidRPr="007D7C26">
        <w:t>Not applicable.</w:t>
      </w: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2" w:name="O_358163"/>
      <w:bookmarkEnd w:id="2"/>
      <w:r w:rsidRPr="007D7C26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BodyText"/>
            </w:pPr>
            <w:r w:rsidRPr="007D7C26">
              <w:t xml:space="preserve">This unit involves the skills and knowledge required to place and remove permanent way stop boards, </w:t>
            </w:r>
            <w:r w:rsidRPr="007D7C26">
              <w:t xml:space="preserve">in accordance with legislative and regulatory requirements. </w:t>
            </w:r>
          </w:p>
          <w:p w:rsidR="00000000" w:rsidRPr="007D7C26" w:rsidP="007D7C26">
            <w:pPr>
              <w:pStyle w:val="BodyText"/>
            </w:pPr>
            <w:r w:rsidRPr="007D7C26">
              <w:t>Licensing, legislative, regulatory or certification requirements may apply to this unit.</w:t>
            </w:r>
          </w:p>
        </w:tc>
      </w:tr>
    </w:tbl>
    <w:p w:rsidR="00000000" w:rsidRPr="007D7C26" w:rsidP="007D7C26">
      <w:pPr>
        <w:pStyle w:val="BodyText"/>
      </w:pP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3" w:name="O_358164"/>
      <w:bookmarkEnd w:id="3"/>
      <w:r w:rsidRPr="007D7C26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BodyText"/>
            </w:pPr>
            <w:r w:rsidRPr="007D7C26">
              <w:t>This unit involves applying the network owner’</w:t>
            </w:r>
            <w:r w:rsidRPr="007D7C26">
              <w:t>s policies, procedures and protocols when placing and removing permanent way stop boards used to protect one or more worksites in the rail corridor.</w:t>
            </w:r>
          </w:p>
          <w:p w:rsidR="00000000" w:rsidRPr="007D7C26" w:rsidP="007D7C26">
            <w:pPr>
              <w:pStyle w:val="BodyText"/>
            </w:pPr>
            <w:r w:rsidRPr="007D7C26">
              <w:t xml:space="preserve">Activities are performed using established procedures, with accountability and responsibility for self and </w:t>
            </w:r>
            <w:r w:rsidRPr="007D7C26">
              <w:t>others in achieving the prescribed outcomes within the limits of responsibility of the person concerned.</w:t>
            </w:r>
          </w:p>
        </w:tc>
      </w:tr>
    </w:tbl>
    <w:p w:rsidR="00000000" w:rsidRPr="007D7C26" w:rsidP="007D7C26">
      <w:pPr>
        <w:pStyle w:val="BodyText"/>
      </w:pP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4" w:name="O_358165"/>
      <w:bookmarkEnd w:id="4"/>
      <w:r w:rsidRPr="007D7C26">
        <w:t>Licensing/Regulatory Information</w:t>
      </w:r>
    </w:p>
    <w:p w:rsidR="00000000" w:rsidRPr="007D7C26" w:rsidP="007D7C26">
      <w:pPr>
        <w:pStyle w:val="BodyText"/>
      </w:pPr>
      <w:r w:rsidRPr="007D7C26">
        <w:t>Refer to Unit Descriptor.</w:t>
      </w: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5" w:name="O_358166"/>
      <w:bookmarkEnd w:id="5"/>
      <w:r w:rsidRPr="007D7C26">
        <w:t>Pre-Requisites</w:t>
      </w:r>
    </w:p>
    <w:p w:rsidR="00000000" w:rsidRPr="007D7C26" w:rsidP="007D7C26">
      <w:pPr>
        <w:pStyle w:val="BodyText"/>
      </w:pPr>
      <w:r w:rsidRPr="007D7C26">
        <w:t>Not applicable.</w:t>
      </w: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6" w:name="O_358167"/>
      <w:bookmarkEnd w:id="6"/>
      <w:r w:rsidRPr="007D7C26">
        <w:t>Employab</w:t>
      </w:r>
      <w:r w:rsidRPr="007D7C26">
        <w:t>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BodyText"/>
            </w:pPr>
            <w:r w:rsidRPr="007D7C26">
              <w:t>This unit contains employability skills.</w:t>
            </w:r>
          </w:p>
        </w:tc>
      </w:tr>
    </w:tbl>
    <w:p w:rsidR="00000000" w:rsidRPr="007D7C26" w:rsidP="007D7C26">
      <w:pPr>
        <w:pStyle w:val="BodyText"/>
      </w:pP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7" w:name="O_358168"/>
      <w:bookmarkEnd w:id="7"/>
      <w:r w:rsidRPr="007D7C2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F0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BodyText"/>
            </w:pPr>
            <w:r w:rsidRPr="007D7C26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7D7C26" w:rsidP="007D7C26">
      <w:pPr>
        <w:pStyle w:val="BodyText"/>
      </w:pP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8" w:name="O_358169"/>
      <w:bookmarkEnd w:id="8"/>
      <w:r w:rsidRPr="007D7C26">
        <w:t>Elements and Performance Criteria</w:t>
      </w:r>
    </w:p>
    <w:tbl>
      <w:tblPr>
        <w:tblW w:w="98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6"/>
        <w:gridCol w:w="6798"/>
        <w:gridCol w:w="180"/>
      </w:tblGrid>
      <w:tr w:rsidTr="002F0CD1">
        <w:tblPrEx>
          <w:tblW w:w="98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BodyText"/>
            </w:pPr>
            <w:r w:rsidRPr="007D7C26">
              <w:rPr>
                <w:rStyle w:val="SpecialBold"/>
              </w:rPr>
              <w:t>ELEMENT</w:t>
            </w:r>
          </w:p>
        </w:tc>
        <w:tc>
          <w:tcPr>
            <w:tcW w:w="68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PERFORMANCE CRITERI</w:t>
            </w:r>
            <w:r w:rsidRPr="007D7C26">
              <w:rPr>
                <w:rStyle w:val="SpecialBold"/>
              </w:rPr>
              <w:t>A</w:t>
            </w:r>
          </w:p>
        </w:tc>
      </w:tr>
      <w:tr w:rsidTr="002F0CD1">
        <w:tblPrEx>
          <w:tblW w:w="98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1</w:t>
            </w:r>
            <w:r w:rsidRPr="007D7C26">
              <w:rPr>
                <w:rStyle w:val="SpecialBold"/>
              </w:rPr>
              <w:tab/>
              <w:t>Place permanent way stop boards</w:t>
            </w:r>
          </w:p>
        </w:tc>
        <w:tc>
          <w:tcPr>
            <w:tcW w:w="6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BodyText"/>
            </w:pPr>
            <w:r w:rsidRPr="007D7C26">
              <w:t>1.1</w:t>
            </w:r>
            <w:r w:rsidRPr="007D7C26">
              <w:tab/>
              <w:t>Advice is confirmed as to the location where permanent way stop boards are to be placed</w:t>
            </w:r>
          </w:p>
          <w:p w:rsidR="00000000" w:rsidRPr="007D7C26" w:rsidP="007D7C26">
            <w:pPr>
              <w:pStyle w:val="BodyText"/>
            </w:pPr>
            <w:r w:rsidRPr="007D7C26">
              <w:t>1.2</w:t>
            </w:r>
            <w:r w:rsidRPr="007D7C26">
              <w:tab/>
              <w:t>Relevant network control personnel are contacted and informed as required in accordance with network owner’</w:t>
            </w:r>
            <w:r w:rsidRPr="007D7C26">
              <w:t>s policies and procedures</w:t>
            </w:r>
          </w:p>
          <w:p w:rsidR="00000000" w:rsidRPr="007D7C26" w:rsidP="007D7C26">
            <w:pPr>
              <w:pStyle w:val="BodyText"/>
            </w:pPr>
            <w:r w:rsidRPr="007D7C26">
              <w:t>1.3</w:t>
            </w:r>
            <w:r w:rsidRPr="007D7C26">
              <w:tab/>
              <w:t>Equipment is checked for availability and suitability to perform job in accordance with network owner’s policies and procedures</w:t>
            </w:r>
          </w:p>
          <w:p w:rsidR="00000000" w:rsidRPr="007D7C26" w:rsidP="007D7C26">
            <w:pPr>
              <w:pStyle w:val="BodyText"/>
            </w:pPr>
            <w:r w:rsidRPr="007D7C26">
              <w:t>1.4</w:t>
            </w:r>
            <w:r w:rsidRPr="007D7C26">
              <w:tab/>
              <w:t>Equipment is placed to network owner’s standards</w:t>
            </w:r>
          </w:p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t>1.5</w:t>
            </w:r>
            <w:r w:rsidRPr="007D7C26">
              <w:tab/>
              <w:t xml:space="preserve">Relevant personnel are notified that the </w:t>
            </w:r>
            <w:r w:rsidRPr="007D7C26">
              <w:t>permanent way stop boards have been placed</w:t>
            </w:r>
          </w:p>
        </w:tc>
      </w:tr>
      <w:tr w:rsidTr="002F0CD1">
        <w:tblPrEx>
          <w:tblW w:w="98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2</w:t>
            </w:r>
            <w:r w:rsidRPr="007D7C26">
              <w:rPr>
                <w:rStyle w:val="SpecialBold"/>
              </w:rPr>
              <w:tab/>
              <w:t>Remove permanent way stop boards</w:t>
            </w:r>
          </w:p>
        </w:tc>
        <w:tc>
          <w:tcPr>
            <w:tcW w:w="6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BodyText"/>
            </w:pPr>
            <w:r w:rsidRPr="007D7C26">
              <w:t>2.1</w:t>
            </w:r>
            <w:r w:rsidRPr="007D7C26">
              <w:tab/>
              <w:t>Advice is confirmed as to the location of permanent way stop boards to be removed</w:t>
            </w:r>
          </w:p>
          <w:p w:rsidR="00000000" w:rsidRPr="007D7C26" w:rsidP="007D7C26">
            <w:pPr>
              <w:pStyle w:val="BodyText"/>
            </w:pPr>
            <w:r w:rsidRPr="007D7C26">
              <w:t>2.2</w:t>
            </w:r>
            <w:r w:rsidRPr="007D7C26">
              <w:tab/>
              <w:t>Relevant network control personnel are contacted and informed as required in accordanc</w:t>
            </w:r>
            <w:r w:rsidRPr="007D7C26">
              <w:t>e with network owner’s policies and procedures</w:t>
            </w:r>
          </w:p>
          <w:p w:rsidR="00000000" w:rsidRPr="007D7C26" w:rsidP="007D7C26">
            <w:pPr>
              <w:pStyle w:val="BodyText"/>
            </w:pPr>
            <w:r w:rsidRPr="007D7C26">
              <w:t>2.3</w:t>
            </w:r>
            <w:r w:rsidRPr="007D7C26">
              <w:tab/>
              <w:t>Equipment is removed from track, and secured and stowed appropriately</w:t>
            </w:r>
          </w:p>
          <w:p w:rsidR="00000000" w:rsidRPr="007D7C26" w:rsidP="007D7C26">
            <w:pPr>
              <w:pStyle w:val="BodyText"/>
            </w:pPr>
            <w:r w:rsidRPr="007D7C26">
              <w:t>2.4</w:t>
            </w:r>
            <w:r w:rsidRPr="007D7C26">
              <w:tab/>
              <w:t>Relevant personnel are notified that the permanent way stop boards have been removed</w:t>
            </w:r>
          </w:p>
        </w:tc>
      </w:tr>
    </w:tbl>
    <w:p w:rsidR="00000000" w:rsidRPr="007D7C26" w:rsidP="007D7C26">
      <w:pPr>
        <w:pStyle w:val="BodyText"/>
      </w:pP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9" w:name="O_358170"/>
      <w:bookmarkEnd w:id="9"/>
      <w:r w:rsidRPr="007D7C26">
        <w:t>Required Skills and Kn</w:t>
      </w:r>
      <w:r w:rsidRPr="007D7C26">
        <w:t>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REQUIRED KNOWLEDGE AND SKILLS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t>This describes the essential knowledge and skills and their level required for this unit.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Required knowledge: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ListBullet"/>
            </w:pPr>
            <w:r w:rsidRPr="007D7C26">
              <w:t>Network owner’s procedures for placing and removing permanent way stop boards</w:t>
            </w:r>
          </w:p>
        </w:tc>
      </w:tr>
    </w:tbl>
    <w:p w:rsidR="00000000" w:rsidRPr="007D7C26" w:rsidP="007D7C2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Required skills: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ListBullet"/>
              <w:rPr>
                <w:lang w:val="en-NZ"/>
              </w:rPr>
            </w:pPr>
            <w:r w:rsidRPr="007D7C26">
              <w:t>Read and interpret network owner’s procedures for placing and removing permanent way stop boards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ListBullet"/>
              <w:rPr>
                <w:lang w:val="en-NZ"/>
              </w:rPr>
            </w:pPr>
            <w:r w:rsidRPr="007D7C26">
              <w:t>Communicate effectively with individuals and groups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ListBullet"/>
              <w:rPr>
                <w:lang w:val="en-NZ"/>
              </w:rPr>
            </w:pPr>
            <w:r w:rsidRPr="007D7C26">
              <w:t>Recognise hazards that may arise and take appropriate action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ListBullet"/>
            </w:pPr>
            <w:r w:rsidRPr="007D7C26">
              <w:t xml:space="preserve">Use personal protective equipment (PPE) </w:t>
            </w:r>
            <w:r w:rsidRPr="007D7C26">
              <w:t>conforming to required standards</w:t>
            </w:r>
          </w:p>
        </w:tc>
      </w:tr>
    </w:tbl>
    <w:p w:rsidR="00000000" w:rsidRPr="007D7C26" w:rsidP="007D7C26">
      <w:pPr>
        <w:pStyle w:val="BodyText"/>
      </w:pP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10" w:name="O_358171"/>
      <w:bookmarkEnd w:id="10"/>
      <w:r w:rsidRPr="007D7C26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54"/>
        <w:gridCol w:w="6041"/>
      </w:tblGrid>
      <w:tr w:rsidTr="007D7C2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EVIDENCE GUIDE</w:t>
            </w:r>
          </w:p>
        </w:tc>
      </w:tr>
      <w:tr w:rsidTr="007D7C2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t xml:space="preserve">The evidence guide provides advice on assessment and must be read in conjunction with the performance criteria, required knowledge and skills, </w:t>
            </w:r>
            <w:r w:rsidRPr="007D7C26">
              <w:t>the range statement and the assessment guidelines for this Training Package.</w:t>
            </w:r>
          </w:p>
        </w:tc>
      </w:tr>
      <w:tr w:rsidTr="007D7C2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ListBullet"/>
            </w:pPr>
            <w:r w:rsidRPr="007D7C26">
              <w:t>The evidence required to demonstrate competency in this unit must be relevant to an</w:t>
            </w:r>
            <w:r w:rsidRPr="007D7C26">
              <w:t>d satisfy all of the requirements of the elements and performance criteria of this unit and include demonstration of applying:</w:t>
            </w:r>
          </w:p>
          <w:p w:rsidR="00000000" w:rsidRPr="007D7C26" w:rsidP="007D7C26">
            <w:pPr>
              <w:pStyle w:val="ListBullet2"/>
            </w:pPr>
            <w:r w:rsidRPr="007D7C26">
              <w:t>the underpinning knowledge and skills</w:t>
            </w:r>
          </w:p>
          <w:p w:rsidR="00000000" w:rsidRPr="007D7C26" w:rsidP="007D7C26">
            <w:pPr>
              <w:pStyle w:val="ListBullet2"/>
            </w:pPr>
            <w:r w:rsidRPr="007D7C26">
              <w:t>relevant legislation and workplace procedures</w:t>
            </w:r>
          </w:p>
          <w:p w:rsidR="00000000" w:rsidRPr="007D7C26" w:rsidP="007D7C26">
            <w:pPr>
              <w:pStyle w:val="ListBullet2"/>
            </w:pPr>
            <w:r w:rsidRPr="007D7C26">
              <w:t>other relevant aspects of the range statement</w:t>
            </w:r>
          </w:p>
          <w:p w:rsidR="00000000" w:rsidRPr="007D7C26" w:rsidP="007D7C26">
            <w:pPr>
              <w:pStyle w:val="ListBullet2"/>
            </w:pPr>
            <w:r w:rsidRPr="007D7C26">
              <w:t>the timeframes typically expected for the work function and industrial environment</w:t>
            </w:r>
          </w:p>
          <w:p w:rsidR="00000000" w:rsidP="007D7C26">
            <w:pPr>
              <w:pStyle w:val="ListBullet2"/>
              <w:rPr>
                <w:lang w:val="en-NZ"/>
              </w:rPr>
            </w:pPr>
            <w:r w:rsidRPr="007D7C26">
              <w:t>compliance with OH&amp;S regulations and other regulatory requirements</w:t>
            </w:r>
          </w:p>
        </w:tc>
      </w:tr>
      <w:tr w:rsidTr="007D7C2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ListBullet"/>
            </w:pPr>
            <w:r w:rsidRPr="007D7C26">
              <w:t>Performan</w:t>
            </w:r>
            <w:r w:rsidRPr="007D7C26">
              <w:t>ce is demonstrated in a suitable context</w:t>
            </w:r>
          </w:p>
          <w:p w:rsidR="00000000" w:rsidRPr="007D7C26" w:rsidP="007D7C26">
            <w:pPr>
              <w:pStyle w:val="ListBullet"/>
            </w:pPr>
            <w:r w:rsidRPr="007D7C26">
              <w:t>Resources for assessment include:</w:t>
            </w:r>
          </w:p>
          <w:p w:rsidR="00000000" w:rsidRPr="007D7C26" w:rsidP="007D7C26">
            <w:pPr>
              <w:pStyle w:val="ListBullet2"/>
            </w:pPr>
            <w:r w:rsidRPr="007D7C26">
              <w:t>a range of relevant exercises and/or other simulated practical and knowledge assessments, and/or</w:t>
            </w:r>
          </w:p>
          <w:p w:rsidR="00000000" w:rsidRPr="007D7C26" w:rsidP="007D7C26">
            <w:pPr>
              <w:pStyle w:val="ListBullet2"/>
            </w:pPr>
            <w:r w:rsidRPr="007D7C26">
              <w:t>access to an appropriate relevant location in the rail corridor</w:t>
            </w:r>
          </w:p>
          <w:p w:rsidR="00000000" w:rsidRPr="007D7C26" w:rsidP="007D7C26">
            <w:pPr>
              <w:pStyle w:val="ListBullet"/>
            </w:pPr>
            <w:r w:rsidRPr="007D7C26">
              <w:t>In both real and simulated environments, access is required to:</w:t>
            </w:r>
          </w:p>
          <w:p w:rsidR="00000000" w:rsidP="007D7C26">
            <w:pPr>
              <w:pStyle w:val="ListBullet2"/>
              <w:rPr>
                <w:lang w:val="en-NZ"/>
              </w:rPr>
            </w:pPr>
            <w:r w:rsidRPr="007D7C26">
              <w:t>applicable documentation, including procedures, regulations and codes of practice</w:t>
            </w:r>
          </w:p>
        </w:tc>
      </w:tr>
      <w:tr w:rsidTr="007D7C2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Method of assessment</w:t>
            </w:r>
          </w:p>
        </w:tc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ListBullet"/>
            </w:pPr>
            <w:r w:rsidRPr="007D7C26">
              <w:t>Assessment of knowledge must be conducted through appropriate written/oral tests</w:t>
            </w:r>
          </w:p>
          <w:p w:rsidR="00000000" w:rsidRPr="007D7C26" w:rsidP="007D7C26">
            <w:pPr>
              <w:pStyle w:val="ListBullet"/>
            </w:pPr>
            <w:r w:rsidRPr="007D7C26">
              <w:t>Practical assessment must occur:</w:t>
            </w:r>
          </w:p>
          <w:p w:rsidR="00000000" w:rsidRPr="007D7C26" w:rsidP="007D7C26">
            <w:pPr>
              <w:pStyle w:val="ListBullet2"/>
            </w:pPr>
            <w:r w:rsidRPr="007D7C26">
              <w:t>through activities in an appropriately simulated environment, and/or</w:t>
            </w:r>
          </w:p>
          <w:p w:rsidR="00000000" w:rsidRPr="007D7C26" w:rsidP="007D7C26">
            <w:pPr>
              <w:pStyle w:val="ListBullet2"/>
            </w:pPr>
            <w:r w:rsidRPr="007D7C26">
              <w:t>in a rail corridor</w:t>
            </w:r>
          </w:p>
        </w:tc>
      </w:tr>
    </w:tbl>
    <w:p w:rsidR="00000000" w:rsidRPr="007D7C26" w:rsidP="007D7C26">
      <w:pPr>
        <w:pStyle w:val="BodyText"/>
      </w:pP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11" w:name="O_358172"/>
      <w:bookmarkEnd w:id="11"/>
      <w:r w:rsidRPr="007D7C26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 xml:space="preserve">RANGE STATEMENT 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t>The range statement relates to the unit of competency as a whole. It allows for different work environments and situations that may affect performance.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Permanent way stop equipment may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ListBullet"/>
            </w:pPr>
            <w:r w:rsidRPr="007D7C26">
              <w:t>boards</w:t>
            </w:r>
          </w:p>
          <w:p w:rsidR="00000000" w:rsidRPr="007D7C26" w:rsidP="007D7C26">
            <w:pPr>
              <w:pStyle w:val="ListBullet"/>
            </w:pPr>
            <w:r w:rsidRPr="007D7C26">
              <w:t>stands</w:t>
            </w:r>
          </w:p>
          <w:p w:rsidR="00000000" w:rsidRPr="007D7C26" w:rsidP="007D7C26">
            <w:pPr>
              <w:pStyle w:val="ListBullet"/>
            </w:pPr>
            <w:r w:rsidRPr="007D7C26">
              <w:t>flags</w:t>
            </w:r>
          </w:p>
          <w:p w:rsidR="00000000" w:rsidRPr="007D7C26" w:rsidP="007D7C26">
            <w:pPr>
              <w:pStyle w:val="ListBullet"/>
            </w:pPr>
            <w:r w:rsidRPr="007D7C26">
              <w:t>lamps</w:t>
            </w:r>
          </w:p>
          <w:p w:rsidR="00000000" w:rsidRPr="007D7C26" w:rsidP="007D7C26">
            <w:pPr>
              <w:pStyle w:val="ListBullet"/>
            </w:pPr>
            <w:r w:rsidRPr="007D7C26">
              <w:t>electronic warning devices</w:t>
            </w:r>
          </w:p>
          <w:p w:rsidR="00000000" w:rsidRPr="007D7C26" w:rsidP="007D7C26">
            <w:pPr>
              <w:pStyle w:val="ListBullet"/>
            </w:pPr>
            <w:r w:rsidRPr="007D7C26">
              <w:t xml:space="preserve">transponders </w:t>
            </w:r>
          </w:p>
          <w:p w:rsidR="00000000" w:rsidP="007D7C26">
            <w:pPr>
              <w:pStyle w:val="ListBullet"/>
              <w:rPr>
                <w:lang w:val="en-NZ"/>
              </w:rPr>
            </w:pPr>
            <w:r w:rsidRPr="007D7C26">
              <w:t>audible track warning devices</w:t>
            </w:r>
          </w:p>
        </w:tc>
      </w:tr>
      <w:tr w:rsidTr="002F0C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C26">
            <w:pPr>
              <w:pStyle w:val="BodyText"/>
              <w:rPr>
                <w:lang w:val="en-NZ"/>
              </w:rPr>
            </w:pPr>
            <w:r w:rsidRPr="007D7C26">
              <w:rPr>
                <w:rStyle w:val="SpecialBold"/>
              </w:rPr>
              <w:t>PPE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C26" w:rsidP="007D7C26">
            <w:pPr>
              <w:pStyle w:val="ListBullet"/>
            </w:pPr>
            <w:r w:rsidRPr="007D7C26">
              <w:t>high visibility clothing</w:t>
            </w:r>
          </w:p>
          <w:p w:rsidR="00000000" w:rsidRPr="007D7C26" w:rsidP="007D7C26">
            <w:pPr>
              <w:pStyle w:val="ListBullet"/>
            </w:pPr>
            <w:r w:rsidRPr="007D7C26">
              <w:t>protective footwear</w:t>
            </w:r>
          </w:p>
          <w:p w:rsidR="00000000" w:rsidRPr="007D7C26" w:rsidP="007D7C26">
            <w:pPr>
              <w:pStyle w:val="ListBullet"/>
            </w:pPr>
            <w:r w:rsidRPr="007D7C26">
              <w:t>hearing protection</w:t>
            </w:r>
          </w:p>
          <w:p w:rsidR="00000000" w:rsidRPr="007D7C26" w:rsidP="007D7C26">
            <w:pPr>
              <w:pStyle w:val="ListBullet"/>
            </w:pPr>
            <w:r w:rsidRPr="007D7C26">
              <w:t>eye protection</w:t>
            </w:r>
          </w:p>
          <w:p w:rsidR="00000000" w:rsidRPr="007D7C26" w:rsidP="007D7C26">
            <w:pPr>
              <w:pStyle w:val="ListBullet"/>
            </w:pPr>
            <w:r w:rsidRPr="007D7C26">
              <w:t>gloves</w:t>
            </w:r>
          </w:p>
          <w:p w:rsidR="00000000" w:rsidRPr="007D7C26" w:rsidP="007D7C26">
            <w:pPr>
              <w:pStyle w:val="ListBullet"/>
            </w:pPr>
            <w:r w:rsidRPr="007D7C26">
              <w:t>head protection</w:t>
            </w:r>
          </w:p>
        </w:tc>
      </w:tr>
    </w:tbl>
    <w:p w:rsidR="00000000" w:rsidRPr="007D7C26" w:rsidP="007D7C26">
      <w:pPr>
        <w:pStyle w:val="BodyText"/>
      </w:pP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12" w:name="O_358173"/>
      <w:bookmarkEnd w:id="12"/>
      <w:r w:rsidRPr="007D7C26">
        <w:t>Unit Sector(s)</w:t>
      </w:r>
    </w:p>
    <w:p w:rsidR="00000000" w:rsidRPr="007D7C26" w:rsidP="007D7C26">
      <w:pPr>
        <w:pStyle w:val="BodyText"/>
      </w:pPr>
      <w:r w:rsidRPr="007D7C26">
        <w:t>Not applicable.</w:t>
      </w:r>
    </w:p>
    <w:p w:rsidR="00000000" w:rsidRPr="007D7C26" w:rsidP="007D7C26">
      <w:pPr>
        <w:pStyle w:val="AllowPageBreak"/>
      </w:pPr>
    </w:p>
    <w:p w:rsidR="00000000" w:rsidRPr="007D7C26" w:rsidP="007D7C26">
      <w:pPr>
        <w:pStyle w:val="Heading1"/>
      </w:pPr>
      <w:bookmarkStart w:id="13" w:name="O_358174"/>
      <w:bookmarkEnd w:id="13"/>
      <w:r w:rsidRPr="007D7C26">
        <w:t xml:space="preserve">Competency Field </w:t>
      </w:r>
    </w:p>
    <w:p w:rsidR="00000000" w:rsidRPr="007D7C26" w:rsidP="007D7C26">
      <w:pPr>
        <w:pStyle w:val="BodyText"/>
      </w:pPr>
      <w:r w:rsidRPr="007D7C26">
        <w:t>W –</w:t>
      </w:r>
      <w:r w:rsidRPr="007D7C26">
        <w:t xml:space="preserve"> Equipment and Systems Operations</w:t>
      </w:r>
    </w:p>
    <w:p w:rsidR="00000000" w:rsidRPr="007D7C26" w:rsidP="007D7C26"/>
    <w:sectPr w:rsidSect="007D7C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0CD1" w:rsidP="002F0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D1" w:rsidP="007D7C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CD1" w:rsidP="007D7C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F0CD1" w:rsidP="007D7C2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0CD1" w:rsidP="002F0CD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C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D1" w:rsidP="007D7C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TLIW2039A Place and remove permanent way stop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F0CD1" w:rsidP="007D7C2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920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42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CCA6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C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D7C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C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C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C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C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C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C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C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C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C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C26"/>
  </w:style>
  <w:style w:type="character" w:customStyle="1" w:styleId="Heading1Char">
    <w:name w:val="Heading 1 Char"/>
    <w:link w:val="Heading1"/>
    <w:rsid w:val="007D7C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C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7D7C2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D7C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7D7C2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7D7C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7D7C26"/>
    <w:rPr>
      <w:b/>
      <w:spacing w:val="0"/>
    </w:rPr>
  </w:style>
  <w:style w:type="paragraph" w:styleId="ListBullet2">
    <w:name w:val="List Bullet 2"/>
    <w:basedOn w:val="List2"/>
    <w:rsid w:val="007D7C2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7D7C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7D7C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D7C2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D7C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7D7C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7D7C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7D7C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7D7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7D7C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C2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D7C2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D7C2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D7C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C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C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C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C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D7C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7D7C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C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C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C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C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C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C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C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C2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D7C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C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C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C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C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7D7C26"/>
    <w:rPr>
      <w:i/>
    </w:rPr>
  </w:style>
  <w:style w:type="paragraph" w:styleId="Caption">
    <w:name w:val="caption"/>
    <w:basedOn w:val="BodyText"/>
    <w:next w:val="Normal"/>
    <w:qFormat/>
    <w:rsid w:val="007D7C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C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C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C26"/>
  </w:style>
  <w:style w:type="paragraph" w:styleId="TableofFigures">
    <w:name w:val="table of figures"/>
    <w:basedOn w:val="Normal"/>
    <w:next w:val="Normal"/>
    <w:semiHidden/>
    <w:rsid w:val="007D7C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C26"/>
    <w:pPr>
      <w:numPr>
        <w:numId w:val="11"/>
      </w:numPr>
    </w:pPr>
  </w:style>
  <w:style w:type="character" w:customStyle="1" w:styleId="WingdingSymbols">
    <w:name w:val="Wingding Symbols"/>
    <w:rsid w:val="007D7C26"/>
    <w:rPr>
      <w:rFonts w:ascii="Wingdings" w:hAnsi="Wingdings"/>
    </w:rPr>
  </w:style>
  <w:style w:type="paragraph" w:customStyle="1" w:styleId="TableHeading">
    <w:name w:val="Table Heading"/>
    <w:basedOn w:val="HeadingBase"/>
    <w:rsid w:val="007D7C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C26"/>
    <w:rPr>
      <w:color w:val="0033CC"/>
      <w:u w:val="none"/>
    </w:rPr>
  </w:style>
  <w:style w:type="paragraph" w:customStyle="1" w:styleId="BodyTextRight">
    <w:name w:val="Body Text Right"/>
    <w:basedOn w:val="BodyText"/>
    <w:rsid w:val="007D7C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C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C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C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C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7D7C2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D7C26"/>
    <w:rPr>
      <w:sz w:val="32"/>
    </w:rPr>
  </w:style>
  <w:style w:type="paragraph" w:customStyle="1" w:styleId="HeadingProcedure">
    <w:name w:val="Heading Procedure"/>
    <w:basedOn w:val="HeadingBase"/>
    <w:next w:val="Normal"/>
    <w:rsid w:val="007D7C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C26"/>
    <w:pPr>
      <w:spacing w:before="60" w:after="60"/>
    </w:pPr>
  </w:style>
  <w:style w:type="paragraph" w:styleId="ListContinue">
    <w:name w:val="List Continue"/>
    <w:basedOn w:val="List"/>
    <w:rsid w:val="007D7C26"/>
    <w:pPr>
      <w:ind w:firstLine="0"/>
    </w:pPr>
  </w:style>
  <w:style w:type="paragraph" w:customStyle="1" w:styleId="ListNote">
    <w:name w:val="List Note"/>
    <w:basedOn w:val="List"/>
    <w:rsid w:val="007D7C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C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C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7D7C26"/>
    <w:rPr>
      <w:rFonts w:ascii="Courier New" w:hAnsi="Courier New"/>
    </w:rPr>
  </w:style>
  <w:style w:type="paragraph" w:customStyle="1" w:styleId="NoteBullet">
    <w:name w:val="Note Bullet"/>
    <w:basedOn w:val="Note"/>
    <w:rsid w:val="007D7C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C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C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C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C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7C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C2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7D7C26"/>
    <w:rPr>
      <w:b/>
      <w:smallCaps/>
    </w:rPr>
  </w:style>
  <w:style w:type="paragraph" w:customStyle="1" w:styleId="TableListNumber">
    <w:name w:val="Table List Number"/>
    <w:basedOn w:val="ListNumber"/>
    <w:rsid w:val="007D7C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C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C26"/>
    <w:pPr>
      <w:numPr>
        <w:numId w:val="9"/>
      </w:numPr>
    </w:pPr>
  </w:style>
  <w:style w:type="paragraph" w:customStyle="1" w:styleId="ListAlpha2">
    <w:name w:val="List Alpha 2"/>
    <w:basedOn w:val="List2"/>
    <w:rsid w:val="007D7C26"/>
    <w:pPr>
      <w:numPr>
        <w:numId w:val="8"/>
      </w:numPr>
    </w:pPr>
  </w:style>
  <w:style w:type="paragraph" w:styleId="List2">
    <w:name w:val="List 2"/>
    <w:basedOn w:val="BodyText"/>
    <w:rsid w:val="007D7C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C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C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C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C2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C26"/>
    <w:pPr>
      <w:numPr>
        <w:numId w:val="3"/>
      </w:numPr>
    </w:pPr>
  </w:style>
  <w:style w:type="paragraph" w:styleId="ListBullet5">
    <w:name w:val="List Bullet 5"/>
    <w:basedOn w:val="List5"/>
    <w:rsid w:val="007D7C26"/>
    <w:pPr>
      <w:numPr>
        <w:numId w:val="4"/>
      </w:numPr>
    </w:pPr>
  </w:style>
  <w:style w:type="paragraph" w:styleId="ListContinue2">
    <w:name w:val="List Continue 2"/>
    <w:basedOn w:val="List2"/>
    <w:rsid w:val="007D7C26"/>
    <w:pPr>
      <w:ind w:firstLine="0"/>
    </w:pPr>
  </w:style>
  <w:style w:type="paragraph" w:styleId="ListContinue3">
    <w:name w:val="List Continue 3"/>
    <w:basedOn w:val="List3"/>
    <w:rsid w:val="007D7C26"/>
    <w:pPr>
      <w:ind w:left="1021" w:firstLine="0"/>
    </w:pPr>
  </w:style>
  <w:style w:type="paragraph" w:styleId="ListContinue4">
    <w:name w:val="List Continue 4"/>
    <w:basedOn w:val="List4"/>
    <w:rsid w:val="007D7C26"/>
    <w:pPr>
      <w:ind w:firstLine="0"/>
    </w:pPr>
  </w:style>
  <w:style w:type="paragraph" w:styleId="ListContinue5">
    <w:name w:val="List Continue 5"/>
    <w:basedOn w:val="List5"/>
    <w:rsid w:val="007D7C26"/>
    <w:pPr>
      <w:ind w:firstLine="0"/>
    </w:pPr>
  </w:style>
  <w:style w:type="paragraph" w:styleId="ListNumber3">
    <w:name w:val="List Number 3"/>
    <w:basedOn w:val="List3"/>
    <w:rsid w:val="007D7C26"/>
    <w:pPr>
      <w:numPr>
        <w:numId w:val="5"/>
      </w:numPr>
    </w:pPr>
  </w:style>
  <w:style w:type="paragraph" w:styleId="ListNumber4">
    <w:name w:val="List Number 4"/>
    <w:basedOn w:val="List4"/>
    <w:rsid w:val="007D7C26"/>
    <w:pPr>
      <w:numPr>
        <w:numId w:val="6"/>
      </w:numPr>
    </w:pPr>
  </w:style>
  <w:style w:type="paragraph" w:styleId="ListNumber5">
    <w:name w:val="List Number 5"/>
    <w:basedOn w:val="List5"/>
    <w:rsid w:val="007D7C26"/>
    <w:pPr>
      <w:numPr>
        <w:numId w:val="7"/>
      </w:numPr>
    </w:pPr>
  </w:style>
  <w:style w:type="paragraph" w:styleId="BlockText">
    <w:name w:val="Block Text"/>
    <w:basedOn w:val="Normal"/>
    <w:rsid w:val="007D7C26"/>
    <w:pPr>
      <w:spacing w:after="120"/>
      <w:ind w:left="1440" w:right="1440"/>
    </w:pPr>
  </w:style>
  <w:style w:type="character" w:customStyle="1" w:styleId="Subscript">
    <w:name w:val="Subscript"/>
    <w:rsid w:val="007D7C26"/>
    <w:rPr>
      <w:sz w:val="16"/>
      <w:vertAlign w:val="subscript"/>
    </w:rPr>
  </w:style>
  <w:style w:type="character" w:customStyle="1" w:styleId="Superscript">
    <w:name w:val="Superscript"/>
    <w:rsid w:val="007D7C26"/>
    <w:rPr>
      <w:sz w:val="16"/>
      <w:vertAlign w:val="superscript"/>
    </w:rPr>
  </w:style>
  <w:style w:type="character" w:customStyle="1" w:styleId="Symbols">
    <w:name w:val="Symbols"/>
    <w:rsid w:val="007D7C26"/>
    <w:rPr>
      <w:rFonts w:ascii="Symbol" w:hAnsi="Symbol"/>
    </w:rPr>
  </w:style>
  <w:style w:type="character" w:customStyle="1" w:styleId="MenuOptions">
    <w:name w:val="Menu Options"/>
    <w:rsid w:val="007D7C26"/>
    <w:rPr>
      <w:rFonts w:ascii="Arial Narrow" w:hAnsi="Arial Narrow"/>
      <w:smallCaps/>
    </w:rPr>
  </w:style>
  <w:style w:type="character" w:customStyle="1" w:styleId="Buttons">
    <w:name w:val="Buttons"/>
    <w:rsid w:val="007D7C26"/>
    <w:rPr>
      <w:b/>
    </w:rPr>
  </w:style>
  <w:style w:type="character" w:customStyle="1" w:styleId="Underlined">
    <w:name w:val="Underlined"/>
    <w:rsid w:val="007D7C26"/>
    <w:rPr>
      <w:u w:val="single"/>
    </w:rPr>
  </w:style>
  <w:style w:type="paragraph" w:customStyle="1" w:styleId="TableBodyTextRight">
    <w:name w:val="Table Body Text Right"/>
    <w:basedOn w:val="TableBodyText"/>
    <w:rsid w:val="007D7C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C26"/>
    <w:rPr>
      <w:sz w:val="18"/>
    </w:rPr>
  </w:style>
  <w:style w:type="paragraph" w:customStyle="1" w:styleId="BodySmallRight">
    <w:name w:val="Body Small Right"/>
    <w:basedOn w:val="BodyTextRight"/>
    <w:rsid w:val="007D7C26"/>
    <w:rPr>
      <w:sz w:val="18"/>
      <w:szCs w:val="18"/>
    </w:rPr>
  </w:style>
  <w:style w:type="paragraph" w:customStyle="1" w:styleId="MarginEdition">
    <w:name w:val="Margin Edition"/>
    <w:basedOn w:val="MarginNote"/>
    <w:rsid w:val="007D7C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C26"/>
    <w:rPr>
      <w:sz w:val="2"/>
      <w:szCs w:val="2"/>
    </w:rPr>
  </w:style>
  <w:style w:type="character" w:customStyle="1" w:styleId="Small">
    <w:name w:val="Small"/>
    <w:rsid w:val="007D7C26"/>
    <w:rPr>
      <w:sz w:val="16"/>
    </w:rPr>
  </w:style>
  <w:style w:type="paragraph" w:customStyle="1" w:styleId="WideTable">
    <w:name w:val="Wide Table"/>
    <w:basedOn w:val="Normal"/>
    <w:rsid w:val="007D7C26"/>
    <w:pPr>
      <w:ind w:left="-1418"/>
    </w:pPr>
    <w:rPr>
      <w:sz w:val="2"/>
      <w:szCs w:val="2"/>
    </w:rPr>
  </w:style>
  <w:style w:type="character" w:styleId="PageNumber">
    <w:name w:val="page number"/>
    <w:rsid w:val="007D7C26"/>
  </w:style>
  <w:style w:type="paragraph" w:styleId="Quote">
    <w:name w:val="Quote"/>
    <w:basedOn w:val="Heading1"/>
    <w:link w:val="QuoteChar"/>
    <w:qFormat/>
    <w:rsid w:val="007D7C2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7D7C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C26"/>
    <w:pPr>
      <w:pageBreakBefore/>
    </w:pPr>
  </w:style>
  <w:style w:type="paragraph" w:customStyle="1" w:styleId="Border">
    <w:name w:val="Border"/>
    <w:basedOn w:val="Normal"/>
    <w:qFormat/>
    <w:rsid w:val="007D7C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7D7C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C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7D7C2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7D7C2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7D7C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C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C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C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7D7C26"/>
    <w:rPr>
      <w:u w:val="single"/>
    </w:rPr>
  </w:style>
  <w:style w:type="character" w:customStyle="1" w:styleId="BoldandItalics">
    <w:name w:val="Bold and Italics"/>
    <w:qFormat/>
    <w:rsid w:val="007D7C26"/>
    <w:rPr>
      <w:b/>
      <w:i/>
      <w:u w:val="none"/>
    </w:rPr>
  </w:style>
  <w:style w:type="paragraph" w:styleId="BalloonText">
    <w:name w:val="Balloon Text"/>
    <w:basedOn w:val="Normal"/>
    <w:link w:val="BalloonTextChar"/>
    <w:rsid w:val="007D7C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7C2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D7C2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7D7C2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AF37D014.dotm</Template>
  <TotalTime>0</TotalTime>
  <Pages>4</Pages>
  <Words>686</Words>
  <Characters>4234</Characters>
  <Application>Microsoft Office Word</Application>
  <DocSecurity>0</DocSecurity>
  <Lines>153</Lines>
  <Paragraphs>88</Paragraphs>
  <ScaleCrop>false</ScaleCrop>
  <Company>Author-it Software Corporation Ltd.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TLIW2039A Place and remove permanent way stop boards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2012-05-27T04:10:00Z</dcterms:created>
  <dcterms:modified xsi:type="dcterms:W3CDTF">2012-05-27T04:10:00Z</dcterms:modified>
</cp:coreProperties>
</file>