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7B97" w:rsidP="003A7B97">
      <w:pPr>
        <w:pStyle w:val="Title"/>
      </w:pPr>
      <w:r>
        <w:fldChar w:fldCharType="begin"/>
      </w:r>
      <w:r>
        <w:instrText xml:space="preserve"> TITLE   \* MERGEFORMAT </w:instrText>
      </w:r>
      <w:r>
        <w:fldChar w:fldCharType="separate"/>
      </w:r>
      <w:r>
        <w:t>TLIU3015A Identify wastes and hazards in the waste management industry</w:t>
      </w:r>
      <w:r>
        <w:fldChar w:fldCharType="end"/>
      </w:r>
    </w:p>
    <w:p w:rsidR="003A7B97" w:rsidP="003A7B97">
      <w:pPr>
        <w:pStyle w:val="Version"/>
        <w:sectPr w:rsidSect="005701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014B" w:rsidP="0057014B">
      <w:pPr>
        <w:pStyle w:val="SuperHeading"/>
      </w:pPr>
      <w:r w:rsidRPr="0057014B">
        <w:t>TLIU3015A Identify wastes and hazards in the waste management industry</w:t>
      </w:r>
    </w:p>
    <w:p w:rsidR="00000000" w:rsidRPr="0057014B" w:rsidP="0057014B">
      <w:pPr>
        <w:pStyle w:val="Heading1"/>
      </w:pPr>
      <w:bookmarkStart w:id="1" w:name="O_628513"/>
      <w:bookmarkEnd w:id="1"/>
      <w:r w:rsidRPr="0057014B">
        <w:t>Modification History</w:t>
      </w:r>
    </w:p>
    <w:p w:rsidR="00000000" w:rsidRPr="0057014B" w:rsidP="0057014B">
      <w:pPr>
        <w:pStyle w:val="BodyText"/>
      </w:pPr>
      <w:r w:rsidRPr="0057014B">
        <w:t>Release 1. This is the first release of this unit.</w:t>
      </w:r>
    </w:p>
    <w:p w:rsidR="00000000" w:rsidRPr="0057014B" w:rsidP="0057014B">
      <w:pPr>
        <w:pStyle w:val="AllowPageBreak"/>
      </w:pPr>
    </w:p>
    <w:p w:rsidR="00000000" w:rsidRPr="0057014B" w:rsidP="0057014B">
      <w:pPr>
        <w:pStyle w:val="Heading1"/>
      </w:pPr>
      <w:bookmarkStart w:id="2" w:name="O_628514"/>
      <w:bookmarkEnd w:id="2"/>
      <w:r w:rsidRPr="0057014B">
        <w:t>Unit Descriptor</w:t>
      </w:r>
    </w:p>
    <w:p w:rsidR="00000000" w:rsidRPr="0057014B" w:rsidP="0057014B">
      <w:pPr>
        <w:pStyle w:val="BodyText"/>
      </w:pPr>
      <w:r w:rsidRPr="0057014B">
        <w:t>This unit involves the skills and knowledge required to identify a range of wastes and potential hazards that may be present in the work environment, to assess risks associated with identified hazards and to mitigate those risks effectively.</w:t>
      </w:r>
    </w:p>
    <w:p w:rsidR="00000000" w:rsidRPr="0057014B" w:rsidP="0057014B">
      <w:pPr>
        <w:pStyle w:val="BodyText"/>
      </w:pPr>
    </w:p>
    <w:p w:rsidR="00000000" w:rsidRPr="0057014B" w:rsidP="0057014B">
      <w:pPr>
        <w:pStyle w:val="BodyText"/>
      </w:pPr>
      <w:r w:rsidRPr="0057014B">
        <w:t>Licensing, le</w:t>
      </w:r>
      <w:r w:rsidRPr="0057014B">
        <w:t>gislative, regulatory or certification requirements are applicable to this unit.</w:t>
      </w:r>
    </w:p>
    <w:p w:rsidR="00000000" w:rsidRPr="0057014B" w:rsidP="0057014B">
      <w:pPr>
        <w:pStyle w:val="AllowPageBreak"/>
      </w:pPr>
    </w:p>
    <w:p w:rsidR="00000000" w:rsidRPr="0057014B" w:rsidP="0057014B">
      <w:pPr>
        <w:pStyle w:val="Heading1"/>
      </w:pPr>
      <w:bookmarkStart w:id="3" w:name="O_628515"/>
      <w:bookmarkEnd w:id="3"/>
      <w:r w:rsidRPr="0057014B">
        <w:t>Application of the Unit</w:t>
      </w:r>
    </w:p>
    <w:p w:rsidR="00000000" w:rsidRPr="0057014B" w:rsidP="0057014B">
      <w:pPr>
        <w:pStyle w:val="BodyText"/>
      </w:pPr>
      <w:r w:rsidRPr="0057014B">
        <w:t xml:space="preserve">This unit of competency supports individuals with responsibility for identifying wastes and potential hazards, and assessing risks in </w:t>
      </w:r>
      <w:r w:rsidRPr="0057014B">
        <w:t>a waste operational environment. It includes following directions, implementing systems and plans for control measures, as well as recognising the need for expert advice and/or implementing emergency procedures.</w:t>
      </w:r>
    </w:p>
    <w:p w:rsidR="00000000" w:rsidRPr="0057014B" w:rsidP="0057014B">
      <w:pPr>
        <w:pStyle w:val="AllowPageBreak"/>
      </w:pPr>
    </w:p>
    <w:p w:rsidR="00000000" w:rsidRPr="0057014B" w:rsidP="0057014B">
      <w:pPr>
        <w:pStyle w:val="Heading1"/>
      </w:pPr>
      <w:bookmarkStart w:id="4" w:name="O_628516"/>
      <w:bookmarkEnd w:id="4"/>
      <w:r w:rsidRPr="0057014B">
        <w:t>Licensing/Regulatory Inform</w:t>
      </w:r>
      <w:r w:rsidRPr="0057014B">
        <w:t>ation</w:t>
      </w:r>
    </w:p>
    <w:p w:rsidR="00000000" w:rsidRPr="0057014B" w:rsidP="0057014B">
      <w:pPr>
        <w:pStyle w:val="BodyText"/>
      </w:pPr>
      <w:r w:rsidRPr="0057014B">
        <w:t>Refer to Unit Descriptor.</w:t>
      </w:r>
    </w:p>
    <w:p w:rsidR="00000000" w:rsidRPr="0057014B" w:rsidP="0057014B">
      <w:pPr>
        <w:pStyle w:val="AllowPageBreak"/>
      </w:pPr>
    </w:p>
    <w:p w:rsidR="00000000" w:rsidRPr="0057014B" w:rsidP="0057014B">
      <w:pPr>
        <w:pStyle w:val="Heading1"/>
      </w:pPr>
      <w:bookmarkStart w:id="5" w:name="O_628517"/>
      <w:bookmarkEnd w:id="5"/>
      <w:r w:rsidRPr="0057014B">
        <w:t>Pre-Requisites</w:t>
      </w:r>
    </w:p>
    <w:p w:rsidR="00000000" w:rsidRPr="0057014B" w:rsidP="0057014B">
      <w:pPr>
        <w:pStyle w:val="BodyText"/>
      </w:pPr>
      <w:r w:rsidRPr="0057014B">
        <w:t>Nil</w:t>
      </w:r>
    </w:p>
    <w:p w:rsidR="00000000" w:rsidRPr="0057014B" w:rsidP="0057014B">
      <w:pPr>
        <w:pStyle w:val="AllowPageBreak"/>
      </w:pPr>
    </w:p>
    <w:p w:rsidR="00000000" w:rsidRPr="0057014B" w:rsidP="0057014B">
      <w:pPr>
        <w:pStyle w:val="Heading1"/>
      </w:pPr>
      <w:bookmarkStart w:id="6" w:name="O_628518"/>
      <w:bookmarkEnd w:id="6"/>
      <w:r w:rsidRPr="0057014B">
        <w:t>Employability Skills Information</w:t>
      </w:r>
    </w:p>
    <w:p w:rsidR="00000000" w:rsidRPr="0057014B" w:rsidP="0057014B">
      <w:pPr>
        <w:pStyle w:val="BodyText"/>
      </w:pPr>
      <w:r w:rsidRPr="0057014B">
        <w:t>This unit contains employability skills.</w:t>
      </w:r>
    </w:p>
    <w:p w:rsidR="00000000" w:rsidRPr="0057014B" w:rsidP="0057014B">
      <w:pPr>
        <w:pStyle w:val="AllowPageBreak"/>
      </w:pPr>
    </w:p>
    <w:p w:rsidR="00000000" w:rsidRPr="0057014B" w:rsidP="0057014B">
      <w:pPr>
        <w:pStyle w:val="Heading1"/>
      </w:pPr>
      <w:bookmarkStart w:id="7" w:name="O_628519"/>
      <w:bookmarkEnd w:id="7"/>
      <w:r w:rsidRPr="0057014B">
        <w:t>Elements and Performance Criteria Pre-Content</w:t>
      </w:r>
    </w:p>
    <w:tbl>
      <w:tblPr>
        <w:tblW w:w="9640" w:type="dxa"/>
        <w:tblLayout w:type="fixed"/>
        <w:tblCellMar>
          <w:left w:w="62" w:type="dxa"/>
          <w:right w:w="62" w:type="dxa"/>
        </w:tblCellMar>
        <w:tblLook w:val="0000"/>
      </w:tblPr>
      <w:tblGrid>
        <w:gridCol w:w="2776"/>
        <w:gridCol w:w="6864"/>
      </w:tblGrid>
      <w:tr w:rsidTr="003A7B97">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Elements describe the essential ou</w:t>
            </w:r>
            <w:r w:rsidRPr="0057014B">
              <w:t>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57014B" w:rsidP="0057014B">
            <w:pPr>
              <w:pStyle w:val="BodyText"/>
            </w:pPr>
            <w:r w:rsidRPr="0057014B">
              <w:t>Performance criteria describe the required performance needed to demonstrate achievement of the element. Assessment of performance is to be consistent with the evidence guide.</w:t>
            </w:r>
          </w:p>
        </w:tc>
      </w:tr>
    </w:tbl>
    <w:p w:rsidR="00000000" w:rsidRPr="0057014B" w:rsidP="0057014B">
      <w:pPr>
        <w:pStyle w:val="BodyText"/>
      </w:pPr>
    </w:p>
    <w:p w:rsidR="00000000" w:rsidRPr="0057014B" w:rsidP="0057014B">
      <w:pPr>
        <w:pStyle w:val="AllowPageBreak"/>
      </w:pPr>
    </w:p>
    <w:p w:rsidR="00000000" w:rsidRPr="0057014B" w:rsidP="0057014B">
      <w:pPr>
        <w:pStyle w:val="Heading1"/>
      </w:pPr>
      <w:bookmarkStart w:id="8" w:name="O_628520"/>
      <w:bookmarkEnd w:id="8"/>
      <w:r w:rsidRPr="0057014B">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3A7B97">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7014B" w:rsidP="0057014B">
            <w:pPr>
              <w:pStyle w:val="BodyText"/>
            </w:pPr>
            <w:r w:rsidRPr="0057014B">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rPr>
                <w:rStyle w:val="SpecialBold"/>
              </w:rPr>
              <w:t>Identify waste</w:t>
            </w:r>
          </w:p>
        </w:tc>
        <w:tc>
          <w:tcPr>
            <w:tcW w:w="584"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1.1</w:t>
            </w:r>
          </w:p>
        </w:tc>
        <w:tc>
          <w:tcPr>
            <w:tcW w:w="6864"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Waste characteristics are identified</w:t>
            </w:r>
          </w:p>
        </w:tc>
      </w:tr>
      <w:tr w:rsidTr="003A7B9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1.2</w:t>
            </w:r>
          </w:p>
        </w:tc>
        <w:tc>
          <w:tcPr>
            <w:tcW w:w="6864"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Types of wastes are differentiated by waste stream or waste categories in accordance with state/territory regulatory requirements</w:t>
            </w:r>
          </w:p>
        </w:tc>
      </w:tr>
      <w:tr w:rsidTr="003A7B9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1.3</w:t>
            </w:r>
          </w:p>
        </w:tc>
        <w:tc>
          <w:tcPr>
            <w:tcW w:w="6864"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Hazardous and dangerous waste and non-conforming waste are detailed</w:t>
            </w:r>
          </w:p>
        </w:tc>
      </w:tr>
      <w:tr w:rsidTr="003A7B9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1.4</w:t>
            </w:r>
          </w:p>
        </w:tc>
        <w:tc>
          <w:tcPr>
            <w:tcW w:w="6864"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Contaminants present in waste are noted</w:t>
            </w:r>
          </w:p>
        </w:tc>
      </w:tr>
      <w:tr w:rsidTr="003A7B9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1.5</w:t>
            </w:r>
          </w:p>
        </w:tc>
        <w:tc>
          <w:tcPr>
            <w:tcW w:w="6864"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Further information on waste is obtained by questioning appropriate personnel to ensure correct identification in accordance with stat</w:t>
            </w:r>
            <w:r w:rsidRPr="0057014B">
              <w:t>e/territory regulatory requirements</w:t>
            </w:r>
          </w:p>
        </w:tc>
      </w:tr>
      <w:tr w:rsidTr="003A7B97">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7014B" w:rsidP="0057014B">
            <w:pPr>
              <w:pStyle w:val="BodyText"/>
            </w:pPr>
            <w:r w:rsidRPr="0057014B">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rPr>
                <w:rStyle w:val="SpecialBold"/>
              </w:rPr>
              <w:t>Identify hazards and assess risk</w:t>
            </w:r>
          </w:p>
        </w:tc>
        <w:tc>
          <w:tcPr>
            <w:tcW w:w="584"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2.1</w:t>
            </w:r>
          </w:p>
        </w:tc>
        <w:tc>
          <w:tcPr>
            <w:tcW w:w="6864"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Potential hazards present in work environment identified and recorded in accordance with workplace policies and state/territory regulatory requirements</w:t>
            </w:r>
          </w:p>
        </w:tc>
      </w:tr>
      <w:tr w:rsidTr="003A7B9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2.2</w:t>
            </w:r>
          </w:p>
        </w:tc>
        <w:tc>
          <w:tcPr>
            <w:tcW w:w="6864"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Based on hazards identified, risks are assessed and reported in accordance with workplace policies and state/territory regulatory requirements</w:t>
            </w:r>
          </w:p>
        </w:tc>
      </w:tr>
      <w:tr w:rsidTr="003A7B9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2.3</w:t>
            </w:r>
          </w:p>
        </w:tc>
        <w:tc>
          <w:tcPr>
            <w:tcW w:w="6864"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Supervisor and team members are accurately informed of job requirements, identified hazards and risk asses</w:t>
            </w:r>
            <w:r w:rsidRPr="0057014B">
              <w:t>sment</w:t>
            </w:r>
          </w:p>
        </w:tc>
      </w:tr>
      <w:tr w:rsidTr="003A7B9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2.4</w:t>
            </w:r>
          </w:p>
        </w:tc>
        <w:tc>
          <w:tcPr>
            <w:tcW w:w="6864"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Safe work practices that prevent risk behaviour are outlined to supervisor in accordance with workplace policies and procedures</w:t>
            </w:r>
          </w:p>
        </w:tc>
      </w:tr>
      <w:tr w:rsidTr="003A7B97">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7014B" w:rsidP="0057014B">
            <w:pPr>
              <w:pStyle w:val="BodyText"/>
            </w:pPr>
            <w:r w:rsidRPr="0057014B">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rPr>
                <w:rStyle w:val="SpecialBold"/>
              </w:rPr>
              <w:t>Implement and evaluate risk controls</w:t>
            </w:r>
          </w:p>
        </w:tc>
        <w:tc>
          <w:tcPr>
            <w:tcW w:w="584"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3.1</w:t>
            </w:r>
          </w:p>
        </w:tc>
        <w:tc>
          <w:tcPr>
            <w:tcW w:w="6864"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Appropriate risk controls are discussed with supervisor and team members</w:t>
            </w:r>
          </w:p>
        </w:tc>
      </w:tr>
      <w:tr w:rsidTr="003A7B9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3.2</w:t>
            </w:r>
          </w:p>
        </w:tc>
        <w:tc>
          <w:tcPr>
            <w:tcW w:w="6864"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Appropriate risk controls are implemented in accordance with workplace policies and procedures</w:t>
            </w:r>
          </w:p>
        </w:tc>
      </w:tr>
      <w:tr w:rsidTr="003A7B9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3.3</w:t>
            </w:r>
          </w:p>
        </w:tc>
        <w:tc>
          <w:tcPr>
            <w:tcW w:w="6864"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Risk controls implemented are evaluated for effectiveness and modified as required in accordance with workplace policies and procedures</w:t>
            </w:r>
          </w:p>
        </w:tc>
      </w:tr>
      <w:tr w:rsidTr="003A7B97">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7014B" w:rsidP="0057014B">
            <w:pPr>
              <w:pStyle w:val="BodyText"/>
            </w:pPr>
            <w:r w:rsidRPr="0057014B">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rPr>
                <w:rStyle w:val="SpecialBold"/>
              </w:rPr>
              <w:t>Implement emergency procedures</w:t>
            </w:r>
          </w:p>
        </w:tc>
        <w:tc>
          <w:tcPr>
            <w:tcW w:w="584"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4.1</w:t>
            </w:r>
          </w:p>
        </w:tc>
        <w:tc>
          <w:tcPr>
            <w:tcW w:w="6864"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Emergency procedures are identified and confirmed with supervisor</w:t>
            </w:r>
          </w:p>
        </w:tc>
      </w:tr>
      <w:tr w:rsidTr="003A7B9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4.2</w:t>
            </w:r>
          </w:p>
        </w:tc>
        <w:tc>
          <w:tcPr>
            <w:tcW w:w="6864" w:type="dxa"/>
            <w:tcBorders>
              <w:top w:val="nil"/>
              <w:left w:val="nil"/>
              <w:bottom w:val="nil"/>
              <w:right w:val="nil"/>
            </w:tcBorders>
            <w:tcMar>
              <w:top w:w="0" w:type="dxa"/>
              <w:left w:w="62" w:type="dxa"/>
              <w:bottom w:w="0" w:type="dxa"/>
              <w:right w:w="62" w:type="dxa"/>
            </w:tcMar>
          </w:tcPr>
          <w:p w:rsidR="00000000" w:rsidRPr="0057014B" w:rsidP="0057014B">
            <w:pPr>
              <w:pStyle w:val="BodyText"/>
            </w:pPr>
            <w:r w:rsidRPr="0057014B">
              <w:t>Emergency</w:t>
            </w:r>
            <w:r w:rsidRPr="0057014B">
              <w:t xml:space="preserve"> procedures are practiced with team members and implemented as required in accordance with workplace policies and procedures, and state/territory regulatory requirements</w:t>
            </w:r>
          </w:p>
        </w:tc>
      </w:tr>
    </w:tbl>
    <w:p w:rsidR="00000000" w:rsidRPr="0057014B" w:rsidP="0057014B">
      <w:pPr>
        <w:pStyle w:val="BodyText"/>
      </w:pPr>
    </w:p>
    <w:p w:rsidR="00000000" w:rsidRPr="0057014B" w:rsidP="0057014B">
      <w:pPr>
        <w:pStyle w:val="AllowPageBreak"/>
      </w:pPr>
    </w:p>
    <w:p w:rsidR="00000000" w:rsidRPr="0057014B" w:rsidP="0057014B">
      <w:pPr>
        <w:pStyle w:val="Heading1"/>
      </w:pPr>
      <w:bookmarkStart w:id="9" w:name="O_628521"/>
      <w:bookmarkEnd w:id="9"/>
      <w:r w:rsidRPr="0057014B">
        <w:t>Required Skills and Knowledge</w:t>
      </w:r>
    </w:p>
    <w:tbl>
      <w:tblPr>
        <w:tblW w:w="9640" w:type="dxa"/>
        <w:tblLayout w:type="fixed"/>
        <w:tblCellMar>
          <w:left w:w="62" w:type="dxa"/>
          <w:right w:w="62" w:type="dxa"/>
        </w:tblCellMar>
        <w:tblLook w:val="0000"/>
      </w:tblPr>
      <w:tblGrid>
        <w:gridCol w:w="9640"/>
      </w:tblGrid>
      <w:tr w:rsidTr="0057014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This section describes the knowledge and skills required for this unit.</w:t>
            </w:r>
          </w:p>
        </w:tc>
      </w:tr>
      <w:tr w:rsidTr="0057014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rPr>
                <w:rStyle w:val="SpecialBold"/>
              </w:rPr>
              <w:t>Required knowledge:</w:t>
            </w:r>
          </w:p>
        </w:tc>
      </w:tr>
      <w:tr w:rsidTr="0057014B">
        <w:tblPrEx>
          <w:tblW w:w="9640" w:type="dxa"/>
          <w:tblLayout w:type="fixed"/>
          <w:tblCellMar>
            <w:left w:w="62" w:type="dxa"/>
            <w:right w:w="62" w:type="dxa"/>
          </w:tblCellMar>
          <w:tblLook w:val="0000"/>
        </w:tblPrEx>
        <w:trPr>
          <w:trHeight w:val="57"/>
        </w:trPr>
        <w:tc>
          <w:tcPr>
            <w:tcW w:w="9640" w:type="dxa"/>
            <w:tcBorders>
              <w:top w:val="nil"/>
              <w:left w:val="nil"/>
              <w:bottom w:val="nil"/>
              <w:right w:val="nil"/>
            </w:tcBorders>
            <w:tcMar>
              <w:top w:w="0" w:type="dxa"/>
              <w:left w:w="62" w:type="dxa"/>
              <w:bottom w:w="0" w:type="dxa"/>
              <w:right w:w="62" w:type="dxa"/>
            </w:tcMar>
          </w:tcPr>
          <w:p w:rsidR="00000000" w:rsidRPr="0057014B" w:rsidP="0057014B">
            <w:pPr>
              <w:pStyle w:val="ListBullet"/>
            </w:pPr>
            <w:r w:rsidRPr="0057014B">
              <w:t xml:space="preserve">Identification of waste: </w:t>
            </w:r>
          </w:p>
          <w:p w:rsidR="00000000" w:rsidRPr="0057014B" w:rsidP="0057014B">
            <w:pPr>
              <w:pStyle w:val="ListBullet2"/>
            </w:pPr>
            <w:r w:rsidRPr="0057014B">
              <w:t>contaminants</w:t>
            </w:r>
          </w:p>
          <w:p w:rsidR="00000000" w:rsidRPr="0057014B" w:rsidP="0057014B">
            <w:pPr>
              <w:pStyle w:val="ListBullet2"/>
            </w:pPr>
            <w:r w:rsidRPr="0057014B">
              <w:t>disposal and recovery routes</w:t>
            </w:r>
          </w:p>
          <w:p w:rsidR="00000000" w:rsidRPr="0057014B" w:rsidP="0057014B">
            <w:pPr>
              <w:pStyle w:val="ListBullet2"/>
            </w:pPr>
            <w:r w:rsidRPr="0057014B">
              <w:t>management options</w:t>
            </w:r>
          </w:p>
          <w:p w:rsidR="00000000" w:rsidRPr="0057014B" w:rsidP="0057014B">
            <w:pPr>
              <w:pStyle w:val="ListBullet2"/>
            </w:pPr>
            <w:r w:rsidRPr="0057014B">
              <w:t>monitoring procedures</w:t>
            </w:r>
          </w:p>
          <w:p w:rsidR="00000000" w:rsidRPr="0057014B" w:rsidP="0057014B">
            <w:pPr>
              <w:pStyle w:val="ListBullet2"/>
            </w:pPr>
            <w:r w:rsidRPr="0057014B">
              <w:t>non-conformances</w:t>
            </w:r>
          </w:p>
          <w:p w:rsidR="00000000" w:rsidRPr="0057014B" w:rsidP="0057014B">
            <w:pPr>
              <w:pStyle w:val="ListBullet2"/>
            </w:pPr>
            <w:r w:rsidRPr="0057014B">
              <w:t>non-conformance handling procedures</w:t>
            </w:r>
          </w:p>
          <w:p w:rsidR="00000000" w:rsidRPr="0057014B" w:rsidP="0057014B">
            <w:pPr>
              <w:pStyle w:val="ListBullet2"/>
            </w:pPr>
            <w:r w:rsidRPr="0057014B">
              <w:t xml:space="preserve">storage requirements </w:t>
            </w:r>
          </w:p>
          <w:p w:rsidR="00000000" w:rsidP="0057014B">
            <w:pPr>
              <w:pStyle w:val="ListBullet2"/>
              <w:rPr>
                <w:lang w:val="en-NZ"/>
              </w:rPr>
            </w:pPr>
            <w:r w:rsidRPr="0057014B">
              <w:t>types</w:t>
            </w:r>
          </w:p>
        </w:tc>
      </w:tr>
      <w:tr w:rsidTr="0057014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7014B" w:rsidP="0057014B">
            <w:pPr>
              <w:pStyle w:val="ListBullet"/>
            </w:pPr>
            <w:r w:rsidRPr="0057014B">
              <w:t>Procedures for containing segregated waste types, including containment and isolation of hazardous waste</w:t>
            </w:r>
          </w:p>
          <w:p w:rsidR="00000000" w:rsidRPr="0057014B" w:rsidP="0057014B">
            <w:pPr>
              <w:pStyle w:val="ListBullet"/>
            </w:pPr>
            <w:r w:rsidRPr="0057014B">
              <w:t>emergency response procedures relating to:</w:t>
            </w:r>
          </w:p>
          <w:p w:rsidR="00000000" w:rsidRPr="0057014B" w:rsidP="0057014B">
            <w:pPr>
              <w:pStyle w:val="ListBullet2"/>
            </w:pPr>
            <w:r w:rsidRPr="0057014B">
              <w:t>coding systems</w:t>
            </w:r>
          </w:p>
          <w:p w:rsidR="00000000" w:rsidRPr="0057014B" w:rsidP="0057014B">
            <w:pPr>
              <w:pStyle w:val="ListBullet2"/>
            </w:pPr>
            <w:r w:rsidRPr="0057014B">
              <w:t>confined space procedures</w:t>
            </w:r>
          </w:p>
          <w:p w:rsidR="00000000" w:rsidRPr="0057014B" w:rsidP="0057014B">
            <w:pPr>
              <w:pStyle w:val="ListBullet2"/>
            </w:pPr>
            <w:r w:rsidRPr="0057014B">
              <w:t>duty of care</w:t>
            </w:r>
          </w:p>
          <w:p w:rsidR="00000000" w:rsidRPr="0057014B" w:rsidP="0057014B">
            <w:pPr>
              <w:pStyle w:val="ListBullet2"/>
            </w:pPr>
            <w:r w:rsidRPr="0057014B">
              <w:t>environmental agencies</w:t>
            </w:r>
          </w:p>
          <w:p w:rsidR="00000000" w:rsidRPr="0057014B" w:rsidP="0057014B">
            <w:pPr>
              <w:pStyle w:val="ListBullet2"/>
            </w:pPr>
            <w:r w:rsidRPr="0057014B">
              <w:t>identification of work areas, including location of:</w:t>
            </w:r>
          </w:p>
          <w:p w:rsidR="00000000" w:rsidRPr="0057014B" w:rsidP="0057014B">
            <w:pPr>
              <w:pStyle w:val="ListBullet3"/>
            </w:pPr>
            <w:r w:rsidRPr="0057014B">
              <w:t>alarms</w:t>
            </w:r>
          </w:p>
          <w:p w:rsidR="00000000" w:rsidRPr="0057014B" w:rsidP="0057014B">
            <w:pPr>
              <w:pStyle w:val="ListBullet3"/>
            </w:pPr>
            <w:r w:rsidRPr="0057014B">
              <w:t>emergency equipment</w:t>
            </w:r>
          </w:p>
          <w:p w:rsidR="00000000" w:rsidRPr="0057014B" w:rsidP="0057014B">
            <w:pPr>
              <w:pStyle w:val="ListBullet3"/>
            </w:pPr>
            <w:r w:rsidRPr="0057014B">
              <w:t>communications equipment</w:t>
            </w:r>
          </w:p>
          <w:p w:rsidR="00000000" w:rsidRPr="0057014B" w:rsidP="0057014B">
            <w:pPr>
              <w:pStyle w:val="ListBullet2"/>
            </w:pPr>
            <w:r w:rsidRPr="0057014B">
              <w:t>reporting requirements</w:t>
            </w:r>
          </w:p>
          <w:p w:rsidR="00000000" w:rsidRPr="0057014B" w:rsidP="0057014B">
            <w:pPr>
              <w:pStyle w:val="ListBullet2"/>
            </w:pPr>
            <w:r w:rsidRPr="0057014B">
              <w:t>signalling techniques</w:t>
            </w:r>
          </w:p>
          <w:p w:rsidR="00000000" w:rsidRPr="0057014B" w:rsidP="0057014B">
            <w:pPr>
              <w:pStyle w:val="ListBullet2"/>
            </w:pPr>
            <w:r w:rsidRPr="0057014B">
              <w:t>state/territory environmental regulations</w:t>
            </w:r>
          </w:p>
          <w:p w:rsidR="00000000" w:rsidRPr="0057014B" w:rsidP="0057014B">
            <w:pPr>
              <w:pStyle w:val="ListBullet2"/>
            </w:pPr>
            <w:r w:rsidRPr="0057014B">
              <w:t>waste containment methods and isolation of emergencies</w:t>
            </w:r>
          </w:p>
          <w:p w:rsidR="00000000" w:rsidP="0057014B">
            <w:pPr>
              <w:pStyle w:val="ListBullet2"/>
              <w:rPr>
                <w:lang w:val="en-NZ"/>
              </w:rPr>
            </w:pPr>
            <w:r w:rsidRPr="0057014B">
              <w:t>waste management hierarchy</w:t>
            </w:r>
          </w:p>
        </w:tc>
      </w:tr>
      <w:tr w:rsidTr="0057014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7014B" w:rsidP="0057014B">
            <w:pPr>
              <w:pStyle w:val="ListBullet"/>
            </w:pPr>
            <w:r w:rsidRPr="0057014B">
              <w:t xml:space="preserve"> Work health and safety (WHS)/occupational health and safety (OHS) requirements relating to:</w:t>
            </w:r>
          </w:p>
          <w:p w:rsidR="00000000" w:rsidRPr="0057014B" w:rsidP="0057014B">
            <w:pPr>
              <w:pStyle w:val="ListBullet2"/>
            </w:pPr>
            <w:r w:rsidRPr="0057014B">
              <w:t xml:space="preserve">chemical storage and decanting </w:t>
            </w:r>
          </w:p>
          <w:p w:rsidR="00000000" w:rsidRPr="0057014B" w:rsidP="0057014B">
            <w:pPr>
              <w:pStyle w:val="ListBullet2"/>
            </w:pPr>
            <w:r w:rsidRPr="0057014B">
              <w:t>dangerous goods and hazardous substances</w:t>
            </w:r>
          </w:p>
          <w:p w:rsidR="00000000" w:rsidRPr="0057014B" w:rsidP="0057014B">
            <w:pPr>
              <w:pStyle w:val="ListBullet2"/>
            </w:pPr>
            <w:r w:rsidRPr="0057014B">
              <w:t xml:space="preserve">first aid appropriate to likely hazards and risks in work environment </w:t>
            </w:r>
          </w:p>
          <w:p w:rsidR="00000000" w:rsidP="0057014B">
            <w:pPr>
              <w:pStyle w:val="ListBullet2"/>
              <w:rPr>
                <w:lang w:val="en-NZ"/>
              </w:rPr>
            </w:pPr>
            <w:r w:rsidRPr="0057014B">
              <w:t>hierarchy of control</w:t>
            </w:r>
          </w:p>
        </w:tc>
      </w:tr>
      <w:tr w:rsidTr="0057014B">
        <w:tblPrEx>
          <w:tblW w:w="9640" w:type="dxa"/>
          <w:tblLayout w:type="fixed"/>
          <w:tblCellMar>
            <w:left w:w="62" w:type="dxa"/>
            <w:right w:w="62" w:type="dxa"/>
          </w:tblCellMar>
          <w:tblLook w:val="0000"/>
        </w:tblPrEx>
        <w:trPr>
          <w:trHeight w:val="57"/>
        </w:trPr>
        <w:tc>
          <w:tcPr>
            <w:tcW w:w="9640" w:type="dxa"/>
            <w:tcBorders>
              <w:top w:val="nil"/>
              <w:left w:val="nil"/>
              <w:bottom w:val="nil"/>
              <w:right w:val="nil"/>
            </w:tcBorders>
            <w:tcMar>
              <w:top w:w="0" w:type="dxa"/>
              <w:left w:w="62" w:type="dxa"/>
              <w:bottom w:w="0" w:type="dxa"/>
              <w:right w:w="62" w:type="dxa"/>
            </w:tcMar>
          </w:tcPr>
          <w:p w:rsidR="00000000" w:rsidRPr="0057014B" w:rsidP="0057014B">
            <w:pPr>
              <w:pStyle w:val="ListBullet"/>
            </w:pPr>
            <w:r w:rsidRPr="0057014B">
              <w:t>Potential hazards and risks relating to:</w:t>
            </w:r>
          </w:p>
          <w:p w:rsidR="00000000" w:rsidRPr="0057014B" w:rsidP="0057014B">
            <w:pPr>
              <w:pStyle w:val="ListBullet2"/>
            </w:pPr>
            <w:r w:rsidRPr="0057014B">
              <w:t>dangerous goods</w:t>
            </w:r>
          </w:p>
          <w:p w:rsidR="00000000" w:rsidRPr="0057014B" w:rsidP="0057014B">
            <w:pPr>
              <w:pStyle w:val="ListBullet2"/>
            </w:pPr>
            <w:r w:rsidRPr="0057014B">
              <w:t>potential incidents</w:t>
            </w:r>
          </w:p>
        </w:tc>
      </w:tr>
    </w:tbl>
    <w:p w:rsidR="00000000" w:rsidRPr="0057014B" w:rsidP="0057014B">
      <w:pPr>
        <w:pStyle w:val="BodyText"/>
      </w:pPr>
    </w:p>
    <w:p w:rsidR="00000000" w:rsidRPr="0057014B" w:rsidP="0057014B">
      <w:pPr>
        <w:pStyle w:val="BodyText"/>
      </w:pPr>
    </w:p>
    <w:tbl>
      <w:tblPr>
        <w:tblW w:w="9640" w:type="dxa"/>
        <w:tblLayout w:type="fixed"/>
        <w:tblCellMar>
          <w:left w:w="62" w:type="dxa"/>
          <w:right w:w="62" w:type="dxa"/>
        </w:tblCellMar>
        <w:tblLook w:val="0000"/>
      </w:tblPr>
      <w:tblGrid>
        <w:gridCol w:w="9640"/>
      </w:tblGrid>
      <w:tr w:rsidTr="0057014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rPr>
                <w:rStyle w:val="SpecialBold"/>
              </w:rPr>
              <w:t>Required skills:</w:t>
            </w:r>
          </w:p>
        </w:tc>
      </w:tr>
      <w:tr w:rsidTr="0057014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014B">
            <w:pPr>
              <w:pStyle w:val="ListBullet"/>
              <w:rPr>
                <w:lang w:val="en-NZ"/>
              </w:rPr>
            </w:pPr>
            <w:r w:rsidRPr="0057014B">
              <w:t>Apply signaling techniques</w:t>
            </w:r>
          </w:p>
        </w:tc>
      </w:tr>
      <w:tr w:rsidTr="0057014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014B">
            <w:pPr>
              <w:pStyle w:val="ListBullet"/>
              <w:rPr>
                <w:lang w:val="en-NZ"/>
              </w:rPr>
            </w:pPr>
            <w:r w:rsidRPr="0057014B">
              <w:t>Communicate effectively verbally and in writing</w:t>
            </w:r>
          </w:p>
        </w:tc>
      </w:tr>
      <w:tr w:rsidTr="0057014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014B">
            <w:pPr>
              <w:pStyle w:val="ListBullet"/>
              <w:rPr>
                <w:lang w:val="en-NZ"/>
              </w:rPr>
            </w:pPr>
            <w:r w:rsidRPr="0057014B">
              <w:t>Conduct work practices safely and efficiently</w:t>
            </w:r>
          </w:p>
        </w:tc>
      </w:tr>
      <w:tr w:rsidTr="0057014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014B">
            <w:pPr>
              <w:pStyle w:val="ListBullet"/>
              <w:rPr>
                <w:lang w:val="en-NZ"/>
              </w:rPr>
            </w:pPr>
            <w:r w:rsidRPr="0057014B">
              <w:t>Document and keep records</w:t>
            </w:r>
          </w:p>
        </w:tc>
      </w:tr>
      <w:tr w:rsidTr="0057014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014B">
            <w:pPr>
              <w:pStyle w:val="ListBullet"/>
              <w:rPr>
                <w:lang w:val="en-NZ"/>
              </w:rPr>
            </w:pPr>
            <w:r w:rsidRPr="0057014B">
              <w:t>Follow instructions and ask questions</w:t>
            </w:r>
          </w:p>
        </w:tc>
      </w:tr>
      <w:tr w:rsidTr="0057014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014B">
            <w:pPr>
              <w:pStyle w:val="ListBullet"/>
              <w:rPr>
                <w:lang w:val="en-NZ"/>
              </w:rPr>
            </w:pPr>
            <w:r w:rsidRPr="0057014B">
              <w:t>Identify hazards and assess risks</w:t>
            </w:r>
          </w:p>
        </w:tc>
      </w:tr>
      <w:tr w:rsidTr="0057014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014B">
            <w:pPr>
              <w:pStyle w:val="ListBullet"/>
              <w:rPr>
                <w:lang w:val="en-NZ"/>
              </w:rPr>
            </w:pPr>
            <w:r w:rsidRPr="0057014B">
              <w:t>Identify waste types and waste non-conformances</w:t>
            </w:r>
          </w:p>
        </w:tc>
      </w:tr>
      <w:tr w:rsidTr="0057014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014B">
            <w:pPr>
              <w:pStyle w:val="ListBullet"/>
              <w:rPr>
                <w:lang w:val="en-NZ"/>
              </w:rPr>
            </w:pPr>
            <w:r w:rsidRPr="0057014B">
              <w:t>List</w:t>
            </w:r>
            <w:r w:rsidRPr="0057014B">
              <w:t xml:space="preserve"> potential hazards and risks</w:t>
            </w:r>
          </w:p>
        </w:tc>
      </w:tr>
      <w:tr w:rsidTr="0057014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014B">
            <w:pPr>
              <w:pStyle w:val="ListBullet"/>
              <w:rPr>
                <w:lang w:val="en-NZ"/>
              </w:rPr>
            </w:pPr>
            <w:r w:rsidRPr="0057014B">
              <w:t>Prioritise duties</w:t>
            </w:r>
          </w:p>
        </w:tc>
      </w:tr>
      <w:tr w:rsidTr="0057014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014B">
            <w:pPr>
              <w:pStyle w:val="ListBullet"/>
              <w:rPr>
                <w:lang w:val="en-NZ"/>
              </w:rPr>
            </w:pPr>
            <w:r w:rsidRPr="0057014B">
              <w:t>Provide information</w:t>
            </w:r>
          </w:p>
        </w:tc>
      </w:tr>
      <w:tr w:rsidTr="0057014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7014B" w:rsidP="0057014B">
            <w:pPr>
              <w:pStyle w:val="ListBullet"/>
            </w:pPr>
            <w:r w:rsidRPr="0057014B">
              <w:t>Read and interpret:</w:t>
            </w:r>
          </w:p>
          <w:p w:rsidR="00000000" w:rsidRPr="0057014B" w:rsidP="0057014B">
            <w:pPr>
              <w:pStyle w:val="ListBullet2"/>
            </w:pPr>
            <w:r w:rsidRPr="0057014B">
              <w:t>emergency requirements</w:t>
            </w:r>
          </w:p>
          <w:p w:rsidR="00000000" w:rsidRPr="0057014B" w:rsidP="0057014B">
            <w:pPr>
              <w:pStyle w:val="ListBullet2"/>
            </w:pPr>
            <w:r w:rsidRPr="0057014B">
              <w:t>hazard advice</w:t>
            </w:r>
          </w:p>
          <w:p w:rsidR="00000000" w:rsidRPr="0057014B" w:rsidP="0057014B">
            <w:pPr>
              <w:pStyle w:val="ListBullet2"/>
            </w:pPr>
            <w:r w:rsidRPr="0057014B">
              <w:t>job sheets</w:t>
            </w:r>
          </w:p>
          <w:p w:rsidR="00000000" w:rsidP="0057014B">
            <w:pPr>
              <w:pStyle w:val="ListBullet2"/>
              <w:rPr>
                <w:lang w:val="en-NZ"/>
              </w:rPr>
            </w:pPr>
            <w:r w:rsidRPr="0057014B">
              <w:t>work requirements and safety data sheets (SDS)/material safety data sheets (MSDS)</w:t>
            </w:r>
          </w:p>
        </w:tc>
      </w:tr>
      <w:tr w:rsidTr="0057014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014B">
            <w:pPr>
              <w:pStyle w:val="ListBullet"/>
              <w:rPr>
                <w:lang w:val="en-NZ"/>
              </w:rPr>
            </w:pPr>
            <w:r w:rsidRPr="0057014B">
              <w:t>Segregate valuable resources in composite materials</w:t>
            </w:r>
          </w:p>
        </w:tc>
      </w:tr>
      <w:tr w:rsidTr="0057014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014B">
            <w:pPr>
              <w:pStyle w:val="ListBullet"/>
              <w:rPr>
                <w:lang w:val="en-NZ"/>
              </w:rPr>
            </w:pPr>
            <w:r w:rsidRPr="0057014B">
              <w:t>Segregate waste types, including potentially hazardous waste</w:t>
            </w:r>
          </w:p>
        </w:tc>
      </w:tr>
      <w:tr w:rsidTr="0057014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014B">
            <w:pPr>
              <w:pStyle w:val="ListBullet"/>
              <w:rPr>
                <w:lang w:val="en-NZ"/>
              </w:rPr>
            </w:pPr>
            <w:r w:rsidRPr="0057014B">
              <w:t>Use emergency and personal protective equipment (PPE)</w:t>
            </w:r>
          </w:p>
        </w:tc>
      </w:tr>
      <w:tr w:rsidTr="0057014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7014B" w:rsidP="0057014B">
            <w:pPr>
              <w:pStyle w:val="ListBullet"/>
            </w:pPr>
            <w:r w:rsidRPr="0057014B">
              <w:t>Work as part of a team</w:t>
            </w:r>
          </w:p>
        </w:tc>
      </w:tr>
    </w:tbl>
    <w:p w:rsidR="00000000" w:rsidRPr="0057014B" w:rsidP="0057014B">
      <w:pPr>
        <w:pStyle w:val="BodyText"/>
      </w:pPr>
    </w:p>
    <w:p w:rsidR="00000000" w:rsidRPr="0057014B" w:rsidP="0057014B">
      <w:pPr>
        <w:pStyle w:val="AllowPageBreak"/>
      </w:pPr>
    </w:p>
    <w:p w:rsidR="00000000" w:rsidRPr="0057014B" w:rsidP="0057014B">
      <w:pPr>
        <w:pStyle w:val="Heading1"/>
      </w:pPr>
      <w:bookmarkStart w:id="10" w:name="O_628522"/>
      <w:bookmarkEnd w:id="10"/>
      <w:r w:rsidRPr="0057014B">
        <w:t>Evidence Guide</w:t>
      </w:r>
    </w:p>
    <w:tbl>
      <w:tblPr>
        <w:tblW w:w="9499" w:type="dxa"/>
        <w:tblLayout w:type="fixed"/>
        <w:tblCellMar>
          <w:left w:w="62" w:type="dxa"/>
          <w:right w:w="62" w:type="dxa"/>
        </w:tblCellMar>
        <w:tblLook w:val="0000"/>
      </w:tblPr>
      <w:tblGrid>
        <w:gridCol w:w="2670"/>
        <w:gridCol w:w="6829"/>
      </w:tblGrid>
      <w:tr w:rsidTr="0057014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The evidence guide provide</w:t>
            </w:r>
            <w:r w:rsidRPr="0057014B">
              <w:t>s advice on assessment and must be read in conjunction with the performance criteria, required knowledge and skills, the range statement and the assessment guidelines for this Training Package.</w:t>
            </w:r>
          </w:p>
        </w:tc>
      </w:tr>
      <w:tr w:rsidTr="0057014B">
        <w:tblPrEx>
          <w:tblW w:w="9499" w:type="dxa"/>
          <w:tblLayout w:type="fixed"/>
          <w:tblCellMar>
            <w:left w:w="62" w:type="dxa"/>
            <w:right w:w="62" w:type="dxa"/>
          </w:tblCellMar>
          <w:tblLook w:val="0000"/>
        </w:tblPrEx>
        <w:tc>
          <w:tcPr>
            <w:tcW w:w="2670"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rPr>
                <w:rStyle w:val="SpecialBold"/>
              </w:rPr>
              <w:t>Critical aspects for assessment and evidence required to demonstrate competency in this unit</w:t>
            </w:r>
          </w:p>
        </w:tc>
        <w:tc>
          <w:tcPr>
            <w:tcW w:w="6829" w:type="dxa"/>
            <w:tcBorders>
              <w:top w:val="nil"/>
              <w:left w:val="nil"/>
              <w:bottom w:val="nil"/>
              <w:right w:val="nil"/>
            </w:tcBorders>
            <w:tcMar>
              <w:top w:w="0" w:type="dxa"/>
              <w:left w:w="62" w:type="dxa"/>
              <w:bottom w:w="0" w:type="dxa"/>
              <w:right w:w="62" w:type="dxa"/>
            </w:tcMar>
          </w:tcPr>
          <w:p w:rsidR="00000000" w:rsidRPr="0057014B" w:rsidP="0057014B">
            <w:pPr>
              <w:pStyle w:val="BodyText"/>
            </w:pPr>
            <w:r w:rsidRPr="0057014B">
              <w:t>A person who demonstrates competency in this unit must be able to provide evidence of the required skills and knowledge specified in this unit.</w:t>
            </w:r>
          </w:p>
          <w:p w:rsidR="00000000" w:rsidRPr="0057014B" w:rsidP="0057014B">
            <w:pPr>
              <w:pStyle w:val="BodyText"/>
            </w:pPr>
            <w:r w:rsidRPr="0057014B">
              <w:t>In particular the p</w:t>
            </w:r>
            <w:r w:rsidRPr="0057014B">
              <w:t>erson should demonstrate the ability to:</w:t>
            </w:r>
          </w:p>
          <w:p w:rsidR="00000000" w:rsidRPr="0057014B" w:rsidP="0057014B">
            <w:pPr>
              <w:pStyle w:val="ListBullet"/>
            </w:pPr>
            <w:r w:rsidRPr="0057014B">
              <w:t>identify a range of waste streams, hazardous wastes and waste contaminants</w:t>
            </w:r>
          </w:p>
          <w:p w:rsidR="00000000" w:rsidRPr="0057014B" w:rsidP="0057014B">
            <w:pPr>
              <w:pStyle w:val="ListBullet"/>
            </w:pPr>
            <w:r w:rsidRPr="0057014B">
              <w:t xml:space="preserve">identify a range of potential hazards present in the workplace and assess risk </w:t>
            </w:r>
          </w:p>
          <w:p w:rsidR="00000000" w:rsidP="0057014B">
            <w:pPr>
              <w:pStyle w:val="ListBullet"/>
              <w:rPr>
                <w:lang w:val="en-NZ"/>
              </w:rPr>
            </w:pPr>
            <w:r w:rsidRPr="0057014B">
              <w:t>observe WHS/OHS requirements.</w:t>
            </w:r>
          </w:p>
        </w:tc>
      </w:tr>
      <w:tr w:rsidTr="0057014B">
        <w:tblPrEx>
          <w:tblW w:w="9499" w:type="dxa"/>
          <w:tblLayout w:type="fixed"/>
          <w:tblCellMar>
            <w:left w:w="62" w:type="dxa"/>
            <w:right w:w="62" w:type="dxa"/>
          </w:tblCellMar>
          <w:tblLook w:val="0000"/>
        </w:tblPrEx>
        <w:tc>
          <w:tcPr>
            <w:tcW w:w="2670"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rPr>
                <w:rStyle w:val="SpecialBold"/>
              </w:rPr>
              <w:t>Context of and specific reso</w:t>
            </w:r>
            <w:r w:rsidRPr="0057014B">
              <w:rPr>
                <w:rStyle w:val="SpecialBold"/>
              </w:rPr>
              <w:t>urces for assessment</w:t>
            </w:r>
          </w:p>
        </w:tc>
        <w:tc>
          <w:tcPr>
            <w:tcW w:w="6829" w:type="dxa"/>
            <w:tcBorders>
              <w:top w:val="nil"/>
              <w:left w:val="nil"/>
              <w:bottom w:val="nil"/>
              <w:right w:val="nil"/>
            </w:tcBorders>
            <w:tcMar>
              <w:top w:w="0" w:type="dxa"/>
              <w:left w:w="62" w:type="dxa"/>
              <w:bottom w:w="0" w:type="dxa"/>
              <w:right w:w="62" w:type="dxa"/>
            </w:tcMar>
          </w:tcPr>
          <w:p w:rsidR="00000000" w:rsidRPr="0057014B" w:rsidP="0057014B">
            <w:pPr>
              <w:pStyle w:val="BodyText"/>
            </w:pPr>
            <w:r w:rsidRPr="0057014B">
              <w:t>Performance is demonstrated consistently over time and in a suitable range of contexts.</w:t>
            </w:r>
          </w:p>
          <w:p w:rsidR="00000000" w:rsidRPr="0057014B" w:rsidP="0057014B">
            <w:pPr>
              <w:pStyle w:val="BodyText"/>
            </w:pPr>
            <w:r w:rsidRPr="0057014B">
              <w:t>Assessment of essential required knowledge may be conducted in an off-site context. It is to comply with relevant regulatory or Australian Standard</w:t>
            </w:r>
            <w:r w:rsidRPr="0057014B">
              <w:t>s requirements.</w:t>
            </w:r>
          </w:p>
          <w:p w:rsidR="00000000" w:rsidRPr="0057014B" w:rsidP="0057014B">
            <w:pPr>
              <w:pStyle w:val="BodyText"/>
            </w:pPr>
            <w:r w:rsidRPr="0057014B">
              <w:t>Resource implications for assessment include:</w:t>
            </w:r>
          </w:p>
          <w:p w:rsidR="00000000" w:rsidRPr="0057014B" w:rsidP="0057014B">
            <w:pPr>
              <w:pStyle w:val="ListBullet"/>
            </w:pPr>
            <w:r w:rsidRPr="0057014B">
              <w:t>work plans and approved specifications</w:t>
            </w:r>
          </w:p>
          <w:p w:rsidR="00000000" w:rsidP="0057014B">
            <w:pPr>
              <w:pStyle w:val="ListBullet"/>
              <w:rPr>
                <w:lang w:val="en-NZ"/>
              </w:rPr>
            </w:pPr>
            <w:r w:rsidRPr="0057014B">
              <w:t>forms and procedures manuals.</w:t>
            </w:r>
          </w:p>
        </w:tc>
      </w:tr>
      <w:tr w:rsidTr="0057014B">
        <w:tblPrEx>
          <w:tblW w:w="9499" w:type="dxa"/>
          <w:tblLayout w:type="fixed"/>
          <w:tblCellMar>
            <w:left w:w="62" w:type="dxa"/>
            <w:right w:w="62" w:type="dxa"/>
          </w:tblCellMar>
          <w:tblLook w:val="0000"/>
        </w:tblPrEx>
        <w:tc>
          <w:tcPr>
            <w:tcW w:w="2670" w:type="dxa"/>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rPr>
                <w:rStyle w:val="SpecialBold"/>
              </w:rPr>
              <w:t>Method of assessment</w:t>
            </w:r>
          </w:p>
        </w:tc>
        <w:tc>
          <w:tcPr>
            <w:tcW w:w="6829" w:type="dxa"/>
            <w:tcBorders>
              <w:top w:val="nil"/>
              <w:left w:val="nil"/>
              <w:bottom w:val="nil"/>
              <w:right w:val="nil"/>
            </w:tcBorders>
            <w:tcMar>
              <w:top w:w="0" w:type="dxa"/>
              <w:left w:w="62" w:type="dxa"/>
              <w:bottom w:w="0" w:type="dxa"/>
              <w:right w:w="62" w:type="dxa"/>
            </w:tcMar>
          </w:tcPr>
          <w:p w:rsidR="00000000" w:rsidRPr="0057014B" w:rsidP="0057014B">
            <w:pPr>
              <w:pStyle w:val="BodyText"/>
            </w:pPr>
            <w:r w:rsidRPr="0057014B">
              <w:t>The process of identifying waste and hazards must meet waste industry expectations. If the environment is narrowly defined or is not representative of industry needs, it may be necessary to refer to portfolio case studies to assess competency in the identi</w:t>
            </w:r>
            <w:r w:rsidRPr="0057014B">
              <w:t>fication of waste and hazards.</w:t>
            </w:r>
          </w:p>
          <w:p w:rsidR="00000000" w:rsidRPr="0057014B" w:rsidP="0057014B">
            <w:pPr>
              <w:pStyle w:val="BodyText"/>
            </w:pPr>
            <w:r w:rsidRPr="0057014B">
              <w:t>Assessment methods must:</w:t>
            </w:r>
          </w:p>
          <w:p w:rsidR="00000000" w:rsidRPr="0057014B" w:rsidP="0057014B">
            <w:pPr>
              <w:pStyle w:val="ListBullet"/>
            </w:pPr>
            <w:r w:rsidRPr="0057014B">
              <w:t>satisfy the endorsed Assessment Guidelines of the TLI10 Transport and Logistics Training Package, include direct observation of tasks in real or simulated work conditions, with questioning to confirm</w:t>
            </w:r>
            <w:r w:rsidRPr="0057014B">
              <w:t xml:space="preserve"> the ability to consistently identify and correctly interpret the required knowledge for practical application</w:t>
            </w:r>
          </w:p>
          <w:p w:rsidR="00000000" w:rsidRPr="0057014B" w:rsidP="0057014B">
            <w:pPr>
              <w:pStyle w:val="ListBullet"/>
            </w:pPr>
            <w:r w:rsidRPr="0057014B">
              <w:t>confirm that competency is verified and able to be transferred to other circumstances and environments.</w:t>
            </w:r>
          </w:p>
        </w:tc>
      </w:tr>
    </w:tbl>
    <w:p w:rsidR="00000000" w:rsidRPr="0057014B" w:rsidP="0057014B">
      <w:pPr>
        <w:pStyle w:val="BodyText"/>
      </w:pPr>
    </w:p>
    <w:p w:rsidR="00000000" w:rsidRPr="0057014B" w:rsidP="0057014B">
      <w:pPr>
        <w:pStyle w:val="AllowPageBreak"/>
      </w:pPr>
    </w:p>
    <w:p w:rsidR="00000000" w:rsidRPr="0057014B" w:rsidP="0057014B">
      <w:pPr>
        <w:pStyle w:val="Heading1"/>
      </w:pPr>
      <w:bookmarkStart w:id="11" w:name="O_628523"/>
      <w:bookmarkEnd w:id="11"/>
      <w:r w:rsidRPr="0057014B">
        <w:t>Range Statement</w:t>
      </w:r>
    </w:p>
    <w:tbl>
      <w:tblPr>
        <w:tblW w:w="0" w:type="auto"/>
        <w:tblCellMar>
          <w:left w:w="62" w:type="dxa"/>
          <w:right w:w="62" w:type="dxa"/>
        </w:tblCellMar>
        <w:tblLook w:val="0000"/>
      </w:tblPr>
      <w:tblGrid>
        <w:gridCol w:w="2586"/>
        <w:gridCol w:w="6610"/>
      </w:tblGrid>
      <w:tr w:rsidTr="003A7B9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The range statement relates to the unit of competency as a whole. It allows for different work environments and situations that may affect performance.</w:t>
            </w:r>
          </w:p>
        </w:tc>
      </w:tr>
      <w:tr w:rsidTr="003A7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Waste characteristics may include:</w:t>
            </w:r>
          </w:p>
        </w:tc>
        <w:tc>
          <w:tcPr>
            <w:tcW w:w="0" w:type="auto"/>
            <w:tcBorders>
              <w:top w:val="nil"/>
              <w:left w:val="nil"/>
              <w:bottom w:val="nil"/>
              <w:right w:val="nil"/>
            </w:tcBorders>
            <w:tcMar>
              <w:top w:w="0" w:type="dxa"/>
              <w:left w:w="62" w:type="dxa"/>
              <w:bottom w:w="0" w:type="dxa"/>
              <w:right w:w="62" w:type="dxa"/>
            </w:tcMar>
          </w:tcPr>
          <w:p w:rsidR="00000000" w:rsidRPr="0057014B" w:rsidP="0057014B">
            <w:pPr>
              <w:pStyle w:val="ListBullet"/>
            </w:pPr>
            <w:r w:rsidRPr="0057014B">
              <w:t>density</w:t>
            </w:r>
          </w:p>
          <w:p w:rsidR="00000000" w:rsidRPr="0057014B" w:rsidP="0057014B">
            <w:pPr>
              <w:pStyle w:val="ListBullet"/>
            </w:pPr>
            <w:r w:rsidRPr="0057014B">
              <w:t>level of contamination</w:t>
            </w:r>
          </w:p>
          <w:p w:rsidR="00000000" w:rsidRPr="0057014B" w:rsidP="0057014B">
            <w:pPr>
              <w:pStyle w:val="ListBullet"/>
            </w:pPr>
            <w:r w:rsidRPr="0057014B">
              <w:t>quality</w:t>
            </w:r>
          </w:p>
          <w:p w:rsidR="00000000" w:rsidRPr="0057014B" w:rsidP="0057014B">
            <w:pPr>
              <w:pStyle w:val="ListBullet"/>
            </w:pPr>
            <w:r w:rsidRPr="0057014B">
              <w:t xml:space="preserve">quantity </w:t>
            </w:r>
          </w:p>
          <w:p w:rsidR="00000000" w:rsidRPr="0057014B" w:rsidP="0057014B">
            <w:pPr>
              <w:pStyle w:val="ListBullet"/>
            </w:pPr>
            <w:r w:rsidRPr="0057014B">
              <w:t>shape</w:t>
            </w:r>
          </w:p>
          <w:p w:rsidR="00000000" w:rsidRPr="0057014B" w:rsidP="0057014B">
            <w:pPr>
              <w:pStyle w:val="ListBullet"/>
            </w:pPr>
            <w:r w:rsidRPr="0057014B">
              <w:t>size</w:t>
            </w:r>
          </w:p>
          <w:p w:rsidR="00000000" w:rsidRPr="0057014B" w:rsidP="0057014B">
            <w:pPr>
              <w:pStyle w:val="ListBullet"/>
            </w:pPr>
            <w:r w:rsidRPr="0057014B">
              <w:t>volume</w:t>
            </w:r>
          </w:p>
          <w:p w:rsidR="00000000" w:rsidP="0057014B">
            <w:pPr>
              <w:pStyle w:val="ListBullet"/>
              <w:rPr>
                <w:lang w:val="en-NZ"/>
              </w:rPr>
            </w:pPr>
            <w:r w:rsidRPr="0057014B">
              <w:t>weight</w:t>
            </w:r>
          </w:p>
        </w:tc>
      </w:tr>
      <w:tr w:rsidTr="003A7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Waste stream may include:</w:t>
            </w:r>
          </w:p>
        </w:tc>
        <w:tc>
          <w:tcPr>
            <w:tcW w:w="0" w:type="auto"/>
            <w:tcBorders>
              <w:top w:val="nil"/>
              <w:left w:val="nil"/>
              <w:bottom w:val="nil"/>
              <w:right w:val="nil"/>
            </w:tcBorders>
            <w:tcMar>
              <w:top w:w="0" w:type="dxa"/>
              <w:left w:w="62" w:type="dxa"/>
              <w:bottom w:w="0" w:type="dxa"/>
              <w:right w:w="62" w:type="dxa"/>
            </w:tcMar>
          </w:tcPr>
          <w:p w:rsidR="00000000" w:rsidRPr="0057014B" w:rsidP="0057014B">
            <w:pPr>
              <w:pStyle w:val="ListBullet"/>
            </w:pPr>
            <w:r w:rsidRPr="0057014B">
              <w:t>construction and demolition</w:t>
            </w:r>
          </w:p>
          <w:p w:rsidR="00000000" w:rsidRPr="0057014B" w:rsidP="0057014B">
            <w:pPr>
              <w:pStyle w:val="ListBullet"/>
            </w:pPr>
            <w:r w:rsidRPr="0057014B">
              <w:t>dangerous goods</w:t>
            </w:r>
          </w:p>
          <w:p w:rsidR="00000000" w:rsidRPr="0057014B" w:rsidP="0057014B">
            <w:pPr>
              <w:pStyle w:val="ListBullet"/>
            </w:pPr>
            <w:r w:rsidRPr="0057014B">
              <w:t>green waste</w:t>
            </w:r>
          </w:p>
          <w:p w:rsidR="00000000" w:rsidRPr="0057014B" w:rsidP="0057014B">
            <w:pPr>
              <w:pStyle w:val="ListBullet"/>
            </w:pPr>
            <w:r w:rsidRPr="0057014B">
              <w:t>hazardous substances</w:t>
            </w:r>
          </w:p>
          <w:p w:rsidR="00000000" w:rsidP="0057014B">
            <w:pPr>
              <w:pStyle w:val="ListBullet"/>
              <w:rPr>
                <w:lang w:val="en-NZ"/>
              </w:rPr>
            </w:pPr>
            <w:r w:rsidRPr="0057014B">
              <w:t>municipal waste</w:t>
            </w:r>
          </w:p>
        </w:tc>
      </w:tr>
      <w:tr w:rsidTr="003A7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Waste categories may include:</w:t>
            </w:r>
          </w:p>
        </w:tc>
        <w:tc>
          <w:tcPr>
            <w:tcW w:w="0" w:type="auto"/>
            <w:tcBorders>
              <w:top w:val="nil"/>
              <w:left w:val="nil"/>
              <w:bottom w:val="nil"/>
              <w:right w:val="nil"/>
            </w:tcBorders>
            <w:tcMar>
              <w:top w:w="0" w:type="dxa"/>
              <w:left w:w="62" w:type="dxa"/>
              <w:bottom w:w="0" w:type="dxa"/>
              <w:right w:w="62" w:type="dxa"/>
            </w:tcMar>
          </w:tcPr>
          <w:p w:rsidR="00000000" w:rsidRPr="0057014B" w:rsidP="0057014B">
            <w:pPr>
              <w:pStyle w:val="ListBullet"/>
            </w:pPr>
            <w:r w:rsidRPr="0057014B">
              <w:t>asbestos</w:t>
            </w:r>
          </w:p>
          <w:p w:rsidR="00000000" w:rsidRPr="0057014B" w:rsidP="0057014B">
            <w:pPr>
              <w:pStyle w:val="ListBullet"/>
            </w:pPr>
            <w:r w:rsidRPr="0057014B">
              <w:t>clinical/cytoxic waste –</w:t>
            </w:r>
            <w:r w:rsidRPr="0057014B">
              <w:t xml:space="preserve"> medical waste, dressings, sharps, pharmaceutical products, anatomical waste</w:t>
            </w:r>
          </w:p>
          <w:p w:rsidR="00000000" w:rsidRPr="0057014B" w:rsidP="0057014B">
            <w:pPr>
              <w:pStyle w:val="ListBullet"/>
            </w:pPr>
            <w:r w:rsidRPr="0057014B">
              <w:t>commercial and industrial waste</w:t>
            </w:r>
          </w:p>
          <w:p w:rsidR="00000000" w:rsidRPr="0057014B" w:rsidP="0057014B">
            <w:pPr>
              <w:pStyle w:val="ListBullet"/>
            </w:pPr>
            <w:r w:rsidRPr="0057014B">
              <w:t>construction and demolition waste – broken bricks, concrete, plasterboard, glass, metals, soils, tiles, timbers</w:t>
            </w:r>
          </w:p>
          <w:p w:rsidR="00000000" w:rsidRPr="0057014B" w:rsidP="0057014B">
            <w:pPr>
              <w:pStyle w:val="ListBullet"/>
            </w:pPr>
            <w:r w:rsidRPr="0057014B">
              <w:t>general household waste/hard rubbis</w:t>
            </w:r>
            <w:r w:rsidRPr="0057014B">
              <w:t>h</w:t>
            </w:r>
          </w:p>
          <w:p w:rsidR="00000000" w:rsidRPr="0057014B" w:rsidP="0057014B">
            <w:pPr>
              <w:pStyle w:val="ListBullet"/>
            </w:pPr>
            <w:r w:rsidRPr="0057014B">
              <w:t xml:space="preserve">hazardous waste – acid, caustic, greasy trap waste, oily rags, filters, coolants, oily sludges, septic waste, solvents, trade waste (i.e. paints), used cooking oils, batteries </w:t>
            </w:r>
          </w:p>
          <w:p w:rsidR="00000000" w:rsidRPr="0057014B" w:rsidP="0057014B">
            <w:pPr>
              <w:pStyle w:val="ListBullet"/>
            </w:pPr>
            <w:r w:rsidRPr="0057014B">
              <w:t>manufactured products – clothing and footwear</w:t>
            </w:r>
          </w:p>
          <w:p w:rsidR="00000000" w:rsidRPr="0057014B" w:rsidP="0057014B">
            <w:pPr>
              <w:pStyle w:val="ListBullet"/>
            </w:pPr>
            <w:r w:rsidRPr="0057014B">
              <w:t>organic and green waste –</w:t>
            </w:r>
            <w:r w:rsidRPr="0057014B">
              <w:t xml:space="preserve"> fruit, vegetables, fish, all green waste</w:t>
            </w:r>
          </w:p>
          <w:p w:rsidR="00000000" w:rsidRPr="0057014B" w:rsidP="0057014B">
            <w:pPr>
              <w:pStyle w:val="ListBullet"/>
            </w:pPr>
            <w:r w:rsidRPr="0057014B">
              <w:t>processed food and beverage waste – food, beverages, tobacco and liquor, used cooking oil</w:t>
            </w:r>
          </w:p>
          <w:p w:rsidR="00000000" w:rsidRPr="0057014B" w:rsidP="0057014B">
            <w:pPr>
              <w:pStyle w:val="ListBullet"/>
            </w:pPr>
            <w:r w:rsidRPr="0057014B">
              <w:t>quarantine waste – airport and seaport amnesty bin waste, wash water waste from international vessels and from cleaning of h</w:t>
            </w:r>
            <w:r w:rsidRPr="0057014B">
              <w:t>eavy vehicles</w:t>
            </w:r>
          </w:p>
          <w:p w:rsidR="00000000" w:rsidRPr="0057014B" w:rsidP="0057014B">
            <w:pPr>
              <w:pStyle w:val="ListBullet"/>
            </w:pPr>
            <w:r w:rsidRPr="0057014B">
              <w:t>recyclable materials – cardboard, plastic wrap, polystyrene, newspapers, magazines, phone books, boxes, cartons and packaging</w:t>
            </w:r>
          </w:p>
          <w:p w:rsidR="00000000" w:rsidP="0057014B">
            <w:pPr>
              <w:pStyle w:val="ListBullet"/>
              <w:rPr>
                <w:lang w:val="en-NZ"/>
              </w:rPr>
            </w:pPr>
            <w:r w:rsidRPr="0057014B">
              <w:t>sanitary waste</w:t>
            </w:r>
          </w:p>
        </w:tc>
      </w:tr>
      <w:tr w:rsidTr="003A7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Hazardous and dangerous waste may include:</w:t>
            </w:r>
          </w:p>
        </w:tc>
        <w:tc>
          <w:tcPr>
            <w:tcW w:w="0" w:type="auto"/>
            <w:tcBorders>
              <w:top w:val="nil"/>
              <w:left w:val="nil"/>
              <w:bottom w:val="nil"/>
              <w:right w:val="nil"/>
            </w:tcBorders>
            <w:tcMar>
              <w:top w:w="0" w:type="dxa"/>
              <w:left w:w="62" w:type="dxa"/>
              <w:bottom w:w="0" w:type="dxa"/>
              <w:right w:w="62" w:type="dxa"/>
            </w:tcMar>
          </w:tcPr>
          <w:p w:rsidR="00000000" w:rsidRPr="0057014B" w:rsidP="0057014B">
            <w:pPr>
              <w:pStyle w:val="ListBullet"/>
            </w:pPr>
            <w:r w:rsidRPr="0057014B">
              <w:t>all waste depending on the condition, environment and ex</w:t>
            </w:r>
            <w:r w:rsidRPr="0057014B">
              <w:t>tent of personal exposure</w:t>
            </w:r>
          </w:p>
          <w:p w:rsidR="00000000" w:rsidRPr="0057014B" w:rsidP="0057014B">
            <w:pPr>
              <w:pStyle w:val="ListBullet"/>
            </w:pPr>
            <w:r w:rsidRPr="0057014B">
              <w:t xml:space="preserve">asbestos </w:t>
            </w:r>
          </w:p>
          <w:p w:rsidR="00000000" w:rsidRPr="0057014B" w:rsidP="0057014B">
            <w:pPr>
              <w:pStyle w:val="ListBullet"/>
            </w:pPr>
            <w:r w:rsidRPr="0057014B">
              <w:t>biological products</w:t>
            </w:r>
          </w:p>
          <w:p w:rsidR="00000000" w:rsidRPr="0057014B" w:rsidP="0057014B">
            <w:pPr>
              <w:pStyle w:val="ListBullet"/>
            </w:pPr>
            <w:r w:rsidRPr="0057014B">
              <w:t>blood products</w:t>
            </w:r>
          </w:p>
          <w:p w:rsidR="00000000" w:rsidRPr="0057014B" w:rsidP="0057014B">
            <w:pPr>
              <w:pStyle w:val="ListBullet"/>
            </w:pPr>
            <w:r w:rsidRPr="0057014B">
              <w:t>chemicals</w:t>
            </w:r>
          </w:p>
          <w:p w:rsidR="00000000" w:rsidRPr="0057014B" w:rsidP="0057014B">
            <w:pPr>
              <w:pStyle w:val="ListBullet"/>
            </w:pPr>
            <w:r w:rsidRPr="0057014B">
              <w:t>electrical wiring</w:t>
            </w:r>
          </w:p>
          <w:p w:rsidR="00000000" w:rsidRPr="0057014B" w:rsidP="0057014B">
            <w:pPr>
              <w:pStyle w:val="ListBullet"/>
            </w:pPr>
            <w:r w:rsidRPr="0057014B">
              <w:t>glass</w:t>
            </w:r>
          </w:p>
          <w:p w:rsidR="00000000" w:rsidRPr="0057014B" w:rsidP="0057014B">
            <w:pPr>
              <w:pStyle w:val="ListBullet"/>
            </w:pPr>
            <w:r w:rsidRPr="0057014B">
              <w:t>hospital waste</w:t>
            </w:r>
          </w:p>
          <w:p w:rsidR="00000000" w:rsidRPr="0057014B" w:rsidP="0057014B">
            <w:pPr>
              <w:pStyle w:val="ListBullet"/>
            </w:pPr>
            <w:r w:rsidRPr="0057014B">
              <w:t>leaking containers</w:t>
            </w:r>
          </w:p>
          <w:p w:rsidR="00000000" w:rsidRPr="0057014B" w:rsidP="0057014B">
            <w:pPr>
              <w:pStyle w:val="ListBullet"/>
            </w:pPr>
            <w:r w:rsidRPr="0057014B">
              <w:t>medical waste</w:t>
            </w:r>
          </w:p>
          <w:p w:rsidR="00000000" w:rsidRPr="0057014B" w:rsidP="0057014B">
            <w:pPr>
              <w:pStyle w:val="ListBullet"/>
            </w:pPr>
            <w:r w:rsidRPr="0057014B">
              <w:t>needles and syringes</w:t>
            </w:r>
          </w:p>
          <w:p w:rsidR="00000000" w:rsidP="0057014B">
            <w:pPr>
              <w:pStyle w:val="ListBullet"/>
              <w:rPr>
                <w:lang w:val="en-NZ"/>
              </w:rPr>
            </w:pPr>
            <w:r w:rsidRPr="0057014B">
              <w:t>oil and petrol</w:t>
            </w:r>
          </w:p>
        </w:tc>
      </w:tr>
      <w:tr w:rsidTr="003A7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Non conforming waste may include:</w:t>
            </w:r>
          </w:p>
        </w:tc>
        <w:tc>
          <w:tcPr>
            <w:tcW w:w="0" w:type="auto"/>
            <w:tcBorders>
              <w:top w:val="nil"/>
              <w:left w:val="nil"/>
              <w:bottom w:val="nil"/>
              <w:right w:val="nil"/>
            </w:tcBorders>
            <w:tcMar>
              <w:top w:w="0" w:type="dxa"/>
              <w:left w:w="62" w:type="dxa"/>
              <w:bottom w:w="0" w:type="dxa"/>
              <w:right w:w="62" w:type="dxa"/>
            </w:tcMar>
          </w:tcPr>
          <w:p w:rsidR="00000000" w:rsidRPr="0057014B" w:rsidP="0057014B">
            <w:pPr>
              <w:pStyle w:val="ListBullet"/>
            </w:pPr>
            <w:r w:rsidRPr="0057014B">
              <w:t>contamination</w:t>
            </w:r>
          </w:p>
          <w:p w:rsidR="00000000" w:rsidRPr="0057014B" w:rsidP="0057014B">
            <w:pPr>
              <w:pStyle w:val="ListBullet"/>
            </w:pPr>
            <w:r w:rsidRPr="0057014B">
              <w:t>hazardous or dangerous waste</w:t>
            </w:r>
          </w:p>
          <w:p w:rsidR="00000000" w:rsidP="0057014B">
            <w:pPr>
              <w:pStyle w:val="ListBullet"/>
              <w:rPr>
                <w:lang w:val="en-NZ"/>
              </w:rPr>
            </w:pPr>
            <w:r w:rsidRPr="0057014B">
              <w:t>inferior quality and unacceptable waste streams</w:t>
            </w:r>
          </w:p>
        </w:tc>
      </w:tr>
      <w:tr w:rsidTr="003A7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Contaminants may include:</w:t>
            </w:r>
          </w:p>
        </w:tc>
        <w:tc>
          <w:tcPr>
            <w:tcW w:w="0" w:type="auto"/>
            <w:tcBorders>
              <w:top w:val="nil"/>
              <w:left w:val="nil"/>
              <w:bottom w:val="nil"/>
              <w:right w:val="nil"/>
            </w:tcBorders>
            <w:tcMar>
              <w:top w:w="0" w:type="dxa"/>
              <w:left w:w="62" w:type="dxa"/>
              <w:bottom w:w="0" w:type="dxa"/>
              <w:right w:w="62" w:type="dxa"/>
            </w:tcMar>
          </w:tcPr>
          <w:p w:rsidR="00000000" w:rsidRPr="0057014B" w:rsidP="0057014B">
            <w:pPr>
              <w:pStyle w:val="ListBullet"/>
            </w:pPr>
            <w:r w:rsidRPr="0057014B">
              <w:t>infestation</w:t>
            </w:r>
          </w:p>
          <w:p w:rsidR="00000000" w:rsidRPr="0057014B" w:rsidP="0057014B">
            <w:pPr>
              <w:pStyle w:val="ListBullet"/>
            </w:pPr>
            <w:r w:rsidRPr="0057014B">
              <w:t>mixing waste types</w:t>
            </w:r>
          </w:p>
          <w:p w:rsidR="00000000" w:rsidRPr="0057014B" w:rsidP="0057014B">
            <w:pPr>
              <w:pStyle w:val="ListBullet"/>
            </w:pPr>
            <w:r w:rsidRPr="0057014B">
              <w:t>rot or mould</w:t>
            </w:r>
          </w:p>
          <w:p w:rsidR="00000000" w:rsidRPr="0057014B" w:rsidP="0057014B">
            <w:pPr>
              <w:pStyle w:val="ListBullet"/>
            </w:pPr>
            <w:r w:rsidRPr="0057014B">
              <w:t>sunlight</w:t>
            </w:r>
          </w:p>
          <w:p w:rsidR="00000000" w:rsidP="0057014B">
            <w:pPr>
              <w:pStyle w:val="ListBullet"/>
              <w:rPr>
                <w:lang w:val="en-NZ"/>
              </w:rPr>
            </w:pPr>
            <w:r w:rsidRPr="0057014B">
              <w:t>waterlogging</w:t>
            </w:r>
          </w:p>
        </w:tc>
      </w:tr>
      <w:tr w:rsidTr="003A7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Other potential hazards and risks are those that may lead to:</w:t>
            </w:r>
          </w:p>
        </w:tc>
        <w:tc>
          <w:tcPr>
            <w:tcW w:w="0" w:type="auto"/>
            <w:tcBorders>
              <w:top w:val="nil"/>
              <w:left w:val="nil"/>
              <w:bottom w:val="nil"/>
              <w:right w:val="nil"/>
            </w:tcBorders>
            <w:tcMar>
              <w:top w:w="0" w:type="dxa"/>
              <w:left w:w="62" w:type="dxa"/>
              <w:bottom w:w="0" w:type="dxa"/>
              <w:right w:w="62" w:type="dxa"/>
            </w:tcMar>
          </w:tcPr>
          <w:p w:rsidR="00000000" w:rsidRPr="0057014B" w:rsidP="0057014B">
            <w:pPr>
              <w:pStyle w:val="ListBullet"/>
            </w:pPr>
            <w:r w:rsidRPr="0057014B">
              <w:t>damage to plant, vehicle or property</w:t>
            </w:r>
          </w:p>
          <w:p w:rsidR="00000000" w:rsidRPr="0057014B" w:rsidP="0057014B">
            <w:pPr>
              <w:pStyle w:val="ListBullet"/>
            </w:pPr>
            <w:r w:rsidRPr="0057014B">
              <w:t>harm to the environment, including soil and streams</w:t>
            </w:r>
          </w:p>
          <w:p w:rsidR="00000000" w:rsidRPr="0057014B" w:rsidP="0057014B">
            <w:pPr>
              <w:pStyle w:val="ListBullet"/>
            </w:pPr>
            <w:r w:rsidRPr="0057014B">
              <w:t>illness or injury to employees, contractors or the general public</w:t>
            </w:r>
          </w:p>
          <w:p w:rsidR="00000000" w:rsidP="0057014B">
            <w:pPr>
              <w:pStyle w:val="ListBullet"/>
              <w:rPr>
                <w:lang w:val="en-NZ"/>
              </w:rPr>
            </w:pPr>
            <w:r w:rsidRPr="0057014B">
              <w:t>injuries resulting from manual handling and repetitive work</w:t>
            </w:r>
          </w:p>
        </w:tc>
      </w:tr>
      <w:tr w:rsidTr="003A7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014B">
            <w:pPr>
              <w:pStyle w:val="BodyText"/>
              <w:rPr>
                <w:lang w:val="en-NZ"/>
              </w:rPr>
            </w:pPr>
            <w:r w:rsidRPr="0057014B">
              <w:t>Hazards and risks may include:</w:t>
            </w:r>
          </w:p>
        </w:tc>
        <w:tc>
          <w:tcPr>
            <w:tcW w:w="0" w:type="auto"/>
            <w:tcBorders>
              <w:top w:val="nil"/>
              <w:left w:val="nil"/>
              <w:bottom w:val="nil"/>
              <w:right w:val="nil"/>
            </w:tcBorders>
            <w:tcMar>
              <w:top w:w="0" w:type="dxa"/>
              <w:left w:w="62" w:type="dxa"/>
              <w:bottom w:w="0" w:type="dxa"/>
              <w:right w:w="62" w:type="dxa"/>
            </w:tcMar>
          </w:tcPr>
          <w:p w:rsidR="00000000" w:rsidRPr="0057014B" w:rsidP="0057014B">
            <w:pPr>
              <w:pStyle w:val="ListBullet"/>
            </w:pPr>
            <w:r w:rsidRPr="0057014B">
              <w:t>broken g</w:t>
            </w:r>
            <w:r w:rsidRPr="0057014B">
              <w:t>lass</w:t>
            </w:r>
          </w:p>
          <w:p w:rsidR="00000000" w:rsidRPr="0057014B" w:rsidP="0057014B">
            <w:pPr>
              <w:pStyle w:val="ListBullet"/>
            </w:pPr>
            <w:r w:rsidRPr="0057014B">
              <w:t>burns</w:t>
            </w:r>
          </w:p>
          <w:p w:rsidR="00000000" w:rsidRPr="0057014B" w:rsidP="0057014B">
            <w:pPr>
              <w:pStyle w:val="ListBullet"/>
            </w:pPr>
            <w:r w:rsidRPr="0057014B">
              <w:t>clinical/cytotoxic waste (e.g. dressings and sharps)</w:t>
            </w:r>
          </w:p>
          <w:p w:rsidR="00000000" w:rsidRPr="0057014B" w:rsidP="0057014B">
            <w:pPr>
              <w:pStyle w:val="ListBullet"/>
            </w:pPr>
            <w:r w:rsidRPr="0057014B">
              <w:t>compaction equipment</w:t>
            </w:r>
          </w:p>
          <w:p w:rsidR="00000000" w:rsidRPr="0057014B" w:rsidP="0057014B">
            <w:pPr>
              <w:pStyle w:val="ListBullet"/>
            </w:pPr>
            <w:r w:rsidRPr="0057014B">
              <w:t>contamination</w:t>
            </w:r>
          </w:p>
          <w:p w:rsidR="00000000" w:rsidRPr="0057014B" w:rsidP="0057014B">
            <w:pPr>
              <w:pStyle w:val="ListBullet"/>
            </w:pPr>
            <w:r w:rsidRPr="0057014B">
              <w:t>corrosion</w:t>
            </w:r>
          </w:p>
          <w:p w:rsidR="00000000" w:rsidRPr="0057014B" w:rsidP="0057014B">
            <w:pPr>
              <w:pStyle w:val="ListBullet"/>
            </w:pPr>
            <w:r w:rsidRPr="0057014B">
              <w:t>dust</w:t>
            </w:r>
          </w:p>
          <w:p w:rsidR="00000000" w:rsidRPr="0057014B" w:rsidP="0057014B">
            <w:pPr>
              <w:pStyle w:val="ListBullet"/>
            </w:pPr>
            <w:r w:rsidRPr="0057014B">
              <w:t>fire</w:t>
            </w:r>
          </w:p>
          <w:p w:rsidR="00000000" w:rsidRPr="0057014B" w:rsidP="0057014B">
            <w:pPr>
              <w:pStyle w:val="ListBullet"/>
            </w:pPr>
            <w:r w:rsidRPr="0057014B">
              <w:t xml:space="preserve">fumes </w:t>
            </w:r>
          </w:p>
          <w:p w:rsidR="00000000" w:rsidRPr="0057014B" w:rsidP="0057014B">
            <w:pPr>
              <w:pStyle w:val="ListBullet"/>
            </w:pPr>
            <w:r w:rsidRPr="0057014B">
              <w:t>narrow driveways</w:t>
            </w:r>
          </w:p>
          <w:p w:rsidR="00000000" w:rsidRPr="0057014B" w:rsidP="0057014B">
            <w:pPr>
              <w:pStyle w:val="ListBullet"/>
            </w:pPr>
            <w:r w:rsidRPr="0057014B">
              <w:t>other vehicles and equipment</w:t>
            </w:r>
          </w:p>
          <w:p w:rsidR="00000000" w:rsidRPr="0057014B" w:rsidP="0057014B">
            <w:pPr>
              <w:pStyle w:val="ListBullet"/>
            </w:pPr>
            <w:r w:rsidRPr="0057014B">
              <w:t>overhanging signs</w:t>
            </w:r>
          </w:p>
          <w:p w:rsidR="00000000" w:rsidRPr="0057014B" w:rsidP="0057014B">
            <w:pPr>
              <w:pStyle w:val="ListBullet"/>
            </w:pPr>
            <w:r w:rsidRPr="0057014B">
              <w:t>projectiles</w:t>
            </w:r>
          </w:p>
          <w:p w:rsidR="00000000" w:rsidRPr="0057014B" w:rsidP="0057014B">
            <w:pPr>
              <w:pStyle w:val="ListBullet"/>
            </w:pPr>
            <w:r w:rsidRPr="0057014B">
              <w:t>spark-producing equipment</w:t>
            </w:r>
          </w:p>
          <w:p w:rsidR="00000000" w:rsidRPr="0057014B" w:rsidP="0057014B">
            <w:pPr>
              <w:pStyle w:val="ListBullet"/>
            </w:pPr>
            <w:r w:rsidRPr="0057014B">
              <w:t>weather</w:t>
            </w:r>
          </w:p>
        </w:tc>
      </w:tr>
    </w:tbl>
    <w:p w:rsidR="00000000" w:rsidRPr="0057014B" w:rsidP="0057014B">
      <w:pPr>
        <w:pStyle w:val="BodyText"/>
      </w:pPr>
    </w:p>
    <w:p w:rsidR="00000000" w:rsidRPr="0057014B" w:rsidP="0057014B">
      <w:pPr>
        <w:pStyle w:val="AllowPageBreak"/>
      </w:pPr>
    </w:p>
    <w:p w:rsidR="00000000" w:rsidRPr="0057014B" w:rsidP="0057014B">
      <w:pPr>
        <w:pStyle w:val="Heading1"/>
      </w:pPr>
      <w:bookmarkStart w:id="12" w:name="O_628524"/>
      <w:bookmarkEnd w:id="12"/>
      <w:r w:rsidRPr="0057014B">
        <w:t>Unit Sector(s)</w:t>
      </w:r>
    </w:p>
    <w:p w:rsidR="00000000" w:rsidRPr="0057014B" w:rsidP="0057014B">
      <w:pPr>
        <w:pStyle w:val="BodyText"/>
      </w:pPr>
      <w:r w:rsidRPr="0057014B">
        <w:t>Not applicable.</w:t>
      </w:r>
    </w:p>
    <w:p w:rsidR="00000000" w:rsidRPr="0057014B" w:rsidP="0057014B">
      <w:pPr>
        <w:pStyle w:val="AllowPageBreak"/>
      </w:pPr>
    </w:p>
    <w:p w:rsidR="00000000" w:rsidRPr="0057014B" w:rsidP="0057014B">
      <w:pPr>
        <w:pStyle w:val="Heading1"/>
      </w:pPr>
      <w:bookmarkStart w:id="13" w:name="O_628525"/>
      <w:bookmarkEnd w:id="13"/>
      <w:r w:rsidRPr="0057014B">
        <w:t>Competency Field</w:t>
      </w:r>
    </w:p>
    <w:p w:rsidR="00000000" w:rsidRPr="0057014B" w:rsidP="0057014B">
      <w:pPr>
        <w:pStyle w:val="BodyText"/>
      </w:pPr>
      <w:r w:rsidRPr="0057014B">
        <w:t>U – Environment</w:t>
      </w:r>
    </w:p>
    <w:p w:rsidR="00000000" w:rsidRPr="0057014B" w:rsidP="0057014B"/>
    <w:sectPr w:rsidSect="005701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4B" w:rsidRPr="003A7B97" w:rsidP="003A7B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B97" w:rsidP="005701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A7B97" w:rsidP="0057014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A7B97" w:rsidP="005701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4B" w:rsidRPr="003A7B97" w:rsidP="003A7B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B97" w:rsidRPr="002D2AF8" w:rsidP="0057014B">
    <w:pPr>
      <w:pStyle w:val="Header"/>
      <w:framePr w:wrap="around"/>
    </w:pPr>
    <w:r>
      <w:fldChar w:fldCharType="begin"/>
    </w:r>
    <w:r>
      <w:instrText xml:space="preserve"> TITLE   \* MERGEFORMAT </w:instrText>
    </w:r>
    <w:r>
      <w:fldChar w:fldCharType="separate"/>
    </w:r>
    <w:r>
      <w:t>TLIU3015A Identify wastes and hazards in the waste management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3A7B97" w:rsidP="005701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24C6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06E9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ECED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1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14B"/>
    <w:pPr>
      <w:spacing w:before="360" w:after="60"/>
      <w:outlineLvl w:val="0"/>
    </w:pPr>
    <w:rPr>
      <w:sz w:val="32"/>
    </w:rPr>
  </w:style>
  <w:style w:type="paragraph" w:styleId="Heading2">
    <w:name w:val="heading 2"/>
    <w:basedOn w:val="HeadingBase"/>
    <w:next w:val="BodyText"/>
    <w:link w:val="Heading2Char"/>
    <w:qFormat/>
    <w:rsid w:val="0057014B"/>
    <w:pPr>
      <w:keepLines/>
      <w:spacing w:before="240" w:after="120"/>
      <w:outlineLvl w:val="1"/>
    </w:pPr>
    <w:rPr>
      <w:sz w:val="28"/>
      <w:szCs w:val="40"/>
    </w:rPr>
  </w:style>
  <w:style w:type="paragraph" w:styleId="Heading3">
    <w:name w:val="heading 3"/>
    <w:basedOn w:val="HeadingBase"/>
    <w:next w:val="BodyText"/>
    <w:link w:val="Heading3Char"/>
    <w:qFormat/>
    <w:rsid w:val="0057014B"/>
    <w:pPr>
      <w:spacing w:before="180" w:after="120"/>
      <w:outlineLvl w:val="2"/>
    </w:pPr>
    <w:rPr>
      <w:spacing w:val="-10"/>
      <w:kern w:val="32"/>
    </w:rPr>
  </w:style>
  <w:style w:type="paragraph" w:styleId="Heading4">
    <w:name w:val="heading 4"/>
    <w:basedOn w:val="HeadingBase"/>
    <w:next w:val="BodyText"/>
    <w:link w:val="Heading4Char"/>
    <w:qFormat/>
    <w:rsid w:val="0057014B"/>
    <w:pPr>
      <w:spacing w:before="160" w:after="120"/>
      <w:outlineLvl w:val="3"/>
    </w:pPr>
    <w:rPr>
      <w:sz w:val="22"/>
    </w:rPr>
  </w:style>
  <w:style w:type="paragraph" w:styleId="Heading5">
    <w:name w:val="heading 5"/>
    <w:basedOn w:val="HeadingBase"/>
    <w:next w:val="Normal"/>
    <w:link w:val="Heading5Char"/>
    <w:qFormat/>
    <w:rsid w:val="0057014B"/>
    <w:pPr>
      <w:spacing w:before="80"/>
      <w:outlineLvl w:val="4"/>
    </w:pPr>
    <w:rPr>
      <w:color w:val="918585"/>
      <w:sz w:val="20"/>
    </w:rPr>
  </w:style>
  <w:style w:type="paragraph" w:styleId="Heading6">
    <w:name w:val="heading 6"/>
    <w:basedOn w:val="HeadingBase"/>
    <w:next w:val="Normal"/>
    <w:link w:val="Heading6Char"/>
    <w:qFormat/>
    <w:rsid w:val="0057014B"/>
    <w:pPr>
      <w:spacing w:before="60"/>
      <w:outlineLvl w:val="5"/>
    </w:pPr>
    <w:rPr>
      <w:color w:val="918585"/>
      <w:sz w:val="20"/>
    </w:rPr>
  </w:style>
  <w:style w:type="paragraph" w:styleId="Heading7">
    <w:name w:val="heading 7"/>
    <w:basedOn w:val="Normal"/>
    <w:next w:val="Normal"/>
    <w:link w:val="Heading7Char"/>
    <w:qFormat/>
    <w:rsid w:val="0057014B"/>
    <w:pPr>
      <w:ind w:left="720"/>
      <w:outlineLvl w:val="6"/>
    </w:pPr>
    <w:rPr>
      <w:i/>
    </w:rPr>
  </w:style>
  <w:style w:type="paragraph" w:styleId="Heading8">
    <w:name w:val="heading 8"/>
    <w:basedOn w:val="Normal"/>
    <w:next w:val="Normal"/>
    <w:link w:val="Heading8Char"/>
    <w:qFormat/>
    <w:rsid w:val="0057014B"/>
    <w:pPr>
      <w:ind w:left="720"/>
      <w:outlineLvl w:val="7"/>
    </w:pPr>
    <w:rPr>
      <w:i/>
    </w:rPr>
  </w:style>
  <w:style w:type="paragraph" w:styleId="Heading9">
    <w:name w:val="heading 9"/>
    <w:basedOn w:val="Normal"/>
    <w:next w:val="Normal"/>
    <w:link w:val="Heading9Char"/>
    <w:qFormat/>
    <w:rsid w:val="0057014B"/>
    <w:pPr>
      <w:ind w:left="720"/>
      <w:outlineLvl w:val="8"/>
    </w:pPr>
    <w:rPr>
      <w:i/>
    </w:rPr>
  </w:style>
  <w:style w:type="character" w:default="1" w:styleId="DefaultParagraphFont">
    <w:name w:val="Default Paragraph Font"/>
    <w:uiPriority w:val="1"/>
    <w:unhideWhenUsed/>
    <w:rsid w:val="005701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14B"/>
  </w:style>
  <w:style w:type="character" w:customStyle="1" w:styleId="Heading1Char">
    <w:name w:val="Heading 1 Char"/>
    <w:basedOn w:val="DefaultParagraphFont"/>
    <w:link w:val="Heading1"/>
    <w:rsid w:val="0057014B"/>
    <w:rPr>
      <w:rFonts w:ascii="Times New Roman" w:eastAsia="Times New Roman" w:hAnsi="Times New Roman" w:cs="Times New Roman"/>
      <w:b/>
      <w:sz w:val="32"/>
      <w:szCs w:val="20"/>
      <w:lang w:eastAsia="en-US"/>
    </w:rPr>
  </w:style>
  <w:style w:type="paragraph" w:styleId="BodyText">
    <w:name w:val="Body Text"/>
    <w:basedOn w:val="Normal"/>
    <w:link w:val="BodyTextChar"/>
    <w:rsid w:val="005701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014B"/>
    <w:rPr>
      <w:rFonts w:ascii="Times New Roman" w:eastAsia="Times New Roman" w:hAnsi="Times New Roman" w:cs="Times New Roman"/>
      <w:sz w:val="24"/>
      <w:lang w:eastAsia="en-US"/>
    </w:rPr>
  </w:style>
  <w:style w:type="paragraph" w:styleId="ListBullet">
    <w:name w:val="List Bullet"/>
    <w:basedOn w:val="List"/>
    <w:rsid w:val="0057014B"/>
    <w:pPr>
      <w:numPr>
        <w:numId w:val="14"/>
      </w:numPr>
      <w:tabs>
        <w:tab w:val="clear" w:pos="340"/>
      </w:tabs>
      <w:spacing w:before="40" w:after="40"/>
    </w:pPr>
  </w:style>
  <w:style w:type="character" w:customStyle="1" w:styleId="SpecialBold">
    <w:name w:val="Special Bold"/>
    <w:basedOn w:val="DefaultParagraphFont"/>
    <w:rsid w:val="0057014B"/>
    <w:rPr>
      <w:b/>
      <w:spacing w:val="0"/>
    </w:rPr>
  </w:style>
  <w:style w:type="paragraph" w:styleId="ListBullet2">
    <w:name w:val="List Bullet 2"/>
    <w:basedOn w:val="List2"/>
    <w:rsid w:val="0057014B"/>
    <w:pPr>
      <w:numPr>
        <w:numId w:val="15"/>
      </w:numPr>
      <w:tabs>
        <w:tab w:val="clear" w:pos="680"/>
      </w:tabs>
    </w:pPr>
  </w:style>
  <w:style w:type="paragraph" w:customStyle="1" w:styleId="SuperHeading">
    <w:name w:val="SuperHeading"/>
    <w:basedOn w:val="Normal"/>
    <w:rsid w:val="0057014B"/>
    <w:pPr>
      <w:spacing w:before="240" w:after="120"/>
      <w:outlineLvl w:val="0"/>
    </w:pPr>
    <w:rPr>
      <w:rFonts w:ascii="Times New Roman" w:hAnsi="Times New Roman"/>
      <w:b/>
      <w:sz w:val="32"/>
    </w:rPr>
  </w:style>
  <w:style w:type="paragraph" w:customStyle="1" w:styleId="AllowPageBreak">
    <w:name w:val="AllowPageBreak"/>
    <w:rsid w:val="005701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7014B"/>
    <w:pPr>
      <w:numPr>
        <w:numId w:val="3"/>
      </w:numPr>
      <w:tabs>
        <w:tab w:val="clear" w:pos="1021"/>
      </w:tabs>
      <w:ind w:left="1037" w:hanging="357"/>
    </w:pPr>
  </w:style>
  <w:style w:type="character" w:customStyle="1" w:styleId="Heading2Char">
    <w:name w:val="Heading 2 Char"/>
    <w:basedOn w:val="DefaultParagraphFont"/>
    <w:link w:val="Heading2"/>
    <w:rsid w:val="005701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1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1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1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1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1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1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14B"/>
    <w:rPr>
      <w:rFonts w:ascii="Courier New" w:eastAsia="Times New Roman" w:hAnsi="Courier New" w:cs="Times New Roman"/>
      <w:i/>
      <w:szCs w:val="20"/>
      <w:lang w:eastAsia="en-US"/>
    </w:rPr>
  </w:style>
  <w:style w:type="paragraph" w:customStyle="1" w:styleId="HeadingBase">
    <w:name w:val="Heading Base"/>
    <w:rsid w:val="005701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14B"/>
    <w:pPr>
      <w:tabs>
        <w:tab w:val="right" w:leader="dot" w:pos="9072"/>
      </w:tabs>
      <w:ind w:left="567"/>
    </w:pPr>
    <w:rPr>
      <w:szCs w:val="22"/>
    </w:rPr>
  </w:style>
  <w:style w:type="paragraph" w:customStyle="1" w:styleId="TOCBase">
    <w:name w:val="TOC Base"/>
    <w:rsid w:val="005701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14B"/>
    <w:pPr>
      <w:tabs>
        <w:tab w:val="right" w:leader="dot" w:pos="9072"/>
      </w:tabs>
      <w:spacing w:before="40" w:after="40"/>
      <w:ind w:left="284"/>
    </w:pPr>
    <w:rPr>
      <w:rFonts w:ascii="Times New Roman" w:hAnsi="Times New Roman"/>
    </w:rPr>
  </w:style>
  <w:style w:type="paragraph" w:styleId="TOC1">
    <w:name w:val="toc 1"/>
    <w:basedOn w:val="TOCBase"/>
    <w:next w:val="Normal"/>
    <w:rsid w:val="005701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01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14B"/>
    <w:rPr>
      <w:rFonts w:ascii="Times New Roman" w:eastAsia="Times New Roman" w:hAnsi="Times New Roman" w:cs="Times New Roman"/>
      <w:sz w:val="16"/>
      <w:lang w:eastAsia="en-US"/>
    </w:rPr>
  </w:style>
  <w:style w:type="paragraph" w:styleId="Title">
    <w:name w:val="Title"/>
    <w:basedOn w:val="HeadingBase"/>
    <w:link w:val="TitleChar"/>
    <w:qFormat/>
    <w:rsid w:val="0057014B"/>
    <w:pPr>
      <w:spacing w:before="5040"/>
      <w:jc w:val="center"/>
    </w:pPr>
    <w:rPr>
      <w:sz w:val="48"/>
      <w:szCs w:val="72"/>
      <w:lang w:val="en-US"/>
    </w:rPr>
  </w:style>
  <w:style w:type="character" w:customStyle="1" w:styleId="TitleChar">
    <w:name w:val="Title Char"/>
    <w:basedOn w:val="DefaultParagraphFont"/>
    <w:link w:val="Title"/>
    <w:rsid w:val="005701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14B"/>
    <w:pPr>
      <w:tabs>
        <w:tab w:val="left" w:pos="3600"/>
        <w:tab w:val="left" w:pos="3958"/>
      </w:tabs>
    </w:pPr>
  </w:style>
  <w:style w:type="paragraph" w:styleId="List">
    <w:name w:val="List"/>
    <w:basedOn w:val="BodyText"/>
    <w:next w:val="BodyText"/>
    <w:rsid w:val="0057014B"/>
    <w:pPr>
      <w:tabs>
        <w:tab w:val="left" w:pos="340"/>
      </w:tabs>
      <w:spacing w:before="60" w:after="60"/>
      <w:ind w:left="340" w:hanging="340"/>
    </w:pPr>
  </w:style>
  <w:style w:type="paragraph" w:customStyle="1" w:styleId="Note">
    <w:name w:val="Note"/>
    <w:basedOn w:val="BodyText"/>
    <w:rsid w:val="005701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014B"/>
    <w:pPr>
      <w:framePr w:wrap="auto" w:hAnchor="text" w:y="6049"/>
    </w:pPr>
    <w:rPr>
      <w:color w:val="000000"/>
      <w:sz w:val="40"/>
    </w:rPr>
  </w:style>
  <w:style w:type="paragraph" w:customStyle="1" w:styleId="TOCTitle">
    <w:name w:val="TOCTitle"/>
    <w:basedOn w:val="Heading1"/>
    <w:rsid w:val="0057014B"/>
    <w:pPr>
      <w:spacing w:after="240"/>
      <w:jc w:val="center"/>
      <w:outlineLvl w:val="9"/>
    </w:pPr>
    <w:rPr>
      <w:caps/>
    </w:rPr>
  </w:style>
  <w:style w:type="paragraph" w:customStyle="1" w:styleId="Version">
    <w:name w:val="Version"/>
    <w:rsid w:val="005701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014B"/>
    <w:pPr>
      <w:keepNext w:val="0"/>
      <w:tabs>
        <w:tab w:val="right" w:pos="4176"/>
      </w:tabs>
      <w:ind w:left="198" w:hanging="198"/>
    </w:pPr>
    <w:rPr>
      <w:rFonts w:ascii="Garamond" w:hAnsi="Garamond"/>
    </w:rPr>
  </w:style>
  <w:style w:type="paragraph" w:styleId="IndexHeading">
    <w:name w:val="index heading"/>
    <w:basedOn w:val="Normal"/>
    <w:next w:val="Index1"/>
    <w:semiHidden/>
    <w:rsid w:val="0057014B"/>
    <w:pPr>
      <w:spacing w:before="120" w:after="120"/>
    </w:pPr>
    <w:rPr>
      <w:rFonts w:ascii="Arial" w:hAnsi="Arial"/>
      <w:b/>
      <w:color w:val="918585"/>
      <w:sz w:val="24"/>
    </w:rPr>
  </w:style>
  <w:style w:type="paragraph" w:styleId="Header">
    <w:name w:val="header"/>
    <w:basedOn w:val="Normal"/>
    <w:link w:val="HeaderChar"/>
    <w:rsid w:val="005701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14B"/>
    <w:rPr>
      <w:rFonts w:ascii="Times New Roman" w:eastAsia="Times New Roman" w:hAnsi="Times New Roman" w:cs="Times New Roman"/>
      <w:sz w:val="16"/>
      <w:szCs w:val="20"/>
      <w:lang w:val="en-GB" w:eastAsia="en-US"/>
    </w:rPr>
  </w:style>
  <w:style w:type="paragraph" w:customStyle="1" w:styleId="Chapter">
    <w:name w:val="Chapter"/>
    <w:basedOn w:val="Normal"/>
    <w:rsid w:val="0057014B"/>
    <w:pPr>
      <w:spacing w:before="240"/>
    </w:pPr>
    <w:rPr>
      <w:rFonts w:ascii="Times New Roman" w:hAnsi="Times New Roman"/>
      <w:smallCaps/>
      <w:spacing w:val="80"/>
      <w:sz w:val="28"/>
    </w:rPr>
  </w:style>
  <w:style w:type="paragraph" w:customStyle="1" w:styleId="InChapter">
    <w:name w:val="InChapter"/>
    <w:basedOn w:val="Heading3"/>
    <w:rsid w:val="0057014B"/>
    <w:pPr>
      <w:spacing w:after="240"/>
      <w:outlineLvl w:val="9"/>
    </w:pPr>
    <w:rPr>
      <w:noProof/>
    </w:rPr>
  </w:style>
  <w:style w:type="paragraph" w:styleId="Index2">
    <w:name w:val="index 2"/>
    <w:basedOn w:val="Normal"/>
    <w:next w:val="Normal"/>
    <w:semiHidden/>
    <w:rsid w:val="0057014B"/>
    <w:pPr>
      <w:tabs>
        <w:tab w:val="right" w:pos="4176"/>
      </w:tabs>
      <w:ind w:left="568" w:hanging="284"/>
    </w:pPr>
    <w:rPr>
      <w:rFonts w:ascii="Garamond" w:hAnsi="Garamond"/>
    </w:rPr>
  </w:style>
  <w:style w:type="paragraph" w:customStyle="1" w:styleId="Byline">
    <w:name w:val="Byline"/>
    <w:rsid w:val="005701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14B"/>
    <w:pPr>
      <w:tabs>
        <w:tab w:val="clear" w:pos="3600"/>
        <w:tab w:val="clear" w:pos="3958"/>
      </w:tabs>
      <w:jc w:val="right"/>
    </w:pPr>
  </w:style>
  <w:style w:type="character" w:styleId="Emphasis">
    <w:name w:val="Emphasis"/>
    <w:basedOn w:val="DefaultParagraphFont"/>
    <w:qFormat/>
    <w:rsid w:val="0057014B"/>
    <w:rPr>
      <w:i/>
    </w:rPr>
  </w:style>
  <w:style w:type="paragraph" w:styleId="Caption">
    <w:name w:val="caption"/>
    <w:basedOn w:val="BodyText"/>
    <w:next w:val="Normal"/>
    <w:qFormat/>
    <w:rsid w:val="0057014B"/>
    <w:pPr>
      <w:framePr w:w="2268" w:hSpace="181" w:vSpace="181" w:wrap="around" w:vAnchor="text" w:hAnchor="page" w:x="1135" w:y="285" w:anchorLock="1"/>
    </w:pPr>
    <w:rPr>
      <w:i/>
    </w:rPr>
  </w:style>
  <w:style w:type="paragraph" w:customStyle="1" w:styleId="MiniTOCTitle">
    <w:name w:val="MiniTOCTitle"/>
    <w:basedOn w:val="Heading4"/>
    <w:rsid w:val="0057014B"/>
    <w:pPr>
      <w:spacing w:before="240"/>
      <w:outlineLvl w:val="9"/>
    </w:pPr>
    <w:rPr>
      <w:noProof/>
      <w:sz w:val="24"/>
    </w:rPr>
  </w:style>
  <w:style w:type="paragraph" w:customStyle="1" w:styleId="MiniTOCItem">
    <w:name w:val="MiniTOCItem"/>
    <w:basedOn w:val="ListBullet"/>
    <w:rsid w:val="0057014B"/>
    <w:pPr>
      <w:numPr>
        <w:numId w:val="0"/>
      </w:numPr>
      <w:tabs>
        <w:tab w:val="right" w:leader="dot" w:pos="6521"/>
      </w:tabs>
      <w:spacing w:before="0" w:after="0"/>
    </w:pPr>
  </w:style>
  <w:style w:type="paragraph" w:customStyle="1" w:styleId="TOFTitle">
    <w:name w:val="TOFTitle"/>
    <w:basedOn w:val="TOCTitle"/>
    <w:rsid w:val="0057014B"/>
  </w:style>
  <w:style w:type="paragraph" w:styleId="TableofFigures">
    <w:name w:val="table of figures"/>
    <w:basedOn w:val="Normal"/>
    <w:next w:val="Normal"/>
    <w:semiHidden/>
    <w:rsid w:val="0057014B"/>
    <w:pPr>
      <w:tabs>
        <w:tab w:val="right" w:leader="dot" w:pos="9072"/>
      </w:tabs>
      <w:ind w:left="970" w:hanging="403"/>
    </w:pPr>
    <w:rPr>
      <w:rFonts w:ascii="Times New Roman" w:hAnsi="Times New Roman"/>
      <w:b/>
    </w:rPr>
  </w:style>
  <w:style w:type="paragraph" w:styleId="ListNumber">
    <w:name w:val="List Number"/>
    <w:basedOn w:val="List"/>
    <w:rsid w:val="0057014B"/>
    <w:pPr>
      <w:numPr>
        <w:numId w:val="12"/>
      </w:numPr>
    </w:pPr>
  </w:style>
  <w:style w:type="character" w:customStyle="1" w:styleId="WingdingSymbols">
    <w:name w:val="Wingding Symbols"/>
    <w:rsid w:val="0057014B"/>
    <w:rPr>
      <w:rFonts w:ascii="Wingdings" w:hAnsi="Wingdings"/>
    </w:rPr>
  </w:style>
  <w:style w:type="paragraph" w:customStyle="1" w:styleId="TableHeading">
    <w:name w:val="Table Heading"/>
    <w:basedOn w:val="HeadingBase"/>
    <w:rsid w:val="0057014B"/>
    <w:pPr>
      <w:keepLines/>
      <w:pBdr>
        <w:bottom w:val="single" w:sz="6" w:space="1" w:color="918585"/>
      </w:pBdr>
      <w:spacing w:before="240"/>
    </w:pPr>
  </w:style>
  <w:style w:type="character" w:customStyle="1" w:styleId="HotSpot">
    <w:name w:val="HotSpot"/>
    <w:rsid w:val="0057014B"/>
    <w:rPr>
      <w:color w:val="0033CC"/>
      <w:u w:val="none"/>
    </w:rPr>
  </w:style>
  <w:style w:type="paragraph" w:customStyle="1" w:styleId="BodyTextRight">
    <w:name w:val="Body Text Right"/>
    <w:basedOn w:val="BodyText"/>
    <w:rsid w:val="0057014B"/>
    <w:pPr>
      <w:spacing w:before="0" w:after="0"/>
      <w:jc w:val="right"/>
    </w:pPr>
  </w:style>
  <w:style w:type="paragraph" w:styleId="Index3">
    <w:name w:val="index 3"/>
    <w:basedOn w:val="ListNumber2"/>
    <w:next w:val="Normal"/>
    <w:semiHidden/>
    <w:rsid w:val="0057014B"/>
    <w:pPr>
      <w:numPr>
        <w:numId w:val="0"/>
      </w:numPr>
      <w:tabs>
        <w:tab w:val="right" w:leader="dot" w:pos="4176"/>
      </w:tabs>
    </w:pPr>
  </w:style>
  <w:style w:type="paragraph" w:styleId="ListNumber2">
    <w:name w:val="List Number 2"/>
    <w:basedOn w:val="List2"/>
    <w:rsid w:val="0057014B"/>
    <w:pPr>
      <w:numPr>
        <w:numId w:val="11"/>
      </w:numPr>
      <w:tabs>
        <w:tab w:val="clear" w:pos="1060"/>
      </w:tabs>
    </w:pPr>
  </w:style>
  <w:style w:type="paragraph" w:customStyle="1" w:styleId="MarginNote">
    <w:name w:val="Margin Note"/>
    <w:basedOn w:val="BodyText"/>
    <w:rsid w:val="005701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1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1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14B"/>
    <w:rPr>
      <w:sz w:val="32"/>
    </w:rPr>
  </w:style>
  <w:style w:type="paragraph" w:customStyle="1" w:styleId="HeadingProcedure">
    <w:name w:val="Heading Procedure"/>
    <w:basedOn w:val="HeadingBase"/>
    <w:next w:val="Normal"/>
    <w:rsid w:val="0057014B"/>
    <w:pPr>
      <w:tabs>
        <w:tab w:val="left" w:pos="0"/>
      </w:tabs>
      <w:spacing w:before="120" w:after="60"/>
    </w:pPr>
    <w:rPr>
      <w:i/>
      <w:color w:val="918585"/>
      <w:sz w:val="22"/>
    </w:rPr>
  </w:style>
  <w:style w:type="paragraph" w:customStyle="1" w:styleId="TableBodyText">
    <w:name w:val="Table Body Text"/>
    <w:basedOn w:val="BodyText"/>
    <w:rsid w:val="0057014B"/>
    <w:pPr>
      <w:spacing w:before="60" w:after="60"/>
    </w:pPr>
  </w:style>
  <w:style w:type="paragraph" w:styleId="ListContinue">
    <w:name w:val="List Continue"/>
    <w:basedOn w:val="List"/>
    <w:rsid w:val="0057014B"/>
    <w:pPr>
      <w:ind w:firstLine="0"/>
    </w:pPr>
  </w:style>
  <w:style w:type="paragraph" w:customStyle="1" w:styleId="ListNote">
    <w:name w:val="List Note"/>
    <w:basedOn w:val="List"/>
    <w:rsid w:val="0057014B"/>
    <w:pPr>
      <w:pBdr>
        <w:top w:val="single" w:sz="6" w:space="2" w:color="918585"/>
        <w:bottom w:val="single" w:sz="6" w:space="2" w:color="918585"/>
      </w:pBdr>
      <w:tabs>
        <w:tab w:val="left" w:pos="1021"/>
      </w:tabs>
      <w:ind w:firstLine="0"/>
    </w:pPr>
  </w:style>
  <w:style w:type="paragraph" w:customStyle="1" w:styleId="Warning">
    <w:name w:val="Warning"/>
    <w:basedOn w:val="BodyText"/>
    <w:rsid w:val="0057014B"/>
    <w:pPr>
      <w:shd w:val="clear" w:color="auto" w:fill="D9D9D9"/>
      <w:tabs>
        <w:tab w:val="left" w:pos="992"/>
      </w:tabs>
      <w:ind w:left="119" w:right="119"/>
    </w:pPr>
    <w:rPr>
      <w:sz w:val="20"/>
    </w:rPr>
  </w:style>
  <w:style w:type="paragraph" w:customStyle="1" w:styleId="MarginIcons">
    <w:name w:val="Margin Icons"/>
    <w:basedOn w:val="BodyText"/>
    <w:rsid w:val="005701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14B"/>
    <w:rPr>
      <w:rFonts w:ascii="Courier New" w:hAnsi="Courier New"/>
    </w:rPr>
  </w:style>
  <w:style w:type="paragraph" w:customStyle="1" w:styleId="NoteBullet">
    <w:name w:val="Note Bullet"/>
    <w:basedOn w:val="Note"/>
    <w:rsid w:val="0057014B"/>
    <w:pPr>
      <w:tabs>
        <w:tab w:val="clear" w:pos="680"/>
      </w:tabs>
      <w:spacing w:before="60" w:after="60"/>
    </w:pPr>
  </w:style>
  <w:style w:type="paragraph" w:customStyle="1" w:styleId="SubHeading2">
    <w:name w:val="SubHeading2"/>
    <w:basedOn w:val="HeadingBase"/>
    <w:rsid w:val="0057014B"/>
    <w:pPr>
      <w:spacing w:before="240" w:after="60"/>
    </w:pPr>
    <w:rPr>
      <w:sz w:val="20"/>
    </w:rPr>
  </w:style>
  <w:style w:type="paragraph" w:customStyle="1" w:styleId="SubHeading1">
    <w:name w:val="SubHeading1"/>
    <w:basedOn w:val="HeadingBase"/>
    <w:rsid w:val="0057014B"/>
    <w:pPr>
      <w:spacing w:before="240" w:after="60"/>
    </w:pPr>
    <w:rPr>
      <w:color w:val="918585"/>
      <w:sz w:val="22"/>
    </w:rPr>
  </w:style>
  <w:style w:type="paragraph" w:customStyle="1" w:styleId="SideHeading">
    <w:name w:val="Side Heading"/>
    <w:basedOn w:val="HeadingBase"/>
    <w:rsid w:val="005701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14B"/>
    <w:pPr>
      <w:numPr>
        <w:numId w:val="13"/>
      </w:numPr>
    </w:pPr>
  </w:style>
  <w:style w:type="paragraph" w:styleId="PlainText">
    <w:name w:val="Plain Text"/>
    <w:basedOn w:val="Normal"/>
    <w:link w:val="PlainTextChar"/>
    <w:rsid w:val="0057014B"/>
    <w:rPr>
      <w:sz w:val="20"/>
    </w:rPr>
  </w:style>
  <w:style w:type="character" w:customStyle="1" w:styleId="PlainTextChar">
    <w:name w:val="Plain Text Char"/>
    <w:basedOn w:val="DefaultParagraphFont"/>
    <w:link w:val="PlainText"/>
    <w:rsid w:val="0057014B"/>
    <w:rPr>
      <w:rFonts w:ascii="Courier New" w:eastAsia="Times New Roman" w:hAnsi="Courier New" w:cs="Times New Roman"/>
      <w:sz w:val="20"/>
      <w:szCs w:val="20"/>
      <w:lang w:eastAsia="en-US"/>
    </w:rPr>
  </w:style>
  <w:style w:type="character" w:customStyle="1" w:styleId="MenuOption">
    <w:name w:val="Menu Option"/>
    <w:basedOn w:val="DefaultParagraphFont"/>
    <w:rsid w:val="0057014B"/>
    <w:rPr>
      <w:b/>
      <w:smallCaps/>
    </w:rPr>
  </w:style>
  <w:style w:type="paragraph" w:customStyle="1" w:styleId="TableListNumber">
    <w:name w:val="Table List Number"/>
    <w:basedOn w:val="ListNumber"/>
    <w:rsid w:val="0057014B"/>
    <w:pPr>
      <w:numPr>
        <w:numId w:val="0"/>
      </w:numPr>
    </w:pPr>
  </w:style>
  <w:style w:type="paragraph" w:styleId="TOC4">
    <w:name w:val="toc 4"/>
    <w:basedOn w:val="TOCBase"/>
    <w:next w:val="Normal"/>
    <w:semiHidden/>
    <w:rsid w:val="0057014B"/>
    <w:pPr>
      <w:tabs>
        <w:tab w:val="right" w:leader="dot" w:pos="9071"/>
      </w:tabs>
      <w:ind w:left="1701"/>
    </w:pPr>
  </w:style>
  <w:style w:type="paragraph" w:customStyle="1" w:styleId="ListAlpha">
    <w:name w:val="List Alpha"/>
    <w:basedOn w:val="List"/>
    <w:rsid w:val="0057014B"/>
    <w:pPr>
      <w:numPr>
        <w:numId w:val="10"/>
      </w:numPr>
    </w:pPr>
  </w:style>
  <w:style w:type="paragraph" w:customStyle="1" w:styleId="ListAlpha2">
    <w:name w:val="List Alpha 2"/>
    <w:basedOn w:val="List2"/>
    <w:rsid w:val="0057014B"/>
    <w:pPr>
      <w:numPr>
        <w:numId w:val="9"/>
      </w:numPr>
    </w:pPr>
  </w:style>
  <w:style w:type="paragraph" w:styleId="List2">
    <w:name w:val="List 2"/>
    <w:basedOn w:val="BodyText"/>
    <w:rsid w:val="0057014B"/>
    <w:pPr>
      <w:tabs>
        <w:tab w:val="left" w:pos="680"/>
      </w:tabs>
      <w:spacing w:before="60" w:after="60"/>
      <w:ind w:left="680" w:hanging="340"/>
    </w:pPr>
  </w:style>
  <w:style w:type="paragraph" w:styleId="List3">
    <w:name w:val="List 3"/>
    <w:basedOn w:val="BodyText"/>
    <w:rsid w:val="0057014B"/>
    <w:pPr>
      <w:tabs>
        <w:tab w:val="left" w:pos="1021"/>
      </w:tabs>
      <w:spacing w:before="60" w:after="60"/>
      <w:ind w:left="1020" w:hanging="340"/>
    </w:pPr>
  </w:style>
  <w:style w:type="paragraph" w:styleId="List4">
    <w:name w:val="List 4"/>
    <w:basedOn w:val="BodyText"/>
    <w:rsid w:val="0057014B"/>
    <w:pPr>
      <w:tabs>
        <w:tab w:val="left" w:pos="1361"/>
      </w:tabs>
      <w:spacing w:before="60" w:after="60"/>
      <w:ind w:left="1361" w:hanging="340"/>
    </w:pPr>
  </w:style>
  <w:style w:type="paragraph" w:styleId="List5">
    <w:name w:val="List 5"/>
    <w:basedOn w:val="BodyText"/>
    <w:rsid w:val="0057014B"/>
    <w:pPr>
      <w:tabs>
        <w:tab w:val="left" w:pos="1701"/>
      </w:tabs>
      <w:spacing w:before="60" w:after="60"/>
      <w:ind w:left="1701" w:hanging="340"/>
    </w:pPr>
  </w:style>
  <w:style w:type="paragraph" w:styleId="ListBullet4">
    <w:name w:val="List Bullet 4"/>
    <w:basedOn w:val="List4"/>
    <w:rsid w:val="0057014B"/>
    <w:pPr>
      <w:numPr>
        <w:numId w:val="4"/>
      </w:numPr>
    </w:pPr>
  </w:style>
  <w:style w:type="paragraph" w:styleId="ListBullet5">
    <w:name w:val="List Bullet 5"/>
    <w:basedOn w:val="List5"/>
    <w:rsid w:val="0057014B"/>
    <w:pPr>
      <w:numPr>
        <w:numId w:val="5"/>
      </w:numPr>
    </w:pPr>
  </w:style>
  <w:style w:type="paragraph" w:styleId="ListContinue2">
    <w:name w:val="List Continue 2"/>
    <w:basedOn w:val="List2"/>
    <w:rsid w:val="0057014B"/>
    <w:pPr>
      <w:ind w:firstLine="0"/>
    </w:pPr>
  </w:style>
  <w:style w:type="paragraph" w:styleId="ListContinue3">
    <w:name w:val="List Continue 3"/>
    <w:basedOn w:val="List3"/>
    <w:rsid w:val="0057014B"/>
    <w:pPr>
      <w:ind w:left="1021" w:firstLine="0"/>
    </w:pPr>
  </w:style>
  <w:style w:type="paragraph" w:styleId="ListContinue4">
    <w:name w:val="List Continue 4"/>
    <w:basedOn w:val="List4"/>
    <w:rsid w:val="0057014B"/>
    <w:pPr>
      <w:ind w:firstLine="0"/>
    </w:pPr>
  </w:style>
  <w:style w:type="paragraph" w:styleId="ListContinue5">
    <w:name w:val="List Continue 5"/>
    <w:basedOn w:val="List5"/>
    <w:rsid w:val="0057014B"/>
    <w:pPr>
      <w:ind w:firstLine="0"/>
    </w:pPr>
  </w:style>
  <w:style w:type="paragraph" w:styleId="ListNumber3">
    <w:name w:val="List Number 3"/>
    <w:basedOn w:val="List3"/>
    <w:rsid w:val="0057014B"/>
    <w:pPr>
      <w:numPr>
        <w:numId w:val="6"/>
      </w:numPr>
    </w:pPr>
  </w:style>
  <w:style w:type="paragraph" w:styleId="ListNumber4">
    <w:name w:val="List Number 4"/>
    <w:basedOn w:val="List4"/>
    <w:rsid w:val="0057014B"/>
    <w:pPr>
      <w:numPr>
        <w:numId w:val="7"/>
      </w:numPr>
    </w:pPr>
  </w:style>
  <w:style w:type="paragraph" w:styleId="ListNumber5">
    <w:name w:val="List Number 5"/>
    <w:basedOn w:val="List5"/>
    <w:rsid w:val="0057014B"/>
    <w:pPr>
      <w:numPr>
        <w:numId w:val="8"/>
      </w:numPr>
    </w:pPr>
  </w:style>
  <w:style w:type="paragraph" w:styleId="BlockText">
    <w:name w:val="Block Text"/>
    <w:basedOn w:val="Normal"/>
    <w:rsid w:val="0057014B"/>
    <w:pPr>
      <w:spacing w:after="120"/>
      <w:ind w:left="1440" w:right="1440"/>
    </w:pPr>
  </w:style>
  <w:style w:type="character" w:customStyle="1" w:styleId="Subscript">
    <w:name w:val="Subscript"/>
    <w:basedOn w:val="DefaultParagraphFont"/>
    <w:rsid w:val="0057014B"/>
    <w:rPr>
      <w:sz w:val="16"/>
      <w:vertAlign w:val="subscript"/>
    </w:rPr>
  </w:style>
  <w:style w:type="character" w:customStyle="1" w:styleId="Superscript">
    <w:name w:val="Superscript"/>
    <w:basedOn w:val="DefaultParagraphFont"/>
    <w:rsid w:val="0057014B"/>
    <w:rPr>
      <w:sz w:val="16"/>
      <w:vertAlign w:val="superscript"/>
    </w:rPr>
  </w:style>
  <w:style w:type="character" w:customStyle="1" w:styleId="Symbols">
    <w:name w:val="Symbols"/>
    <w:basedOn w:val="DefaultParagraphFont"/>
    <w:rsid w:val="0057014B"/>
    <w:rPr>
      <w:rFonts w:ascii="Symbol" w:hAnsi="Symbol"/>
    </w:rPr>
  </w:style>
  <w:style w:type="character" w:customStyle="1" w:styleId="MenuOptions">
    <w:name w:val="Menu Options"/>
    <w:basedOn w:val="DefaultParagraphFont"/>
    <w:rsid w:val="0057014B"/>
    <w:rPr>
      <w:rFonts w:ascii="Arial Narrow" w:hAnsi="Arial Narrow"/>
      <w:smallCaps/>
    </w:rPr>
  </w:style>
  <w:style w:type="character" w:customStyle="1" w:styleId="Buttons">
    <w:name w:val="Buttons"/>
    <w:basedOn w:val="DefaultParagraphFont"/>
    <w:rsid w:val="0057014B"/>
    <w:rPr>
      <w:b/>
    </w:rPr>
  </w:style>
  <w:style w:type="character" w:customStyle="1" w:styleId="Underlined">
    <w:name w:val="Underlined"/>
    <w:basedOn w:val="DefaultParagraphFont"/>
    <w:rsid w:val="0057014B"/>
    <w:rPr>
      <w:u w:val="single"/>
    </w:rPr>
  </w:style>
  <w:style w:type="paragraph" w:customStyle="1" w:styleId="TableBodyTextRight">
    <w:name w:val="Table Body Text Right"/>
    <w:basedOn w:val="TableBodyText"/>
    <w:rsid w:val="0057014B"/>
    <w:pPr>
      <w:widowControl w:val="0"/>
      <w:autoSpaceDE w:val="0"/>
      <w:autoSpaceDN w:val="0"/>
      <w:adjustRightInd w:val="0"/>
      <w:jc w:val="right"/>
    </w:pPr>
    <w:rPr>
      <w:rFonts w:cs="Arial"/>
      <w:szCs w:val="18"/>
    </w:rPr>
  </w:style>
  <w:style w:type="paragraph" w:customStyle="1" w:styleId="CopyrightText">
    <w:name w:val="Copyright Text"/>
    <w:basedOn w:val="BodyText"/>
    <w:rsid w:val="0057014B"/>
    <w:rPr>
      <w:sz w:val="18"/>
    </w:rPr>
  </w:style>
  <w:style w:type="paragraph" w:customStyle="1" w:styleId="BodySmallRight">
    <w:name w:val="Body Small Right"/>
    <w:basedOn w:val="BodyTextRight"/>
    <w:rsid w:val="0057014B"/>
    <w:rPr>
      <w:sz w:val="18"/>
      <w:szCs w:val="18"/>
    </w:rPr>
  </w:style>
  <w:style w:type="paragraph" w:customStyle="1" w:styleId="MarginEdition">
    <w:name w:val="Margin Edition"/>
    <w:basedOn w:val="MarginNote"/>
    <w:rsid w:val="0057014B"/>
    <w:pPr>
      <w:spacing w:before="0" w:after="0"/>
    </w:pPr>
    <w:rPr>
      <w:rFonts w:ascii="Times New Roman" w:hAnsi="Times New Roman"/>
      <w:color w:val="999999"/>
    </w:rPr>
  </w:style>
  <w:style w:type="paragraph" w:customStyle="1" w:styleId="Spacer">
    <w:name w:val="Spacer"/>
    <w:basedOn w:val="Normal"/>
    <w:rsid w:val="0057014B"/>
    <w:rPr>
      <w:sz w:val="2"/>
      <w:szCs w:val="2"/>
    </w:rPr>
  </w:style>
  <w:style w:type="character" w:customStyle="1" w:styleId="Small">
    <w:name w:val="Small"/>
    <w:basedOn w:val="DefaultParagraphFont"/>
    <w:rsid w:val="0057014B"/>
    <w:rPr>
      <w:sz w:val="16"/>
    </w:rPr>
  </w:style>
  <w:style w:type="paragraph" w:customStyle="1" w:styleId="WideTable">
    <w:name w:val="Wide Table"/>
    <w:basedOn w:val="Normal"/>
    <w:rsid w:val="0057014B"/>
    <w:pPr>
      <w:ind w:left="-1418"/>
    </w:pPr>
    <w:rPr>
      <w:sz w:val="2"/>
      <w:szCs w:val="2"/>
    </w:rPr>
  </w:style>
  <w:style w:type="character" w:styleId="PageNumber">
    <w:name w:val="page number"/>
    <w:basedOn w:val="DefaultParagraphFont"/>
    <w:rsid w:val="0057014B"/>
  </w:style>
  <w:style w:type="paragraph" w:styleId="Quote">
    <w:name w:val="Quote"/>
    <w:basedOn w:val="Heading1"/>
    <w:link w:val="QuoteChar"/>
    <w:qFormat/>
    <w:rsid w:val="0057014B"/>
    <w:rPr>
      <w:b w:val="0"/>
      <w:sz w:val="72"/>
      <w:szCs w:val="72"/>
      <w:lang w:val="en-NZ"/>
    </w:rPr>
  </w:style>
  <w:style w:type="character" w:customStyle="1" w:styleId="QuoteChar">
    <w:name w:val="Quote Char"/>
    <w:basedOn w:val="DefaultParagraphFont"/>
    <w:link w:val="Quote"/>
    <w:rsid w:val="005701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14B"/>
    <w:pPr>
      <w:pageBreakBefore/>
    </w:pPr>
  </w:style>
  <w:style w:type="paragraph" w:customStyle="1" w:styleId="Border">
    <w:name w:val="Border"/>
    <w:basedOn w:val="Normal"/>
    <w:qFormat/>
    <w:rsid w:val="005701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14B"/>
    <w:rPr>
      <w:b/>
      <w:bCs/>
      <w:i/>
      <w:iCs/>
      <w:color w:val="auto"/>
    </w:rPr>
  </w:style>
  <w:style w:type="paragraph" w:styleId="IntenseQuote">
    <w:name w:val="Intense Quote"/>
    <w:basedOn w:val="Normal"/>
    <w:next w:val="Normal"/>
    <w:link w:val="IntenseQuoteChar"/>
    <w:uiPriority w:val="30"/>
    <w:qFormat/>
    <w:rsid w:val="005701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1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14B"/>
    <w:rPr>
      <w:smallCaps/>
      <w:color w:val="auto"/>
      <w:u w:val="single"/>
    </w:rPr>
  </w:style>
  <w:style w:type="character" w:styleId="IntenseReference">
    <w:name w:val="Intense Reference"/>
    <w:basedOn w:val="DefaultParagraphFont"/>
    <w:uiPriority w:val="32"/>
    <w:qFormat/>
    <w:rsid w:val="0057014B"/>
    <w:rPr>
      <w:b/>
      <w:bCs/>
      <w:smallCaps/>
      <w:color w:val="auto"/>
      <w:spacing w:val="5"/>
      <w:u w:val="single"/>
    </w:rPr>
  </w:style>
  <w:style w:type="paragraph" w:customStyle="1" w:styleId="2ColumnHeading">
    <w:name w:val="2Column Heading"/>
    <w:basedOn w:val="BodyText"/>
    <w:qFormat/>
    <w:rsid w:val="0057014B"/>
    <w:pPr>
      <w:spacing w:after="60"/>
      <w:ind w:left="-2268"/>
    </w:pPr>
    <w:rPr>
      <w:b/>
    </w:rPr>
  </w:style>
  <w:style w:type="paragraph" w:customStyle="1" w:styleId="Heading1TOC">
    <w:name w:val="Heading1 TOC"/>
    <w:basedOn w:val="Normal"/>
    <w:qFormat/>
    <w:rsid w:val="0057014B"/>
    <w:pPr>
      <w:spacing w:before="240" w:after="120"/>
    </w:pPr>
    <w:rPr>
      <w:rFonts w:ascii="Times New Roman" w:hAnsi="Times New Roman"/>
      <w:b/>
      <w:sz w:val="32"/>
    </w:rPr>
  </w:style>
  <w:style w:type="paragraph" w:customStyle="1" w:styleId="Heading2TOC">
    <w:name w:val="Heading2 TOC"/>
    <w:basedOn w:val="Normal"/>
    <w:qFormat/>
    <w:rsid w:val="0057014B"/>
    <w:pPr>
      <w:spacing w:before="240" w:after="60"/>
    </w:pPr>
    <w:rPr>
      <w:rFonts w:ascii="Times New Roman" w:hAnsi="Times New Roman"/>
      <w:b/>
      <w:sz w:val="28"/>
    </w:rPr>
  </w:style>
  <w:style w:type="character" w:customStyle="1" w:styleId="Underline">
    <w:name w:val="Underline"/>
    <w:basedOn w:val="DefaultParagraphFont"/>
    <w:qFormat/>
    <w:rsid w:val="0057014B"/>
    <w:rPr>
      <w:u w:val="single"/>
    </w:rPr>
  </w:style>
  <w:style w:type="character" w:customStyle="1" w:styleId="BoldandItalics">
    <w:name w:val="Bold and Italics"/>
    <w:qFormat/>
    <w:rsid w:val="0057014B"/>
    <w:rPr>
      <w:b/>
      <w:i/>
      <w:u w:val="none"/>
    </w:rPr>
  </w:style>
  <w:style w:type="paragraph" w:styleId="BalloonText">
    <w:name w:val="Balloon Text"/>
    <w:basedOn w:val="Normal"/>
    <w:link w:val="BalloonTextChar"/>
    <w:rsid w:val="0057014B"/>
    <w:rPr>
      <w:rFonts w:ascii="Tahoma" w:hAnsi="Tahoma" w:cs="Tahoma"/>
      <w:sz w:val="16"/>
      <w:szCs w:val="16"/>
    </w:rPr>
  </w:style>
  <w:style w:type="character" w:customStyle="1" w:styleId="BalloonTextChar">
    <w:name w:val="Balloon Text Char"/>
    <w:basedOn w:val="DefaultParagraphFont"/>
    <w:link w:val="BalloonText"/>
    <w:rsid w:val="005701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1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01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14B"/>
    <w:rPr>
      <w:b/>
      <w:color w:val="660033"/>
      <w:spacing w:val="0"/>
    </w:rPr>
  </w:style>
  <w:style w:type="paragraph" w:customStyle="1" w:styleId="Nameditemlist">
    <w:name w:val="Named item list"/>
    <w:basedOn w:val="BodyText"/>
    <w:qFormat/>
    <w:rsid w:val="005701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1253</Words>
  <Characters>8195</Characters>
  <Application>Microsoft Office Word</Application>
  <DocSecurity>0</DocSecurity>
  <Lines>326</Lines>
  <Paragraphs>208</Paragraphs>
  <ScaleCrop>false</ScaleCrop>
  <Company>Author-it Software Corporation Ltd.</Company>
  <LinksUpToDate>false</LinksUpToDate>
  <CharactersWithSpaces>9381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TLIU3015A Identify wastes and hazards in the waste management industry</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2013-12-24T08:53:47Z</dcterms:created>
  <dcterms:modified xsi:type="dcterms:W3CDTF">2013-12-23T05:23:00Z</dcterms:modified>
</cp:coreProperties>
</file>