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AC6" w:rsidP="008D4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TLISS00012 Examining Steel Structures Skill Set</w:t>
      </w:r>
      <w:r>
        <w:fldChar w:fldCharType="end"/>
      </w:r>
    </w:p>
    <w:p w:rsidR="008D4AC6" w:rsidP="008D4AC6">
      <w:pPr>
        <w:pStyle w:val="Version"/>
        <w:sectPr w:rsidSect="00FA5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51AF" w:rsidP="00FA51AF">
      <w:pPr>
        <w:pStyle w:val="SuperHeading"/>
      </w:pPr>
      <w:r w:rsidRPr="00FA51AF">
        <w:t>TLISS00012 Examining Steel Structures Skill Set</w:t>
      </w:r>
    </w:p>
    <w:p w:rsidR="00000000" w:rsidRPr="00FA51AF" w:rsidP="00FA51AF">
      <w:pPr>
        <w:pStyle w:val="Heading1"/>
      </w:pPr>
      <w:bookmarkStart w:id="1" w:name="O_373513"/>
      <w:bookmarkEnd w:id="1"/>
      <w:r w:rsidRPr="00FA51AF">
        <w:t>Modification History</w:t>
      </w:r>
    </w:p>
    <w:p w:rsidR="00000000" w:rsidRPr="00FA51AF" w:rsidP="00FA51AF">
      <w:pPr>
        <w:pStyle w:val="BodyText"/>
      </w:pPr>
      <w:r w:rsidRPr="00FA51AF">
        <w:t>Not Applicable</w:t>
      </w:r>
    </w:p>
    <w:p w:rsidR="00000000" w:rsidRPr="00FA51AF" w:rsidP="00FA51AF">
      <w:pPr>
        <w:pStyle w:val="AllowPageBreak"/>
      </w:pPr>
    </w:p>
    <w:p w:rsidR="00000000" w:rsidRPr="00FA51AF" w:rsidP="00FA51AF">
      <w:pPr>
        <w:pStyle w:val="Heading1"/>
      </w:pPr>
      <w:bookmarkStart w:id="2" w:name="O_373516"/>
      <w:bookmarkEnd w:id="2"/>
      <w:r w:rsidRPr="00FA51AF">
        <w:t>Description</w:t>
      </w:r>
    </w:p>
    <w:p w:rsidR="00000000" w:rsidRPr="00FA51AF" w:rsidP="00FA51AF">
      <w:pPr>
        <w:pStyle w:val="BodyText"/>
      </w:pPr>
      <w:r w:rsidRPr="00FA51AF">
        <w:t>Not Applicable</w:t>
      </w:r>
    </w:p>
    <w:p w:rsidR="00000000" w:rsidRPr="00FA51AF" w:rsidP="00FA51AF">
      <w:pPr>
        <w:pStyle w:val="AllowPageBreak"/>
      </w:pPr>
    </w:p>
    <w:p w:rsidR="00000000" w:rsidRPr="00FA51AF" w:rsidP="00FA51AF">
      <w:pPr>
        <w:pStyle w:val="Heading1"/>
      </w:pPr>
      <w:bookmarkStart w:id="3" w:name="O_373512"/>
      <w:bookmarkEnd w:id="3"/>
      <w:r w:rsidRPr="00FA51A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t>This skill set is to be undertaken in addition to the Certificate III in Rail Infrastructure and targets those workers who will al</w:t>
            </w:r>
            <w:r w:rsidRPr="00FA51AF">
              <w:t>so examine steel structures.</w:t>
            </w:r>
          </w:p>
        </w:tc>
      </w:tr>
    </w:tbl>
    <w:p w:rsidR="008D4AC6" w:rsidP="00FA51AF">
      <w:pPr>
        <w:pStyle w:val="BodyText"/>
      </w:pPr>
    </w:p>
    <w:p w:rsidR="008D4AC6" w:rsidP="00FA51AF">
      <w:pPr>
        <w:pStyle w:val="BodyText"/>
      </w:pPr>
    </w:p>
    <w:p w:rsidR="00000000" w:rsidRPr="00FA51AF" w:rsidP="00FA51AF">
      <w:pPr>
        <w:pStyle w:val="Heading1"/>
      </w:pPr>
      <w:bookmarkStart w:id="4" w:name="O_373514"/>
      <w:bookmarkEnd w:id="4"/>
      <w:r w:rsidRPr="00FA51AF">
        <w:t>Licensing/Regulatory Information</w:t>
      </w:r>
    </w:p>
    <w:p w:rsidR="00000000" w:rsidRPr="00FA51AF" w:rsidP="00FA51AF">
      <w:pPr>
        <w:pStyle w:val="BodyText"/>
      </w:pPr>
      <w:r w:rsidRPr="00FA51AF">
        <w:t>Readers should ensure that they have also read the part of the Training Package that outlines licensing and regulatory requirements.</w:t>
      </w:r>
    </w:p>
    <w:p w:rsidR="00000000" w:rsidRPr="00FA51AF" w:rsidP="00FA51AF">
      <w:pPr>
        <w:pStyle w:val="AllowPageBreak"/>
      </w:pPr>
    </w:p>
    <w:p w:rsidR="00000000" w:rsidRPr="00FA51AF" w:rsidP="00FA51AF">
      <w:pPr>
        <w:pStyle w:val="Heading1"/>
      </w:pPr>
      <w:bookmarkStart w:id="5" w:name="O_373511"/>
      <w:bookmarkEnd w:id="5"/>
      <w:r w:rsidRPr="00FA51A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t>A</w:t>
            </w:r>
            <w:r w:rsidRPr="00FA51AF">
              <w:t xml:space="preserve"> total of </w:t>
            </w:r>
            <w:r w:rsidRPr="00FA51AF">
              <w:rPr>
                <w:rStyle w:val="SpecialBold"/>
              </w:rPr>
              <w:t>5 units</w:t>
            </w:r>
            <w:r w:rsidRPr="00FA51AF">
              <w:t xml:space="preserve"> of competency must be completed.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rPr>
                <w:rStyle w:val="SpecialBold"/>
              </w:rPr>
              <w:t>Unit</w:t>
            </w:r>
            <w:r w:rsidRPr="00FA51AF">
              <w:t>/</w:t>
            </w:r>
            <w:r w:rsidRPr="00FA51AF">
              <w:rPr>
                <w:rStyle w:val="SpecialBold"/>
              </w:rPr>
              <w:t>s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TLIB3088A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rPr>
                <w:rStyle w:val="SpecialBold"/>
              </w:rPr>
              <w:t>Examine steel structures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MEM18001C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rPr>
                <w:rStyle w:val="SpecialBold"/>
              </w:rPr>
              <w:t>Use hand tools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MEM24001B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rPr>
                <w:rStyle w:val="SpecialBold"/>
              </w:rPr>
              <w:t>Perform basic penetrant testing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MEM24003B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AF">
            <w:pPr>
              <w:pStyle w:val="BodyText"/>
              <w:rPr>
                <w:lang w:val="en-NZ"/>
              </w:rPr>
            </w:pPr>
            <w:r w:rsidRPr="00FA51AF">
              <w:rPr>
                <w:rStyle w:val="SpecialBold"/>
              </w:rPr>
              <w:t>Perform basic magnetic particle testing</w:t>
            </w:r>
          </w:p>
        </w:tc>
      </w:tr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MEM24012C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rPr>
                <w:rStyle w:val="SpecialBold"/>
              </w:rPr>
              <w:t>Apply metallurgy principles</w:t>
            </w:r>
          </w:p>
        </w:tc>
      </w:tr>
    </w:tbl>
    <w:p w:rsidR="008D4AC6" w:rsidP="00FA51AF">
      <w:pPr>
        <w:pStyle w:val="BodyText"/>
      </w:pPr>
    </w:p>
    <w:p w:rsidR="008D4AC6" w:rsidP="00FA51AF">
      <w:pPr>
        <w:pStyle w:val="BodyText"/>
      </w:pPr>
    </w:p>
    <w:p w:rsidR="00000000" w:rsidRPr="00FA51AF" w:rsidP="00FA51AF">
      <w:pPr>
        <w:pStyle w:val="Heading1"/>
      </w:pPr>
      <w:bookmarkStart w:id="6" w:name="O_373509"/>
      <w:bookmarkEnd w:id="6"/>
      <w:r w:rsidRPr="00FA51AF">
        <w:t>Target Group</w:t>
      </w:r>
    </w:p>
    <w:p w:rsidR="008D4AC6" w:rsidP="00FA51AF">
      <w:pPr>
        <w:pStyle w:val="BodyText"/>
      </w:pPr>
      <w:r w:rsidRPr="00FA51AF">
        <w:t>This is a skill set covering a role which includes examining steel structures within the general rail infrastructure environment.</w:t>
      </w:r>
    </w:p>
    <w:p w:rsidR="008D4AC6" w:rsidP="00FA51AF">
      <w:pPr>
        <w:pStyle w:val="BodyText"/>
      </w:pPr>
    </w:p>
    <w:p w:rsidR="00000000" w:rsidRPr="00FA51AF" w:rsidP="00FA51AF">
      <w:pPr>
        <w:pStyle w:val="Heading1"/>
      </w:pPr>
      <w:bookmarkStart w:id="7" w:name="O_373510"/>
      <w:bookmarkEnd w:id="7"/>
      <w:r w:rsidRPr="00FA51A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D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AF" w:rsidP="00FA51AF">
            <w:pPr>
              <w:pStyle w:val="BodyText"/>
            </w:pPr>
            <w:r w:rsidRPr="00FA51AF">
              <w:t xml:space="preserve">These competencies from the TLI10 Transport and Logistics Training Package (Version 2) meet the needs for examining steel structures. The competencies are drawn from a nationally endorsed Training Package, and provide the skills and knowledge for a person </w:t>
            </w:r>
            <w:r w:rsidRPr="00FA51AF">
              <w:t>working within the general rail infrastructure environment who is required to examine steel structures.</w:t>
            </w:r>
          </w:p>
        </w:tc>
      </w:tr>
    </w:tbl>
    <w:p w:rsidR="008D4AC6" w:rsidP="00FA51AF">
      <w:pPr>
        <w:pStyle w:val="BodyText"/>
      </w:pPr>
    </w:p>
    <w:p w:rsidR="008D4AC6" w:rsidP="00FA51AF">
      <w:pPr>
        <w:pStyle w:val="BodyText"/>
      </w:pPr>
    </w:p>
    <w:p w:rsidR="00000000" w:rsidRPr="00FA51AF" w:rsidP="00FA51AF"/>
    <w:sectPr w:rsidSect="00FA51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 w:rsidRPr="008D4AC6" w:rsidP="008D4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C6" w:rsidP="00FA5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4AC6" w:rsidP="00FA5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D4AC6" w:rsidP="00FA5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 w:rsidRPr="008D4AC6" w:rsidP="008D4A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C6" w:rsidRPr="002D2AF8" w:rsidP="00FA5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TLISS00012 Examining Steel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D4AC6" w:rsidP="00FA5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1AF"/>
  </w:style>
  <w:style w:type="character" w:customStyle="1" w:styleId="Heading1Char">
    <w:name w:val="Heading 1 Char"/>
    <w:basedOn w:val="DefaultParagraphFont"/>
    <w:link w:val="Heading1"/>
    <w:rsid w:val="00FA5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1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1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51AF"/>
    <w:rPr>
      <w:b/>
      <w:spacing w:val="0"/>
    </w:rPr>
  </w:style>
  <w:style w:type="paragraph" w:customStyle="1" w:styleId="SuperHeading">
    <w:name w:val="SuperHeading"/>
    <w:basedOn w:val="Normal"/>
    <w:rsid w:val="00FA5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1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1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1AF"/>
    <w:rPr>
      <w:i/>
    </w:rPr>
  </w:style>
  <w:style w:type="paragraph" w:styleId="Caption">
    <w:name w:val="caption"/>
    <w:basedOn w:val="BodyText"/>
    <w:next w:val="Normal"/>
    <w:qFormat/>
    <w:rsid w:val="00FA5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1AF"/>
  </w:style>
  <w:style w:type="paragraph" w:styleId="TableofFigures">
    <w:name w:val="table of figures"/>
    <w:basedOn w:val="Normal"/>
    <w:next w:val="Normal"/>
    <w:semiHidden/>
    <w:rsid w:val="00FA5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1AF"/>
    <w:pPr>
      <w:numPr>
        <w:numId w:val="9"/>
      </w:numPr>
    </w:pPr>
  </w:style>
  <w:style w:type="character" w:customStyle="1" w:styleId="WingdingSymbols">
    <w:name w:val="Wingding Symbols"/>
    <w:rsid w:val="00FA51AF"/>
    <w:rPr>
      <w:rFonts w:ascii="Wingdings" w:hAnsi="Wingdings"/>
    </w:rPr>
  </w:style>
  <w:style w:type="paragraph" w:customStyle="1" w:styleId="TableHeading">
    <w:name w:val="Table Heading"/>
    <w:basedOn w:val="HeadingBase"/>
    <w:rsid w:val="00FA5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1AF"/>
    <w:rPr>
      <w:color w:val="0033CC"/>
      <w:u w:val="none"/>
    </w:rPr>
  </w:style>
  <w:style w:type="paragraph" w:customStyle="1" w:styleId="BodyTextRight">
    <w:name w:val="Body Text Right"/>
    <w:basedOn w:val="BodyText"/>
    <w:rsid w:val="00FA5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1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1AF"/>
    <w:rPr>
      <w:sz w:val="32"/>
    </w:rPr>
  </w:style>
  <w:style w:type="paragraph" w:customStyle="1" w:styleId="HeadingProcedure">
    <w:name w:val="Heading Procedure"/>
    <w:basedOn w:val="HeadingBase"/>
    <w:next w:val="Normal"/>
    <w:rsid w:val="00FA5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1AF"/>
    <w:pPr>
      <w:spacing w:before="60" w:after="60"/>
    </w:pPr>
  </w:style>
  <w:style w:type="paragraph" w:styleId="ListContinue">
    <w:name w:val="List Continue"/>
    <w:basedOn w:val="List"/>
    <w:rsid w:val="00FA51AF"/>
    <w:pPr>
      <w:ind w:firstLine="0"/>
    </w:pPr>
  </w:style>
  <w:style w:type="paragraph" w:customStyle="1" w:styleId="ListNote">
    <w:name w:val="List Note"/>
    <w:basedOn w:val="List"/>
    <w:rsid w:val="00FA5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1AF"/>
    <w:rPr>
      <w:rFonts w:ascii="Courier New" w:hAnsi="Courier New"/>
    </w:rPr>
  </w:style>
  <w:style w:type="paragraph" w:customStyle="1" w:styleId="NoteBullet">
    <w:name w:val="Note Bullet"/>
    <w:basedOn w:val="Note"/>
    <w:rsid w:val="00FA5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1AF"/>
    <w:rPr>
      <w:b/>
      <w:smallCaps/>
    </w:rPr>
  </w:style>
  <w:style w:type="paragraph" w:customStyle="1" w:styleId="TableListNumber">
    <w:name w:val="Table List Number"/>
    <w:basedOn w:val="ListNumber"/>
    <w:rsid w:val="00FA5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1AF"/>
    <w:pPr>
      <w:numPr>
        <w:numId w:val="7"/>
      </w:numPr>
    </w:pPr>
  </w:style>
  <w:style w:type="paragraph" w:customStyle="1" w:styleId="ListAlpha2">
    <w:name w:val="List Alpha 2"/>
    <w:basedOn w:val="List2"/>
    <w:rsid w:val="00FA51AF"/>
    <w:pPr>
      <w:numPr>
        <w:numId w:val="6"/>
      </w:numPr>
    </w:pPr>
  </w:style>
  <w:style w:type="paragraph" w:styleId="List2">
    <w:name w:val="List 2"/>
    <w:basedOn w:val="BodyText"/>
    <w:rsid w:val="00FA5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1AF"/>
    <w:pPr>
      <w:numPr>
        <w:numId w:val="1"/>
      </w:numPr>
    </w:pPr>
  </w:style>
  <w:style w:type="paragraph" w:styleId="ListBullet5">
    <w:name w:val="List Bullet 5"/>
    <w:basedOn w:val="List5"/>
    <w:rsid w:val="00FA51AF"/>
    <w:pPr>
      <w:numPr>
        <w:numId w:val="2"/>
      </w:numPr>
    </w:pPr>
  </w:style>
  <w:style w:type="paragraph" w:styleId="ListContinue2">
    <w:name w:val="List Continue 2"/>
    <w:basedOn w:val="List2"/>
    <w:rsid w:val="00FA51AF"/>
    <w:pPr>
      <w:ind w:firstLine="0"/>
    </w:pPr>
  </w:style>
  <w:style w:type="paragraph" w:styleId="ListContinue3">
    <w:name w:val="List Continue 3"/>
    <w:basedOn w:val="List3"/>
    <w:rsid w:val="00FA51AF"/>
    <w:pPr>
      <w:ind w:left="1021" w:firstLine="0"/>
    </w:pPr>
  </w:style>
  <w:style w:type="paragraph" w:styleId="ListContinue4">
    <w:name w:val="List Continue 4"/>
    <w:basedOn w:val="List4"/>
    <w:rsid w:val="00FA51AF"/>
    <w:pPr>
      <w:ind w:firstLine="0"/>
    </w:pPr>
  </w:style>
  <w:style w:type="paragraph" w:styleId="ListContinue5">
    <w:name w:val="List Continue 5"/>
    <w:basedOn w:val="List5"/>
    <w:rsid w:val="00FA51AF"/>
    <w:pPr>
      <w:ind w:firstLine="0"/>
    </w:pPr>
  </w:style>
  <w:style w:type="paragraph" w:styleId="ListNumber3">
    <w:name w:val="List Number 3"/>
    <w:basedOn w:val="List3"/>
    <w:rsid w:val="00FA51AF"/>
    <w:pPr>
      <w:numPr>
        <w:numId w:val="3"/>
      </w:numPr>
    </w:pPr>
  </w:style>
  <w:style w:type="paragraph" w:styleId="ListNumber4">
    <w:name w:val="List Number 4"/>
    <w:basedOn w:val="List4"/>
    <w:rsid w:val="00FA51AF"/>
    <w:pPr>
      <w:numPr>
        <w:numId w:val="4"/>
      </w:numPr>
    </w:pPr>
  </w:style>
  <w:style w:type="paragraph" w:styleId="ListNumber5">
    <w:name w:val="List Number 5"/>
    <w:basedOn w:val="List5"/>
    <w:rsid w:val="00FA51AF"/>
    <w:pPr>
      <w:numPr>
        <w:numId w:val="5"/>
      </w:numPr>
    </w:pPr>
  </w:style>
  <w:style w:type="paragraph" w:styleId="BlockText">
    <w:name w:val="Block Text"/>
    <w:basedOn w:val="Normal"/>
    <w:rsid w:val="00FA5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1AF"/>
    <w:rPr>
      <w:sz w:val="16"/>
      <w:vertAlign w:val="superscript"/>
    </w:rPr>
  </w:style>
  <w:style w:type="character" w:customStyle="1" w:styleId="Symbols">
    <w:name w:val="Symbols"/>
    <w:basedOn w:val="DefaultParagraphFont"/>
    <w:rsid w:val="00FA51AF"/>
    <w:rPr>
      <w:rFonts w:ascii="Symbol" w:hAnsi="Symbol"/>
    </w:rPr>
  </w:style>
  <w:style w:type="character" w:customStyle="1" w:styleId="MenuOptions">
    <w:name w:val="Menu Options"/>
    <w:basedOn w:val="DefaultParagraphFont"/>
    <w:rsid w:val="00FA5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1AF"/>
    <w:rPr>
      <w:b/>
    </w:rPr>
  </w:style>
  <w:style w:type="character" w:customStyle="1" w:styleId="Underlined">
    <w:name w:val="Underlined"/>
    <w:basedOn w:val="DefaultParagraphFont"/>
    <w:rsid w:val="00FA51AF"/>
    <w:rPr>
      <w:u w:val="single"/>
    </w:rPr>
  </w:style>
  <w:style w:type="paragraph" w:customStyle="1" w:styleId="TableBodyTextRight">
    <w:name w:val="Table Body Text Right"/>
    <w:basedOn w:val="TableBodyText"/>
    <w:rsid w:val="00FA5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1AF"/>
    <w:rPr>
      <w:sz w:val="18"/>
    </w:rPr>
  </w:style>
  <w:style w:type="paragraph" w:customStyle="1" w:styleId="BodySmallRight">
    <w:name w:val="Body Small Right"/>
    <w:basedOn w:val="BodyTextRight"/>
    <w:rsid w:val="00FA51AF"/>
    <w:rPr>
      <w:sz w:val="18"/>
      <w:szCs w:val="18"/>
    </w:rPr>
  </w:style>
  <w:style w:type="paragraph" w:customStyle="1" w:styleId="MarginEdition">
    <w:name w:val="Margin Edition"/>
    <w:basedOn w:val="MarginNote"/>
    <w:rsid w:val="00FA5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1AF"/>
    <w:rPr>
      <w:sz w:val="2"/>
      <w:szCs w:val="2"/>
    </w:rPr>
  </w:style>
  <w:style w:type="character" w:customStyle="1" w:styleId="Small">
    <w:name w:val="Small"/>
    <w:basedOn w:val="DefaultParagraphFont"/>
    <w:rsid w:val="00FA51AF"/>
    <w:rPr>
      <w:sz w:val="16"/>
    </w:rPr>
  </w:style>
  <w:style w:type="paragraph" w:customStyle="1" w:styleId="WideTable">
    <w:name w:val="Wide Table"/>
    <w:basedOn w:val="Normal"/>
    <w:rsid w:val="00FA5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1AF"/>
  </w:style>
  <w:style w:type="paragraph" w:styleId="Quote">
    <w:name w:val="Quote"/>
    <w:basedOn w:val="Heading1"/>
    <w:link w:val="QuoteChar"/>
    <w:qFormat/>
    <w:rsid w:val="00FA5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1AF"/>
    <w:pPr>
      <w:pageBreakBefore/>
    </w:pPr>
  </w:style>
  <w:style w:type="paragraph" w:customStyle="1" w:styleId="Border">
    <w:name w:val="Border"/>
    <w:basedOn w:val="Normal"/>
    <w:qFormat/>
    <w:rsid w:val="00FA5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1AF"/>
    <w:rPr>
      <w:u w:val="single"/>
    </w:rPr>
  </w:style>
  <w:style w:type="character" w:customStyle="1" w:styleId="BoldandItalics">
    <w:name w:val="Bold and Italics"/>
    <w:qFormat/>
    <w:rsid w:val="00FA51AF"/>
    <w:rPr>
      <w:b/>
      <w:i/>
      <w:u w:val="none"/>
    </w:rPr>
  </w:style>
  <w:style w:type="paragraph" w:styleId="BalloonText">
    <w:name w:val="Balloon Text"/>
    <w:basedOn w:val="Normal"/>
    <w:link w:val="BalloonTextChar"/>
    <w:rsid w:val="00FA5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1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1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1148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TLISS00012 Examining Steel Structures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