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D23A4" w:rsidP="000D23A4">
      <w:pPr>
        <w:pStyle w:val="Title"/>
      </w:pPr>
      <w:r>
        <w:fldChar w:fldCharType="begin"/>
      </w:r>
      <w:r>
        <w:instrText xml:space="preserve"> TITLE   \* MERGEFORMAT </w:instrText>
      </w:r>
      <w:r>
        <w:fldChar w:fldCharType="separate"/>
      </w:r>
      <w:r>
        <w:t>TLIS2030A Carry out track ballasting</w:t>
      </w:r>
      <w:r>
        <w:fldChar w:fldCharType="end"/>
      </w:r>
    </w:p>
    <w:p w:rsidR="000D23A4" w:rsidP="000D23A4">
      <w:pPr>
        <w:pStyle w:val="Version"/>
        <w:sectPr w:rsidSect="005249C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249CE" w:rsidP="005249CE">
      <w:pPr>
        <w:pStyle w:val="SuperHeading"/>
      </w:pPr>
      <w:r w:rsidRPr="005249CE">
        <w:t>TLIS2030A Carry out track ballasting</w:t>
      </w:r>
    </w:p>
    <w:p w:rsidR="00000000" w:rsidRPr="005249CE" w:rsidP="005249CE">
      <w:pPr>
        <w:pStyle w:val="Heading1"/>
      </w:pPr>
      <w:bookmarkStart w:id="1" w:name="O_274328"/>
      <w:bookmarkEnd w:id="1"/>
      <w:r w:rsidRPr="005249CE">
        <w:t>Modification History</w:t>
      </w:r>
    </w:p>
    <w:p w:rsidR="00000000" w:rsidRPr="005249CE" w:rsidP="005249CE">
      <w:pPr>
        <w:pStyle w:val="BodyText"/>
      </w:pPr>
      <w:r w:rsidRPr="005249CE">
        <w:t>Not Applicable</w:t>
      </w:r>
    </w:p>
    <w:p w:rsidR="00000000" w:rsidRPr="005249CE" w:rsidP="005249CE">
      <w:pPr>
        <w:pStyle w:val="AllowPageBreak"/>
      </w:pPr>
    </w:p>
    <w:p w:rsidR="00000000" w:rsidRPr="005249CE" w:rsidP="005249CE">
      <w:pPr>
        <w:pStyle w:val="Heading1"/>
      </w:pPr>
      <w:bookmarkStart w:id="2" w:name="O_224374"/>
      <w:bookmarkEnd w:id="2"/>
      <w:r w:rsidRPr="005249CE">
        <w:t>Unit Descriptor</w:t>
      </w:r>
    </w:p>
    <w:tbl>
      <w:tblPr>
        <w:tblW w:w="9640" w:type="dxa"/>
        <w:tblLayout w:type="fixed"/>
        <w:tblCellMar>
          <w:left w:w="62" w:type="dxa"/>
          <w:right w:w="62" w:type="dxa"/>
        </w:tblCellMar>
        <w:tblLook w:val="0000"/>
      </w:tblPr>
      <w:tblGrid>
        <w:gridCol w:w="2978"/>
        <w:gridCol w:w="6662"/>
      </w:tblGrid>
      <w:tr w:rsidTr="000D23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Unit Descriptor</w:t>
            </w:r>
          </w:p>
        </w:tc>
        <w:tc>
          <w:tcPr>
            <w:tcW w:w="6662" w:type="dxa"/>
            <w:tcBorders>
              <w:top w:val="nil"/>
              <w:left w:val="nil"/>
              <w:bottom w:val="nil"/>
              <w:right w:val="nil"/>
            </w:tcBorders>
            <w:tcMar>
              <w:top w:w="0" w:type="dxa"/>
              <w:left w:w="62" w:type="dxa"/>
              <w:bottom w:w="0" w:type="dxa"/>
              <w:right w:w="62" w:type="dxa"/>
            </w:tcMar>
          </w:tcPr>
          <w:p w:rsidR="00000000" w:rsidRPr="005249CE" w:rsidP="005249CE">
            <w:pPr>
              <w:pStyle w:val="BodyText"/>
            </w:pPr>
            <w:r w:rsidRPr="005249CE">
              <w:t>This unit involves the skills and knowledge required to carry out track ballasting both manually and m</w:t>
            </w:r>
            <w:r w:rsidRPr="005249CE">
              <w:t>echanically in accordance with safeworking and regulatory requirements and workplace procedures. It includes determining the job requirements, carrying out the ballast activity in accordance with work orders, and completing all required documentation. Lice</w:t>
            </w:r>
            <w:r w:rsidRPr="005249CE">
              <w:t>nsing or certification requirements may be applicable to this unit.</w:t>
            </w:r>
          </w:p>
        </w:tc>
      </w:tr>
    </w:tbl>
    <w:p w:rsidR="000D23A4" w:rsidP="005249CE">
      <w:pPr>
        <w:pStyle w:val="BodyText"/>
      </w:pPr>
    </w:p>
    <w:p w:rsidR="000D23A4" w:rsidP="005249CE">
      <w:pPr>
        <w:pStyle w:val="BodyText"/>
      </w:pPr>
    </w:p>
    <w:p w:rsidR="00000000" w:rsidRPr="005249CE" w:rsidP="005249CE">
      <w:pPr>
        <w:pStyle w:val="Heading1"/>
      </w:pPr>
      <w:bookmarkStart w:id="3" w:name="O_224376"/>
      <w:bookmarkEnd w:id="3"/>
      <w:r w:rsidRPr="005249CE">
        <w:t>Application of the Unit</w:t>
      </w:r>
    </w:p>
    <w:tbl>
      <w:tblPr>
        <w:tblW w:w="9640" w:type="dxa"/>
        <w:tblLayout w:type="fixed"/>
        <w:tblCellMar>
          <w:left w:w="62" w:type="dxa"/>
          <w:right w:w="62" w:type="dxa"/>
        </w:tblCellMar>
        <w:tblLook w:val="0000"/>
      </w:tblPr>
      <w:tblGrid>
        <w:gridCol w:w="2978"/>
        <w:gridCol w:w="6662"/>
      </w:tblGrid>
      <w:tr w:rsidTr="000D23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Application of the Unit</w:t>
            </w:r>
          </w:p>
        </w:tc>
        <w:tc>
          <w:tcPr>
            <w:tcW w:w="6662" w:type="dxa"/>
            <w:tcBorders>
              <w:top w:val="nil"/>
              <w:left w:val="nil"/>
              <w:bottom w:val="nil"/>
              <w:right w:val="nil"/>
            </w:tcBorders>
            <w:tcMar>
              <w:top w:w="0" w:type="dxa"/>
              <w:left w:w="62" w:type="dxa"/>
              <w:bottom w:w="0" w:type="dxa"/>
              <w:right w:w="62" w:type="dxa"/>
            </w:tcMar>
          </w:tcPr>
          <w:p w:rsidR="00000000" w:rsidRPr="005249CE" w:rsidP="005249CE">
            <w:pPr>
              <w:pStyle w:val="BodyText"/>
            </w:pPr>
            <w:r w:rsidRPr="005249CE">
              <w:t>Persons achieving competence in this unit will need to fulfil the applicable legislated rail safety requirements including acts and regulations from each state and territory together with any nationally approved compliance codes and/or guidelines.</w:t>
            </w:r>
          </w:p>
          <w:p w:rsidR="00000000" w:rsidRPr="005249CE" w:rsidP="005249CE">
            <w:pPr>
              <w:pStyle w:val="BodyText"/>
            </w:pPr>
            <w:r w:rsidRPr="005249CE">
              <w:t xml:space="preserve">Work is </w:t>
            </w:r>
            <w:r w:rsidRPr="005249CE">
              <w:t>performed under some supervision, generally within a team environment. It involves the application of routine operational principles and procedures to carrying out track ballasting as part of workplace activities across a variety of operational contexts wi</w:t>
            </w:r>
            <w:r w:rsidRPr="005249CE">
              <w:t>thin the Australian rail system.</w:t>
            </w:r>
          </w:p>
          <w:p w:rsidR="00000000" w:rsidRPr="005249CE" w:rsidP="005249CE">
            <w:pPr>
              <w:pStyle w:val="BodyText"/>
            </w:pPr>
            <w:r w:rsidRPr="005249CE">
              <w:t>Operators of mechanised equipment must have undertaken training and, where appropriate, hold the relevant licence, permit or certificate and be recognised as competent for the class of machinery being used.</w:t>
            </w:r>
          </w:p>
        </w:tc>
      </w:tr>
    </w:tbl>
    <w:p w:rsidR="000D23A4" w:rsidP="005249CE">
      <w:pPr>
        <w:pStyle w:val="BodyText"/>
      </w:pPr>
    </w:p>
    <w:p w:rsidR="000D23A4" w:rsidP="005249CE">
      <w:pPr>
        <w:pStyle w:val="BodyText"/>
      </w:pPr>
    </w:p>
    <w:p w:rsidR="00000000" w:rsidRPr="005249CE" w:rsidP="005249CE">
      <w:pPr>
        <w:pStyle w:val="Heading1"/>
      </w:pPr>
      <w:bookmarkStart w:id="4" w:name="O_282588"/>
      <w:bookmarkEnd w:id="4"/>
      <w:r w:rsidRPr="005249CE">
        <w:t>Licensing/Regulatory Information</w:t>
      </w:r>
    </w:p>
    <w:p w:rsidR="00000000" w:rsidRPr="005249CE" w:rsidP="005249CE">
      <w:pPr>
        <w:pStyle w:val="BodyText"/>
      </w:pPr>
      <w:r w:rsidRPr="005249CE">
        <w:t>Refer to Unit Descriptor</w:t>
      </w:r>
    </w:p>
    <w:p w:rsidR="00000000" w:rsidRPr="005249CE" w:rsidP="005249CE">
      <w:pPr>
        <w:pStyle w:val="AllowPageBreak"/>
      </w:pPr>
    </w:p>
    <w:p w:rsidR="00000000" w:rsidRPr="005249CE" w:rsidP="005249CE">
      <w:pPr>
        <w:pStyle w:val="Heading1"/>
      </w:pPr>
      <w:bookmarkStart w:id="5" w:name="O_285038"/>
      <w:bookmarkEnd w:id="5"/>
      <w:r w:rsidRPr="005249CE">
        <w:t>Pre-Requisites</w:t>
      </w:r>
    </w:p>
    <w:p w:rsidR="00000000" w:rsidRPr="005249CE" w:rsidP="005249CE">
      <w:pPr>
        <w:pStyle w:val="BodyText"/>
      </w:pPr>
      <w:r w:rsidRPr="005249CE">
        <w:t>Not Applicable</w:t>
      </w:r>
    </w:p>
    <w:p w:rsidR="00000000" w:rsidRPr="005249CE" w:rsidP="005249CE">
      <w:pPr>
        <w:pStyle w:val="AllowPageBreak"/>
      </w:pPr>
    </w:p>
    <w:p w:rsidR="00000000" w:rsidRPr="005249CE" w:rsidP="005249CE">
      <w:pPr>
        <w:pStyle w:val="Heading1"/>
      </w:pPr>
      <w:bookmarkStart w:id="6" w:name="O_224375"/>
      <w:bookmarkEnd w:id="6"/>
      <w:r w:rsidRPr="005249CE">
        <w:t>Employability Skills Information</w:t>
      </w:r>
    </w:p>
    <w:tbl>
      <w:tblPr>
        <w:tblW w:w="9640" w:type="dxa"/>
        <w:tblLayout w:type="fixed"/>
        <w:tblCellMar>
          <w:left w:w="62" w:type="dxa"/>
          <w:right w:w="62" w:type="dxa"/>
        </w:tblCellMar>
        <w:tblLook w:val="0000"/>
      </w:tblPr>
      <w:tblGrid>
        <w:gridCol w:w="2978"/>
        <w:gridCol w:w="6662"/>
      </w:tblGrid>
      <w:tr w:rsidTr="000D23A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Employability Skills</w:t>
            </w:r>
          </w:p>
        </w:tc>
        <w:tc>
          <w:tcPr>
            <w:tcW w:w="6662" w:type="dxa"/>
            <w:tcBorders>
              <w:top w:val="nil"/>
              <w:left w:val="nil"/>
              <w:bottom w:val="nil"/>
              <w:right w:val="nil"/>
            </w:tcBorders>
            <w:tcMar>
              <w:top w:w="0" w:type="dxa"/>
              <w:left w:w="62" w:type="dxa"/>
              <w:bottom w:w="0" w:type="dxa"/>
              <w:right w:w="62" w:type="dxa"/>
            </w:tcMar>
          </w:tcPr>
          <w:p w:rsidR="00000000" w:rsidRPr="005249CE" w:rsidP="005249CE">
            <w:pPr>
              <w:pStyle w:val="BodyText"/>
            </w:pPr>
            <w:r w:rsidRPr="005249CE">
              <w:t>This unit contains employability skills.</w:t>
            </w:r>
          </w:p>
        </w:tc>
      </w:tr>
    </w:tbl>
    <w:p w:rsidR="000D23A4" w:rsidP="005249CE">
      <w:pPr>
        <w:pStyle w:val="BodyText"/>
      </w:pPr>
    </w:p>
    <w:p w:rsidR="000D23A4" w:rsidP="005249CE">
      <w:pPr>
        <w:pStyle w:val="BodyText"/>
      </w:pPr>
    </w:p>
    <w:p w:rsidR="00000000" w:rsidRPr="005249CE" w:rsidP="005249CE">
      <w:pPr>
        <w:pStyle w:val="Heading1"/>
      </w:pPr>
      <w:bookmarkStart w:id="7" w:name="O_292374"/>
      <w:bookmarkEnd w:id="7"/>
      <w:r w:rsidRPr="005249CE">
        <w:t>Elements and Performance Criteria Pre-Content</w:t>
      </w:r>
    </w:p>
    <w:tbl>
      <w:tblPr>
        <w:tblW w:w="9640" w:type="dxa"/>
        <w:tblLayout w:type="fixed"/>
        <w:tblCellMar>
          <w:left w:w="62" w:type="dxa"/>
          <w:right w:w="62" w:type="dxa"/>
        </w:tblCellMar>
        <w:tblLook w:val="0000"/>
      </w:tblPr>
      <w:tblGrid>
        <w:gridCol w:w="2978"/>
        <w:gridCol w:w="6662"/>
      </w:tblGrid>
      <w:tr w:rsidTr="000D23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Elements describe the essential outcomes of a unit of competency.</w:t>
            </w:r>
          </w:p>
        </w:tc>
        <w:tc>
          <w:tcPr>
            <w:tcW w:w="6662" w:type="dxa"/>
            <w:tcBorders>
              <w:top w:val="nil"/>
              <w:left w:val="nil"/>
              <w:bottom w:val="nil"/>
              <w:right w:val="nil"/>
            </w:tcBorders>
            <w:tcMar>
              <w:top w:w="0" w:type="dxa"/>
              <w:left w:w="62" w:type="dxa"/>
              <w:bottom w:w="0" w:type="dxa"/>
              <w:right w:w="62" w:type="dxa"/>
            </w:tcMar>
          </w:tcPr>
          <w:p w:rsidR="00000000" w:rsidRPr="005249CE" w:rsidP="005249CE">
            <w:pPr>
              <w:pStyle w:val="BodyText"/>
            </w:pPr>
            <w:r w:rsidRPr="005249CE">
              <w:t>Performance criteria describe the required performance needed to demonstrate achievement of the element. Assessment of performance is to be cons</w:t>
            </w:r>
            <w:r w:rsidRPr="005249CE">
              <w:t>istent with the evidence guide.</w:t>
            </w:r>
          </w:p>
        </w:tc>
      </w:tr>
    </w:tbl>
    <w:p w:rsidR="00000000" w:rsidRPr="005249CE" w:rsidP="005249CE">
      <w:pPr>
        <w:pStyle w:val="BodyText"/>
      </w:pPr>
    </w:p>
    <w:p w:rsidR="00000000" w:rsidRPr="005249CE" w:rsidP="005249CE">
      <w:pPr>
        <w:pStyle w:val="AllowPageBreak"/>
      </w:pPr>
    </w:p>
    <w:p w:rsidR="00000000" w:rsidRPr="005249CE" w:rsidP="005249CE">
      <w:pPr>
        <w:pStyle w:val="Heading1"/>
      </w:pPr>
      <w:bookmarkStart w:id="8" w:name="O_239042"/>
      <w:bookmarkEnd w:id="8"/>
      <w:r w:rsidRPr="005249CE">
        <w:t>Elements and Performance Criteria</w:t>
      </w:r>
    </w:p>
    <w:tbl>
      <w:tblPr>
        <w:tblW w:w="9640" w:type="dxa"/>
        <w:tblLayout w:type="fixed"/>
        <w:tblCellMar>
          <w:left w:w="62" w:type="dxa"/>
          <w:right w:w="62" w:type="dxa"/>
        </w:tblCellMar>
        <w:tblLook w:val="0000"/>
      </w:tblPr>
      <w:tblGrid>
        <w:gridCol w:w="2978"/>
        <w:gridCol w:w="6662"/>
      </w:tblGrid>
      <w:tr w:rsidTr="000D23A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RPr="005249CE" w:rsidP="005249CE">
            <w:pPr>
              <w:pStyle w:val="List"/>
            </w:pPr>
            <w:r w:rsidRPr="005249CE">
              <w:rPr>
                <w:rStyle w:val="SpecialBold"/>
              </w:rPr>
              <w:t>ELEMENT</w:t>
            </w:r>
          </w:p>
        </w:tc>
        <w:tc>
          <w:tcPr>
            <w:tcW w:w="6662" w:type="dxa"/>
            <w:tcBorders>
              <w:top w:val="nil"/>
              <w:left w:val="nil"/>
              <w:bottom w:val="nil"/>
              <w:right w:val="nil"/>
            </w:tcBorders>
            <w:tcMar>
              <w:top w:w="0" w:type="dxa"/>
              <w:left w:w="62" w:type="dxa"/>
              <w:bottom w:w="0" w:type="dxa"/>
              <w:right w:w="62" w:type="dxa"/>
            </w:tcMar>
          </w:tcPr>
          <w:p w:rsidR="00000000" w:rsidP="005249CE">
            <w:pPr>
              <w:pStyle w:val="List"/>
              <w:rPr>
                <w:lang w:val="en-NZ"/>
              </w:rPr>
            </w:pPr>
            <w:r w:rsidRPr="005249CE">
              <w:rPr>
                <w:rStyle w:val="SpecialBold"/>
              </w:rPr>
              <w:t>PERFORMANCE CRITERIA</w:t>
            </w:r>
          </w:p>
        </w:tc>
      </w:tr>
      <w:tr w:rsidTr="000D23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49CE">
            <w:pPr>
              <w:pStyle w:val="List"/>
              <w:rPr>
                <w:lang w:val="en-NZ"/>
              </w:rPr>
            </w:pPr>
            <w:r w:rsidRPr="005249CE">
              <w:rPr>
                <w:rStyle w:val="SpecialBold"/>
              </w:rPr>
              <w:t>1</w:t>
            </w:r>
            <w:r w:rsidRPr="005249CE">
              <w:tab/>
            </w:r>
            <w:r w:rsidRPr="005249CE">
              <w:rPr>
                <w:rStyle w:val="SpecialBold"/>
              </w:rPr>
              <w:t>Determine job requirements</w:t>
            </w:r>
          </w:p>
        </w:tc>
        <w:tc>
          <w:tcPr>
            <w:tcW w:w="6662" w:type="dxa"/>
            <w:tcBorders>
              <w:top w:val="nil"/>
              <w:left w:val="nil"/>
              <w:bottom w:val="nil"/>
              <w:right w:val="nil"/>
            </w:tcBorders>
            <w:tcMar>
              <w:top w:w="0" w:type="dxa"/>
              <w:left w:w="62" w:type="dxa"/>
              <w:bottom w:w="0" w:type="dxa"/>
              <w:right w:w="62" w:type="dxa"/>
            </w:tcMar>
          </w:tcPr>
          <w:p w:rsidR="00000000" w:rsidRPr="005249CE" w:rsidP="005249CE">
            <w:pPr>
              <w:pStyle w:val="List"/>
            </w:pPr>
            <w:r w:rsidRPr="005249CE">
              <w:t>1.1</w:t>
            </w:r>
            <w:r w:rsidRPr="005249CE">
              <w:tab/>
              <w:t>Worksite is identified</w:t>
            </w:r>
          </w:p>
          <w:p w:rsidR="00000000" w:rsidRPr="005249CE" w:rsidP="005249CE">
            <w:pPr>
              <w:pStyle w:val="List"/>
            </w:pPr>
            <w:r w:rsidRPr="005249CE">
              <w:t>1.2</w:t>
            </w:r>
            <w:r w:rsidRPr="005249CE">
              <w:tab/>
              <w:t>Work method is selected to meet job requirements</w:t>
            </w:r>
          </w:p>
          <w:p w:rsidR="00000000" w:rsidP="005249CE">
            <w:pPr>
              <w:pStyle w:val="List"/>
              <w:rPr>
                <w:lang w:val="en-NZ"/>
              </w:rPr>
            </w:pPr>
            <w:r w:rsidRPr="005249CE">
              <w:t>1.3</w:t>
            </w:r>
            <w:r w:rsidRPr="005249CE">
              <w:tab/>
            </w:r>
            <w:r w:rsidRPr="005249CE">
              <w:t>Resources are identified to meet the scope of the job and work methods selected</w:t>
            </w:r>
          </w:p>
        </w:tc>
      </w:tr>
      <w:tr w:rsidTr="000D23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49CE">
            <w:pPr>
              <w:pStyle w:val="List"/>
              <w:rPr>
                <w:lang w:val="en-NZ"/>
              </w:rPr>
            </w:pPr>
            <w:r w:rsidRPr="005249CE">
              <w:rPr>
                <w:rStyle w:val="SpecialBold"/>
              </w:rPr>
              <w:t>2</w:t>
            </w:r>
            <w:r w:rsidRPr="005249CE">
              <w:tab/>
            </w:r>
            <w:r w:rsidRPr="005249CE">
              <w:rPr>
                <w:rStyle w:val="SpecialBold"/>
              </w:rPr>
              <w:t>Undertake ballast activity</w:t>
            </w:r>
          </w:p>
        </w:tc>
        <w:tc>
          <w:tcPr>
            <w:tcW w:w="6662" w:type="dxa"/>
            <w:tcBorders>
              <w:top w:val="nil"/>
              <w:left w:val="nil"/>
              <w:bottom w:val="nil"/>
              <w:right w:val="nil"/>
            </w:tcBorders>
            <w:tcMar>
              <w:top w:w="0" w:type="dxa"/>
              <w:left w:w="62" w:type="dxa"/>
              <w:bottom w:w="0" w:type="dxa"/>
              <w:right w:w="62" w:type="dxa"/>
            </w:tcMar>
          </w:tcPr>
          <w:p w:rsidR="00000000" w:rsidRPr="005249CE" w:rsidP="005249CE">
            <w:pPr>
              <w:pStyle w:val="List"/>
            </w:pPr>
            <w:r w:rsidRPr="005249CE">
              <w:t>2.1</w:t>
            </w:r>
            <w:r w:rsidRPr="005249CE">
              <w:tab/>
              <w:t>Ballast is removed from track using appropriate methods and equipment in accordance with workplace procedures</w:t>
            </w:r>
          </w:p>
          <w:p w:rsidR="00000000" w:rsidRPr="005249CE" w:rsidP="005249CE">
            <w:pPr>
              <w:pStyle w:val="List"/>
            </w:pPr>
            <w:r w:rsidRPr="005249CE">
              <w:t>2.2</w:t>
            </w:r>
            <w:r w:rsidRPr="005249CE">
              <w:tab/>
              <w:t>Ballast profile is establish</w:t>
            </w:r>
            <w:r w:rsidRPr="005249CE">
              <w:t>ed through repair of existing ballast and/or distribution of new ballast using appropriate methods and equipment in accordance with workplace procedures</w:t>
            </w:r>
          </w:p>
          <w:p w:rsidR="00000000" w:rsidP="005249CE">
            <w:pPr>
              <w:pStyle w:val="List"/>
              <w:rPr>
                <w:lang w:val="en-NZ"/>
              </w:rPr>
            </w:pPr>
            <w:r w:rsidRPr="005249CE">
              <w:t>2.3</w:t>
            </w:r>
            <w:r w:rsidRPr="005249CE">
              <w:tab/>
              <w:t>Work is completed to meet ballast profile requirements to ensure safe operation of trains in accord</w:t>
            </w:r>
            <w:r w:rsidRPr="005249CE">
              <w:t>ance with workplace procedures</w:t>
            </w:r>
          </w:p>
        </w:tc>
      </w:tr>
      <w:tr w:rsidTr="000D23A4">
        <w:tblPrEx>
          <w:tblW w:w="9640" w:type="dxa"/>
          <w:tblLayout w:type="fixed"/>
          <w:tblCellMar>
            <w:left w:w="62" w:type="dxa"/>
            <w:right w:w="62" w:type="dxa"/>
          </w:tblCellMar>
          <w:tblLook w:val="0000"/>
        </w:tblPrEx>
        <w:tc>
          <w:tcPr>
            <w:tcW w:w="2978" w:type="dxa"/>
            <w:tcBorders>
              <w:top w:val="nil"/>
              <w:left w:val="nil"/>
              <w:bottom w:val="nil"/>
              <w:right w:val="nil"/>
            </w:tcBorders>
            <w:tcMar>
              <w:top w:w="0" w:type="dxa"/>
              <w:left w:w="62" w:type="dxa"/>
              <w:bottom w:w="0" w:type="dxa"/>
              <w:right w:w="62" w:type="dxa"/>
            </w:tcMar>
          </w:tcPr>
          <w:p w:rsidR="00000000" w:rsidP="005249CE">
            <w:pPr>
              <w:pStyle w:val="List"/>
              <w:rPr>
                <w:lang w:val="en-NZ"/>
              </w:rPr>
            </w:pPr>
            <w:r w:rsidRPr="005249CE">
              <w:rPr>
                <w:rStyle w:val="SpecialBold"/>
              </w:rPr>
              <w:t>3</w:t>
            </w:r>
            <w:r w:rsidRPr="005249CE">
              <w:tab/>
            </w:r>
            <w:r w:rsidRPr="005249CE">
              <w:rPr>
                <w:rStyle w:val="SpecialBold"/>
              </w:rPr>
              <w:t>Complete documentation</w:t>
            </w:r>
          </w:p>
        </w:tc>
        <w:tc>
          <w:tcPr>
            <w:tcW w:w="6662" w:type="dxa"/>
            <w:tcBorders>
              <w:top w:val="nil"/>
              <w:left w:val="nil"/>
              <w:bottom w:val="nil"/>
              <w:right w:val="nil"/>
            </w:tcBorders>
            <w:tcMar>
              <w:top w:w="0" w:type="dxa"/>
              <w:left w:w="62" w:type="dxa"/>
              <w:bottom w:w="0" w:type="dxa"/>
              <w:right w:w="62" w:type="dxa"/>
            </w:tcMar>
          </w:tcPr>
          <w:p w:rsidR="00000000" w:rsidRPr="005249CE" w:rsidP="005249CE">
            <w:pPr>
              <w:pStyle w:val="List"/>
            </w:pPr>
            <w:r w:rsidRPr="005249CE">
              <w:t>3.1</w:t>
            </w:r>
            <w:r w:rsidRPr="005249CE">
              <w:tab/>
              <w:t>Documentation is completed in line with workplace requirements</w:t>
            </w:r>
          </w:p>
        </w:tc>
      </w:tr>
    </w:tbl>
    <w:p w:rsidR="000D23A4" w:rsidP="005249CE">
      <w:pPr>
        <w:pStyle w:val="BodyText"/>
      </w:pPr>
    </w:p>
    <w:p w:rsidR="000D23A4" w:rsidP="005249CE">
      <w:pPr>
        <w:pStyle w:val="BodyText"/>
      </w:pPr>
    </w:p>
    <w:p w:rsidR="00000000" w:rsidRPr="005249CE" w:rsidP="005249CE">
      <w:pPr>
        <w:pStyle w:val="Heading1"/>
      </w:pPr>
      <w:bookmarkStart w:id="9" w:name="O_262833"/>
      <w:bookmarkEnd w:id="9"/>
      <w:r w:rsidRPr="005249CE">
        <w:t>Required Skills and Knowledge</w:t>
      </w:r>
    </w:p>
    <w:tbl>
      <w:tblPr>
        <w:tblW w:w="9640" w:type="dxa"/>
        <w:tblLayout w:type="fixed"/>
        <w:tblCellMar>
          <w:left w:w="62" w:type="dxa"/>
          <w:right w:w="62" w:type="dxa"/>
        </w:tblCellMar>
        <w:tblLook w:val="0000"/>
      </w:tblPr>
      <w:tblGrid>
        <w:gridCol w:w="9640"/>
      </w:tblGrid>
      <w:tr w:rsidTr="000D23A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REQUIRED KNOWLEDGE AND SKILLS</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This describes the essential knowledge and skills and their level required for this unit.</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Required knowledge</w:t>
            </w:r>
            <w:r w:rsidRPr="005249CE">
              <w:t>:</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Relevant safety, OH&amp;S and environmental procedures and regulations</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Workplace procedures for the carrying out of track ballasting</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Problems that may occur when carrying out of track ballasting, and action that can be taken to report or resolve the problems</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Hazards that may exist when carrying out of track ballasting, and ways of controlling the risks involved</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Ballast profile stand</w:t>
            </w:r>
            <w:r w:rsidRPr="005249CE">
              <w:t>ards</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Functions of ballast</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Basic understanding of materials and methods involved in the restoration of ballast profiles</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Relevant recording and documentation procedures</w:t>
            </w:r>
          </w:p>
        </w:tc>
      </w:tr>
    </w:tbl>
    <w:p w:rsidR="00000000" w:rsidRPr="005249CE" w:rsidP="005249CE">
      <w:pPr>
        <w:pStyle w:val="BodyText"/>
      </w:pPr>
    </w:p>
    <w:tbl>
      <w:tblPr>
        <w:tblW w:w="9640" w:type="dxa"/>
        <w:tblLayout w:type="fixed"/>
        <w:tblCellMar>
          <w:left w:w="62" w:type="dxa"/>
          <w:right w:w="62" w:type="dxa"/>
        </w:tblCellMar>
        <w:tblLook w:val="0000"/>
      </w:tblPr>
      <w:tblGrid>
        <w:gridCol w:w="9640"/>
      </w:tblGrid>
      <w:tr w:rsidTr="000D23A4">
        <w:tblPrEx>
          <w:tblW w:w="9640" w:type="dxa"/>
          <w:tblLayout w:type="fixed"/>
          <w:tblCellMar>
            <w:left w:w="62" w:type="dxa"/>
            <w:right w:w="62" w:type="dxa"/>
          </w:tblCellMar>
          <w:tblLook w:val="0000"/>
        </w:tblPrEx>
        <w:trPr>
          <w:tblHeader/>
        </w:trPr>
        <w:tc>
          <w:tcPr>
            <w:tcW w:w="9640"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Required skills</w:t>
            </w:r>
            <w:r w:rsidRPr="005249CE">
              <w:t>:</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Communicate effectively with others when carrying out track ballast activities</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Read and interpret instructions and manuals relevant to the carrying out of track ballasting</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Interpret and follow operational instructions including the correct work sequenc</w:t>
            </w:r>
            <w:r w:rsidRPr="005249CE">
              <w:t>es when carrying out track ballasting</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Complete documentation related to the carrying out of track ballasting</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Use agreed communication methods</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Work collaboratively with others when carrying out track ballasting</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Promptly report and/or rectify any identified problems, faults or malfunctions that may occur when carrying out track ballasting in accordance with regulatory requirements and workplace procedures</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Perform work activities in terms of planned schedule</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Mo</w:t>
            </w:r>
            <w:r w:rsidRPr="005249CE">
              <w:t>dify activities depending on differing operational contingencies, risk situations and environments</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Work systematically with required attention to detail without injury to self or others, or damage to equipment</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Select and use required personal protectiv</w:t>
            </w:r>
            <w:r w:rsidRPr="005249CE">
              <w:t>e equipment</w:t>
            </w:r>
          </w:p>
        </w:tc>
      </w:tr>
      <w:tr w:rsidTr="000D23A4">
        <w:tblPrEx>
          <w:tblW w:w="9640" w:type="dxa"/>
          <w:tblLayout w:type="fixed"/>
          <w:tblCellMar>
            <w:left w:w="62" w:type="dxa"/>
            <w:right w:w="62" w:type="dxa"/>
          </w:tblCellMar>
          <w:tblLook w:val="0000"/>
        </w:tblPrEx>
        <w:tc>
          <w:tcPr>
            <w:tcW w:w="9640"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Select and use relevant equipment and tools</w:t>
            </w:r>
          </w:p>
        </w:tc>
      </w:tr>
    </w:tbl>
    <w:p w:rsidR="000D23A4" w:rsidP="005249CE">
      <w:pPr>
        <w:pStyle w:val="BodyText"/>
      </w:pPr>
    </w:p>
    <w:p w:rsidR="000D23A4" w:rsidP="005249CE">
      <w:pPr>
        <w:pStyle w:val="BodyText"/>
      </w:pPr>
    </w:p>
    <w:p w:rsidR="00000000" w:rsidRPr="005249CE" w:rsidP="005249CE">
      <w:pPr>
        <w:pStyle w:val="Heading1"/>
      </w:pPr>
      <w:bookmarkStart w:id="10" w:name="O_247026"/>
      <w:bookmarkEnd w:id="10"/>
      <w:r w:rsidRPr="005249CE">
        <w:t>Evidence Guide</w:t>
      </w:r>
    </w:p>
    <w:tbl>
      <w:tblPr>
        <w:tblW w:w="9499" w:type="dxa"/>
        <w:tblLayout w:type="fixed"/>
        <w:tblCellMar>
          <w:left w:w="62" w:type="dxa"/>
          <w:right w:w="62" w:type="dxa"/>
        </w:tblCellMar>
        <w:tblLook w:val="0000"/>
      </w:tblPr>
      <w:tblGrid>
        <w:gridCol w:w="3524"/>
        <w:gridCol w:w="5975"/>
      </w:tblGrid>
      <w:tr w:rsidTr="000D23A4">
        <w:tblPrEx>
          <w:tblW w:w="9499" w:type="dxa"/>
          <w:tblLayout w:type="fixed"/>
          <w:tblCellMar>
            <w:left w:w="62" w:type="dxa"/>
            <w:right w:w="62" w:type="dxa"/>
          </w:tblCellMar>
          <w:tblLook w:val="0000"/>
        </w:tblPrEx>
        <w:trPr>
          <w:tblHeader/>
        </w:trPr>
        <w:tc>
          <w:tcPr>
            <w:tcW w:w="9499" w:type="dxa"/>
            <w:gridSpan w:val="2"/>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EVIDENCE GUIDE</w:t>
            </w:r>
          </w:p>
        </w:tc>
      </w:tr>
      <w:tr w:rsidTr="000D23A4">
        <w:tblPrEx>
          <w:tblW w:w="9499" w:type="dxa"/>
          <w:tblLayout w:type="fixed"/>
          <w:tblCellMar>
            <w:left w:w="62" w:type="dxa"/>
            <w:right w:w="62" w:type="dxa"/>
          </w:tblCellMar>
          <w:tblLook w:val="0000"/>
        </w:tblPrEx>
        <w:tc>
          <w:tcPr>
            <w:tcW w:w="9499" w:type="dxa"/>
            <w:gridSpan w:val="2"/>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 xml:space="preserve">The evidence guide provides advice on assessment and must be read in conjunction with the performance criteria, required knowledge and skills, </w:t>
            </w:r>
            <w:r w:rsidRPr="005249CE">
              <w:t>the range statement and the assessment guidelines for this Training Package.</w:t>
            </w:r>
          </w:p>
        </w:tc>
      </w:tr>
      <w:tr w:rsidTr="000D23A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Critical aspects for assessment and evidence required to demonstrate competency in this unit</w:t>
            </w:r>
          </w:p>
        </w:tc>
        <w:tc>
          <w:tcPr>
            <w:tcW w:w="5975"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The evidence required to demonstrate competency in this unit must be relevant to an</w:t>
            </w:r>
            <w:r w:rsidRPr="005249CE">
              <w:t>d satisfy all of the requirements of the elements and performance criteria of this unit and include demonstration of applying:</w:t>
            </w:r>
          </w:p>
          <w:p w:rsidR="00000000" w:rsidRPr="005249CE" w:rsidP="005249CE">
            <w:pPr>
              <w:pStyle w:val="ListBullet2"/>
            </w:pPr>
            <w:r w:rsidRPr="005249CE">
              <w:t>the underpinning knowledge and skills</w:t>
            </w:r>
          </w:p>
          <w:p w:rsidR="00000000" w:rsidRPr="005249CE" w:rsidP="005249CE">
            <w:pPr>
              <w:pStyle w:val="ListBullet2"/>
            </w:pPr>
            <w:r w:rsidRPr="005249CE">
              <w:t>relevant legislation and workplace procedures</w:t>
            </w:r>
          </w:p>
          <w:p w:rsidR="00000000" w:rsidRPr="005249CE" w:rsidP="005249CE">
            <w:pPr>
              <w:pStyle w:val="ListBullet2"/>
            </w:pPr>
            <w:r w:rsidRPr="005249CE">
              <w:t>other relevant aspects of the range statement</w:t>
            </w:r>
          </w:p>
          <w:p w:rsidR="00000000" w:rsidRPr="005249CE" w:rsidP="005249CE">
            <w:pPr>
              <w:pStyle w:val="ListBullet"/>
            </w:pPr>
            <w:r w:rsidRPr="005249CE">
              <w:t>Assessment must include exercises which demonstrate competent performance of the following in a range of situations:</w:t>
            </w:r>
          </w:p>
          <w:p w:rsidR="00000000" w:rsidRPr="005249CE" w:rsidP="005249CE">
            <w:pPr>
              <w:pStyle w:val="ListBullet2"/>
            </w:pPr>
            <w:r w:rsidRPr="005249CE">
              <w:t>removing and distributing existing ballast by manual and/or mechanical methods</w:t>
            </w:r>
          </w:p>
          <w:p w:rsidR="00000000" w:rsidRPr="005249CE" w:rsidP="005249CE">
            <w:pPr>
              <w:pStyle w:val="ListBullet2"/>
            </w:pPr>
            <w:r w:rsidRPr="005249CE">
              <w:t>distributing</w:t>
            </w:r>
            <w:r w:rsidRPr="005249CE">
              <w:t xml:space="preserve"> new ballast by manual and/or mechanical methods</w:t>
            </w:r>
          </w:p>
          <w:p w:rsidR="00000000" w:rsidP="005249CE">
            <w:pPr>
              <w:pStyle w:val="ListBullet2"/>
              <w:rPr>
                <w:lang w:val="en-NZ"/>
              </w:rPr>
            </w:pPr>
            <w:r w:rsidRPr="005249CE">
              <w:t xml:space="preserve">ensuring completed work meets ballast profile </w:t>
            </w:r>
            <w:r w:rsidRPr="005249CE">
              <w:t>requirements</w:t>
            </w:r>
          </w:p>
        </w:tc>
      </w:tr>
      <w:tr w:rsidTr="000D23A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Context of and specific resources for assessment</w:t>
            </w:r>
          </w:p>
        </w:tc>
        <w:tc>
          <w:tcPr>
            <w:tcW w:w="5975"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 xml:space="preserve">Performance is demonstrated consistently over a period of time and in a suitable </w:t>
            </w:r>
            <w:r w:rsidRPr="005249CE">
              <w:t>range of contexts</w:t>
            </w:r>
          </w:p>
          <w:p w:rsidR="00000000" w:rsidRPr="005249CE" w:rsidP="005249CE">
            <w:pPr>
              <w:pStyle w:val="ListBullet"/>
            </w:pPr>
            <w:r w:rsidRPr="005249CE">
              <w:t>Resources for assessment include:</w:t>
            </w:r>
          </w:p>
          <w:p w:rsidR="00000000" w:rsidRPr="005249CE" w:rsidP="005249CE">
            <w:pPr>
              <w:pStyle w:val="ListBullet2"/>
            </w:pPr>
            <w:r w:rsidRPr="005249CE">
              <w:t>a range of relevant exercises, case studies and/or other simulated practical and knowledge assessment, and/or</w:t>
            </w:r>
          </w:p>
          <w:p w:rsidR="00000000" w:rsidRPr="005249CE" w:rsidP="005249CE">
            <w:pPr>
              <w:pStyle w:val="ListBullet2"/>
            </w:pPr>
            <w:r w:rsidRPr="005249CE">
              <w:t>access to an appropriate range of relevant operational situations in the workplace</w:t>
            </w:r>
          </w:p>
          <w:p w:rsidR="00000000" w:rsidRPr="005249CE" w:rsidP="005249CE">
            <w:pPr>
              <w:pStyle w:val="ListBullet"/>
            </w:pPr>
            <w:r w:rsidRPr="005249CE">
              <w:t>In both r</w:t>
            </w:r>
            <w:r w:rsidRPr="005249CE">
              <w:t>eal and simulated environments, access is required to:</w:t>
            </w:r>
          </w:p>
          <w:p w:rsidR="00000000" w:rsidRPr="005249CE" w:rsidP="005249CE">
            <w:pPr>
              <w:pStyle w:val="ListBullet2"/>
            </w:pPr>
            <w:r w:rsidRPr="005249CE">
              <w:t>relevant and appropriate materials and equipment, and</w:t>
            </w:r>
          </w:p>
          <w:p w:rsidR="00000000" w:rsidP="005249CE">
            <w:pPr>
              <w:pStyle w:val="ListBullet2"/>
              <w:rPr>
                <w:lang w:val="en-NZ"/>
              </w:rPr>
            </w:pPr>
            <w:r w:rsidRPr="005249CE">
              <w:t>applicable documentation including workplace procedures, regulations, codes of practice and operation manuals</w:t>
            </w:r>
          </w:p>
        </w:tc>
      </w:tr>
      <w:tr w:rsidTr="000D23A4">
        <w:tblPrEx>
          <w:tblW w:w="9499" w:type="dxa"/>
          <w:tblLayout w:type="fixed"/>
          <w:tblCellMar>
            <w:left w:w="62" w:type="dxa"/>
            <w:right w:w="62" w:type="dxa"/>
          </w:tblCellMar>
          <w:tblLook w:val="0000"/>
        </w:tblPrEx>
        <w:tc>
          <w:tcPr>
            <w:tcW w:w="3524"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Method of assessment</w:t>
            </w:r>
          </w:p>
        </w:tc>
        <w:tc>
          <w:tcPr>
            <w:tcW w:w="5975"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Assessment of this unit must be undertaken by a registered training organisation</w:t>
            </w:r>
          </w:p>
          <w:p w:rsidR="00000000" w:rsidRPr="005249CE" w:rsidP="005249CE">
            <w:pPr>
              <w:pStyle w:val="ListBullet"/>
            </w:pPr>
            <w:r w:rsidRPr="005249CE">
              <w:t>As a minimum, assessment of knowledge must be conducted through appropriate written/oral tests</w:t>
            </w:r>
          </w:p>
          <w:p w:rsidR="00000000" w:rsidRPr="005249CE" w:rsidP="005249CE">
            <w:pPr>
              <w:pStyle w:val="ListBullet"/>
            </w:pPr>
            <w:r w:rsidRPr="005249CE">
              <w:t>Practical assessment must occur:</w:t>
            </w:r>
          </w:p>
          <w:p w:rsidR="00000000" w:rsidRPr="005249CE" w:rsidP="005249CE">
            <w:pPr>
              <w:pStyle w:val="ListBullet2"/>
            </w:pPr>
            <w:r w:rsidRPr="005249CE">
              <w:t>through activities in an appropriately simulat</w:t>
            </w:r>
            <w:r w:rsidRPr="005249CE">
              <w:t>ed environment at the registered training organisation, and/or</w:t>
            </w:r>
          </w:p>
          <w:p w:rsidR="00000000" w:rsidRPr="005249CE" w:rsidP="005249CE">
            <w:pPr>
              <w:pStyle w:val="ListBullet2"/>
            </w:pPr>
            <w:r w:rsidRPr="005249CE">
              <w:t>in an appropriate range of situations in the workplace</w:t>
            </w:r>
          </w:p>
        </w:tc>
      </w:tr>
    </w:tbl>
    <w:p w:rsidR="000D23A4" w:rsidP="005249CE">
      <w:pPr>
        <w:pStyle w:val="BodyText"/>
      </w:pPr>
    </w:p>
    <w:p w:rsidR="000D23A4" w:rsidP="005249CE">
      <w:pPr>
        <w:pStyle w:val="BodyText"/>
      </w:pPr>
    </w:p>
    <w:p w:rsidR="00000000" w:rsidRPr="005249CE" w:rsidP="005249CE">
      <w:pPr>
        <w:pStyle w:val="Heading1"/>
      </w:pPr>
      <w:bookmarkStart w:id="11" w:name="O_255009"/>
      <w:bookmarkEnd w:id="11"/>
      <w:r w:rsidRPr="005249CE">
        <w:t>Range Statement</w:t>
      </w:r>
    </w:p>
    <w:tbl>
      <w:tblPr>
        <w:tblW w:w="9640" w:type="dxa"/>
        <w:tblLayout w:type="fixed"/>
        <w:tblCellMar>
          <w:left w:w="62" w:type="dxa"/>
          <w:right w:w="62" w:type="dxa"/>
        </w:tblCellMar>
        <w:tblLook w:val="0000"/>
      </w:tblPr>
      <w:tblGrid>
        <w:gridCol w:w="3486"/>
        <w:gridCol w:w="6154"/>
      </w:tblGrid>
      <w:tr w:rsidTr="000D23A4">
        <w:tblPrEx>
          <w:tblW w:w="9640" w:type="dxa"/>
          <w:tblLayout w:type="fixed"/>
          <w:tblCellMar>
            <w:left w:w="62" w:type="dxa"/>
            <w:right w:w="62" w:type="dxa"/>
          </w:tblCellMar>
          <w:tblLook w:val="0000"/>
        </w:tblPrEx>
        <w:trPr>
          <w:tblHeader/>
        </w:trPr>
        <w:tc>
          <w:tcPr>
            <w:tcW w:w="9640" w:type="dxa"/>
            <w:gridSpan w:val="2"/>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RANGE STATEMENT</w:t>
            </w:r>
            <w:r w:rsidRPr="005249CE">
              <w:t xml:space="preserve"> </w:t>
            </w:r>
          </w:p>
        </w:tc>
      </w:tr>
      <w:tr w:rsidTr="000D23A4">
        <w:tblPrEx>
          <w:tblW w:w="9640" w:type="dxa"/>
          <w:tblLayout w:type="fixed"/>
          <w:tblCellMar>
            <w:left w:w="62" w:type="dxa"/>
            <w:right w:w="62" w:type="dxa"/>
          </w:tblCellMar>
          <w:tblLook w:val="0000"/>
        </w:tblPrEx>
        <w:tc>
          <w:tcPr>
            <w:tcW w:w="9640" w:type="dxa"/>
            <w:gridSpan w:val="2"/>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The range statement relates to the unit of competency as a whole. It allows for different work environments and situations that may affect performance.</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Operations may be conducted:</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by day or night</w:t>
            </w:r>
          </w:p>
          <w:p w:rsidR="00000000" w:rsidP="005249CE">
            <w:pPr>
              <w:pStyle w:val="ListBullet"/>
              <w:rPr>
                <w:lang w:val="en-NZ"/>
              </w:rPr>
            </w:pPr>
            <w:r w:rsidRPr="005249CE">
              <w:t>in all weather conditions</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Work may be conducted in:</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restricted spaces</w:t>
            </w:r>
          </w:p>
          <w:p w:rsidR="00000000" w:rsidRPr="005249CE" w:rsidP="005249CE">
            <w:pPr>
              <w:pStyle w:val="ListBullet"/>
            </w:pPr>
            <w:r w:rsidRPr="005249CE">
              <w:t>exposed conditions</w:t>
            </w:r>
          </w:p>
          <w:p w:rsidR="00000000" w:rsidP="005249CE">
            <w:pPr>
              <w:pStyle w:val="ListBullet"/>
              <w:rPr>
                <w:lang w:val="en-NZ"/>
              </w:rPr>
            </w:pPr>
            <w:r w:rsidRPr="005249CE">
              <w:t>controlled or open environments</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Work may involve:</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exposure to chemicals, and dangerous or hazardous substances</w:t>
            </w:r>
          </w:p>
          <w:p w:rsidR="00000000" w:rsidP="005249CE">
            <w:pPr>
              <w:pStyle w:val="ListBullet"/>
              <w:rPr>
                <w:lang w:val="en-NZ"/>
              </w:rPr>
            </w:pPr>
            <w:r w:rsidRPr="005249CE">
              <w:t>movements of equipment, goods and vehicles</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Equipment may include:</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off-track plant (front end loaders, ba</w:t>
            </w:r>
            <w:r w:rsidRPr="005249CE">
              <w:t>ck hoes etc.)</w:t>
            </w:r>
          </w:p>
          <w:p w:rsidR="00000000" w:rsidRPr="005249CE" w:rsidP="005249CE">
            <w:pPr>
              <w:pStyle w:val="ListBullet"/>
            </w:pPr>
            <w:r w:rsidRPr="005249CE">
              <w:t>ballast hoppers</w:t>
            </w:r>
          </w:p>
          <w:p w:rsidR="00000000" w:rsidRPr="005249CE" w:rsidP="005249CE">
            <w:pPr>
              <w:pStyle w:val="ListBullet"/>
            </w:pPr>
            <w:r w:rsidRPr="005249CE">
              <w:t>hand tools and small plant</w:t>
            </w:r>
          </w:p>
          <w:p w:rsidR="00000000" w:rsidRPr="005249CE" w:rsidP="005249CE">
            <w:pPr>
              <w:pStyle w:val="ListBullet"/>
            </w:pPr>
            <w:r w:rsidRPr="005249CE">
              <w:t>ballast sled</w:t>
            </w:r>
          </w:p>
          <w:p w:rsidR="00000000" w:rsidRPr="005249CE" w:rsidP="005249CE">
            <w:pPr>
              <w:pStyle w:val="ListBullet"/>
            </w:pPr>
            <w:r w:rsidRPr="005249CE">
              <w:t>ballast undercutters</w:t>
            </w:r>
          </w:p>
          <w:p w:rsidR="00000000" w:rsidRPr="005249CE" w:rsidP="005249CE">
            <w:pPr>
              <w:pStyle w:val="ListBullet"/>
            </w:pPr>
            <w:r w:rsidRPr="005249CE">
              <w:t>ballast cleaners</w:t>
            </w:r>
          </w:p>
          <w:p w:rsidR="00000000" w:rsidRPr="005249CE" w:rsidP="005249CE">
            <w:pPr>
              <w:pStyle w:val="ListBullet"/>
            </w:pPr>
            <w:r w:rsidRPr="005249CE">
              <w:t>ballast forks</w:t>
            </w:r>
          </w:p>
          <w:p w:rsidR="00000000" w:rsidRPr="005249CE" w:rsidP="005249CE">
            <w:pPr>
              <w:pStyle w:val="ListBullet"/>
            </w:pPr>
            <w:r w:rsidRPr="005249CE">
              <w:t>ballast regulators</w:t>
            </w:r>
          </w:p>
          <w:p w:rsidR="00000000" w:rsidP="005249CE">
            <w:pPr>
              <w:pStyle w:val="ListBullet"/>
              <w:rPr>
                <w:lang w:val="en-NZ"/>
              </w:rPr>
            </w:pPr>
            <w:r w:rsidRPr="005249CE">
              <w:t>other mechanical means</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Materials may include:</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gravel ballast</w:t>
            </w:r>
          </w:p>
          <w:p w:rsidR="00000000" w:rsidRPr="005249CE" w:rsidP="005249CE">
            <w:pPr>
              <w:pStyle w:val="ListBullet"/>
            </w:pPr>
            <w:r w:rsidRPr="005249CE">
              <w:t>crushed rock ballast</w:t>
            </w:r>
          </w:p>
          <w:p w:rsidR="00000000" w:rsidP="005249CE">
            <w:pPr>
              <w:pStyle w:val="ListBullet"/>
              <w:rPr>
                <w:lang w:val="en-NZ"/>
              </w:rPr>
            </w:pPr>
            <w:r w:rsidRPr="005249CE">
              <w:t>metal fines/road base</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Ballast profile may differ for:</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different rail mass</w:t>
            </w:r>
          </w:p>
          <w:p w:rsidR="00000000" w:rsidRPr="005249CE" w:rsidP="005249CE">
            <w:pPr>
              <w:pStyle w:val="ListBullet"/>
            </w:pPr>
            <w:r w:rsidRPr="005249CE">
              <w:t>rail types (non-welded, welded and curve)</w:t>
            </w:r>
          </w:p>
          <w:p w:rsidR="00000000" w:rsidRPr="005249CE" w:rsidP="005249CE">
            <w:pPr>
              <w:pStyle w:val="ListBullet"/>
            </w:pPr>
            <w:r w:rsidRPr="005249CE">
              <w:t>traffic task</w:t>
            </w:r>
          </w:p>
          <w:p w:rsidR="00000000" w:rsidP="005249CE">
            <w:pPr>
              <w:pStyle w:val="ListBullet"/>
              <w:rPr>
                <w:lang w:val="en-NZ"/>
              </w:rPr>
            </w:pPr>
            <w:r w:rsidRPr="005249CE">
              <w:t>sleeper type</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Methods may include:</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unloading ballast hoppers</w:t>
            </w:r>
          </w:p>
          <w:p w:rsidR="00000000" w:rsidRPr="005249CE" w:rsidP="005249CE">
            <w:pPr>
              <w:pStyle w:val="ListBullet"/>
            </w:pPr>
            <w:r w:rsidRPr="005249CE">
              <w:t>spreading ballast dumped by truck or front end loader or similar equipment</w:t>
            </w:r>
          </w:p>
          <w:p w:rsidR="00000000" w:rsidRPr="005249CE" w:rsidP="005249CE">
            <w:pPr>
              <w:pStyle w:val="ListBullet"/>
            </w:pPr>
            <w:r w:rsidRPr="005249CE">
              <w:t>profiling using shovels, ballast forks or using a ballast regulator</w:t>
            </w:r>
          </w:p>
          <w:p w:rsidR="00000000" w:rsidRPr="005249CE" w:rsidP="005249CE">
            <w:pPr>
              <w:pStyle w:val="ListBullet"/>
            </w:pPr>
            <w:r w:rsidRPr="005249CE">
              <w:t>removing ballast using manual methods</w:t>
            </w:r>
          </w:p>
          <w:p w:rsidR="00000000" w:rsidRPr="005249CE" w:rsidP="005249CE">
            <w:pPr>
              <w:pStyle w:val="ListBullet"/>
            </w:pPr>
            <w:r w:rsidRPr="005249CE">
              <w:t>removing ballast using:</w:t>
            </w:r>
          </w:p>
          <w:p w:rsidR="00000000" w:rsidRPr="005249CE" w:rsidP="005249CE">
            <w:pPr>
              <w:pStyle w:val="ListBullet2"/>
            </w:pPr>
            <w:r w:rsidRPr="005249CE">
              <w:t>off-track plant</w:t>
            </w:r>
          </w:p>
          <w:p w:rsidR="00000000" w:rsidRPr="005249CE" w:rsidP="005249CE">
            <w:pPr>
              <w:pStyle w:val="ListBullet2"/>
            </w:pPr>
            <w:r w:rsidRPr="005249CE">
              <w:t>ballast cleaners</w:t>
            </w:r>
          </w:p>
          <w:p w:rsidR="00000000" w:rsidRPr="005249CE" w:rsidP="005249CE">
            <w:pPr>
              <w:pStyle w:val="ListBullet2"/>
            </w:pPr>
            <w:r w:rsidRPr="005249CE">
              <w:t>undercutters</w:t>
            </w:r>
          </w:p>
          <w:p w:rsidR="00000000" w:rsidP="005249CE">
            <w:pPr>
              <w:pStyle w:val="ListBullet2"/>
              <w:rPr>
                <w:lang w:val="en-NZ"/>
              </w:rPr>
            </w:pPr>
            <w:r w:rsidRPr="005249CE">
              <w:t>ballast sled</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Liaison may include:</w:t>
            </w:r>
          </w:p>
        </w:tc>
        <w:tc>
          <w:tcPr>
            <w:tcW w:w="6154" w:type="dxa"/>
            <w:tcBorders>
              <w:top w:val="nil"/>
              <w:left w:val="nil"/>
              <w:bottom w:val="nil"/>
              <w:right w:val="nil"/>
            </w:tcBorders>
            <w:tcMar>
              <w:top w:w="0" w:type="dxa"/>
              <w:left w:w="62" w:type="dxa"/>
              <w:bottom w:w="0" w:type="dxa"/>
              <w:right w:w="62" w:type="dxa"/>
            </w:tcMar>
          </w:tcPr>
          <w:p w:rsidR="00000000" w:rsidP="005249CE">
            <w:pPr>
              <w:pStyle w:val="ListBullet"/>
              <w:rPr>
                <w:lang w:val="en-NZ"/>
              </w:rPr>
            </w:pPr>
            <w:r w:rsidRPr="005249CE">
              <w:t>internal or external personnel from other work areas (e.g. train controllers)</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Communications systems may include:</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two-way radios</w:t>
            </w:r>
          </w:p>
          <w:p w:rsidR="00000000" w:rsidRPr="005249CE" w:rsidP="005249CE">
            <w:pPr>
              <w:pStyle w:val="ListBullet"/>
            </w:pPr>
            <w:r w:rsidRPr="005249CE">
              <w:t>telephones/mobile phones</w:t>
            </w:r>
          </w:p>
          <w:p w:rsidR="00000000" w:rsidP="005249CE">
            <w:pPr>
              <w:pStyle w:val="ListBullet"/>
              <w:rPr>
                <w:lang w:val="en-NZ"/>
              </w:rPr>
            </w:pPr>
            <w:r w:rsidRPr="005249CE">
              <w:t>agreed audible or hand signals</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Depending on work context, safety and personal protective equipment may include:</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high visibility clothing</w:t>
            </w:r>
          </w:p>
          <w:p w:rsidR="00000000" w:rsidRPr="005249CE" w:rsidP="005249CE">
            <w:pPr>
              <w:pStyle w:val="ListBullet"/>
            </w:pPr>
            <w:r w:rsidRPr="005249CE">
              <w:t>hearing protection</w:t>
            </w:r>
          </w:p>
          <w:p w:rsidR="00000000" w:rsidRPr="005249CE" w:rsidP="005249CE">
            <w:pPr>
              <w:pStyle w:val="ListBullet"/>
            </w:pPr>
            <w:r w:rsidRPr="005249CE">
              <w:t>gloves</w:t>
            </w:r>
          </w:p>
          <w:p w:rsidR="00000000" w:rsidRPr="005249CE" w:rsidP="005249CE">
            <w:pPr>
              <w:pStyle w:val="ListBullet"/>
            </w:pPr>
            <w:r w:rsidRPr="005249CE">
              <w:t>sunscreen</w:t>
            </w:r>
          </w:p>
          <w:p w:rsidR="00000000" w:rsidRPr="005249CE" w:rsidP="005249CE">
            <w:pPr>
              <w:pStyle w:val="ListBullet"/>
            </w:pPr>
            <w:r w:rsidRPr="005249CE">
              <w:t>sunglasses</w:t>
            </w:r>
          </w:p>
          <w:p w:rsidR="00000000" w:rsidRPr="005249CE" w:rsidP="005249CE">
            <w:pPr>
              <w:pStyle w:val="ListBullet"/>
            </w:pPr>
            <w:r w:rsidRPr="005249CE">
              <w:t>safety glasses</w:t>
            </w:r>
          </w:p>
          <w:p w:rsidR="00000000" w:rsidRPr="005249CE" w:rsidP="005249CE">
            <w:pPr>
              <w:pStyle w:val="ListBullet"/>
            </w:pPr>
            <w:r w:rsidRPr="005249CE">
              <w:t>dust mask</w:t>
            </w:r>
          </w:p>
          <w:p w:rsidR="00000000" w:rsidRPr="005249CE" w:rsidP="005249CE">
            <w:pPr>
              <w:pStyle w:val="ListBullet"/>
            </w:pPr>
            <w:r w:rsidRPr="005249CE">
              <w:t>insect repellent</w:t>
            </w:r>
          </w:p>
          <w:p w:rsidR="00000000" w:rsidRPr="005249CE" w:rsidP="005249CE">
            <w:pPr>
              <w:pStyle w:val="ListBullet"/>
            </w:pPr>
            <w:r w:rsidRPr="005249CE">
              <w:t>safety headwear</w:t>
            </w:r>
          </w:p>
          <w:p w:rsidR="00000000" w:rsidRPr="005249CE" w:rsidP="005249CE">
            <w:pPr>
              <w:pStyle w:val="ListBullet"/>
            </w:pPr>
            <w:r w:rsidRPr="005249CE">
              <w:t>safety footwear</w:t>
            </w:r>
          </w:p>
          <w:p w:rsidR="00000000" w:rsidRPr="005249CE" w:rsidP="005249CE">
            <w:pPr>
              <w:pStyle w:val="ListBullet"/>
            </w:pPr>
            <w:r w:rsidRPr="005249CE">
              <w:t>portable radios/mobile phone</w:t>
            </w:r>
          </w:p>
          <w:p w:rsidR="00000000" w:rsidRPr="005249CE" w:rsidP="005249CE">
            <w:pPr>
              <w:pStyle w:val="ListBullet"/>
            </w:pPr>
            <w:r w:rsidRPr="005249CE">
              <w:t>hand lamps</w:t>
            </w:r>
          </w:p>
          <w:p w:rsidR="00000000" w:rsidRPr="005249CE" w:rsidP="005249CE">
            <w:pPr>
              <w:pStyle w:val="ListBullet"/>
            </w:pPr>
            <w:r w:rsidRPr="005249CE">
              <w:t>flags</w:t>
            </w:r>
          </w:p>
          <w:p w:rsidR="00000000" w:rsidP="005249CE">
            <w:pPr>
              <w:pStyle w:val="ListBullet"/>
              <w:rPr>
                <w:lang w:val="en-NZ"/>
              </w:rPr>
            </w:pPr>
            <w:r w:rsidRPr="005249CE">
              <w:t>safety devices</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Depending on the type of organisation concerned and the local terminology used, workplace procedures may include:</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company procedures</w:t>
            </w:r>
          </w:p>
          <w:p w:rsidR="00000000" w:rsidRPr="005249CE" w:rsidP="005249CE">
            <w:pPr>
              <w:pStyle w:val="ListBullet"/>
            </w:pPr>
            <w:r w:rsidRPr="005249CE">
              <w:t>enterprise procedures</w:t>
            </w:r>
          </w:p>
          <w:p w:rsidR="00000000" w:rsidRPr="005249CE" w:rsidP="005249CE">
            <w:pPr>
              <w:pStyle w:val="ListBullet"/>
            </w:pPr>
            <w:r w:rsidRPr="005249CE">
              <w:t>organisational procedures</w:t>
            </w:r>
          </w:p>
          <w:p w:rsidR="00000000" w:rsidP="005249CE">
            <w:pPr>
              <w:pStyle w:val="ListBullet"/>
              <w:rPr>
                <w:lang w:val="en-NZ"/>
              </w:rPr>
            </w:pPr>
            <w:r w:rsidRPr="005249CE">
              <w:t>established procedures</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Information/docu</w:t>
            </w:r>
            <w:r w:rsidRPr="005249CE">
              <w:t>ments may include:</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operational instructions, policies and workplace procedures</w:t>
            </w:r>
          </w:p>
          <w:p w:rsidR="00000000" w:rsidRPr="005249CE" w:rsidP="005249CE">
            <w:pPr>
              <w:pStyle w:val="ListBullet"/>
            </w:pPr>
            <w:r w:rsidRPr="005249CE">
              <w:t>local authority regulations and procedures</w:t>
            </w:r>
          </w:p>
          <w:p w:rsidR="00000000" w:rsidRPr="005249CE" w:rsidP="005249CE">
            <w:pPr>
              <w:pStyle w:val="ListBullet"/>
            </w:pPr>
            <w:r w:rsidRPr="005249CE">
              <w:t>work orders</w:t>
            </w:r>
          </w:p>
          <w:p w:rsidR="00000000" w:rsidRPr="005249CE" w:rsidP="005249CE">
            <w:pPr>
              <w:pStyle w:val="ListBullet"/>
            </w:pPr>
            <w:r w:rsidRPr="005249CE">
              <w:t>technical instructions</w:t>
            </w:r>
          </w:p>
          <w:p w:rsidR="00000000" w:rsidRPr="005249CE" w:rsidP="005249CE">
            <w:pPr>
              <w:pStyle w:val="ListBullet"/>
            </w:pPr>
            <w:r w:rsidRPr="005249CE">
              <w:t>manufacturers or workplace equipment instructions and operation manuals</w:t>
            </w:r>
          </w:p>
          <w:p w:rsidR="00000000" w:rsidRPr="005249CE" w:rsidP="005249CE">
            <w:pPr>
              <w:pStyle w:val="ListBullet"/>
            </w:pPr>
            <w:r w:rsidRPr="005249CE">
              <w:t>emergency procedure manuals</w:t>
            </w:r>
          </w:p>
          <w:p w:rsidR="00000000" w:rsidRPr="005249CE" w:rsidP="005249CE">
            <w:pPr>
              <w:pStyle w:val="ListBullet"/>
            </w:pPr>
            <w:r w:rsidRPr="005249CE">
              <w:t>two-way radio/mobile phone operation procedures</w:t>
            </w:r>
          </w:p>
          <w:p w:rsidR="00000000" w:rsidRPr="005249CE" w:rsidP="005249CE">
            <w:pPr>
              <w:pStyle w:val="ListBullet"/>
            </w:pPr>
            <w:r w:rsidRPr="005249CE">
              <w:t>QA plans, data and document control</w:t>
            </w:r>
          </w:p>
          <w:p w:rsidR="00000000" w:rsidP="005249CE">
            <w:pPr>
              <w:pStyle w:val="ListBullet"/>
              <w:rPr>
                <w:lang w:val="en-NZ"/>
              </w:rPr>
            </w:pPr>
            <w:r w:rsidRPr="005249CE">
              <w:t>conditions of service, legislation and industrial agreements including workplace agreements and awards</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Information may be provided:</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electronic</w:t>
            </w:r>
            <w:r w:rsidRPr="005249CE">
              <w:t>ally</w:t>
            </w:r>
          </w:p>
          <w:p w:rsidR="00000000" w:rsidRPr="005249CE" w:rsidP="005249CE">
            <w:pPr>
              <w:pStyle w:val="ListBullet"/>
            </w:pPr>
            <w:r w:rsidRPr="005249CE">
              <w:t>in writing, via forms/documents/plans</w:t>
            </w:r>
          </w:p>
          <w:p w:rsidR="00000000" w:rsidRPr="005249CE" w:rsidP="005249CE">
            <w:pPr>
              <w:pStyle w:val="ListBullet"/>
            </w:pPr>
            <w:r w:rsidRPr="005249CE">
              <w:t>orally, via face-to-face communications</w:t>
            </w:r>
          </w:p>
          <w:p w:rsidR="00000000" w:rsidP="005249CE">
            <w:pPr>
              <w:pStyle w:val="ListBullet"/>
              <w:rPr>
                <w:lang w:val="en-NZ"/>
              </w:rPr>
            </w:pPr>
            <w:r w:rsidRPr="005249CE">
              <w:t>via trackside signals</w:t>
            </w:r>
          </w:p>
        </w:tc>
      </w:tr>
      <w:tr w:rsidTr="000D23A4">
        <w:tblPrEx>
          <w:tblW w:w="9640" w:type="dxa"/>
          <w:tblLayout w:type="fixed"/>
          <w:tblCellMar>
            <w:left w:w="62" w:type="dxa"/>
            <w:right w:w="62" w:type="dxa"/>
          </w:tblCellMar>
          <w:tblLook w:val="0000"/>
        </w:tblPrEx>
        <w:tc>
          <w:tcPr>
            <w:tcW w:w="3486"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t>Applicable procedures and codes may include:</w:t>
            </w:r>
          </w:p>
        </w:tc>
        <w:tc>
          <w:tcPr>
            <w:tcW w:w="6154" w:type="dxa"/>
            <w:tcBorders>
              <w:top w:val="nil"/>
              <w:left w:val="nil"/>
              <w:bottom w:val="nil"/>
              <w:right w:val="nil"/>
            </w:tcBorders>
            <w:tcMar>
              <w:top w:w="0" w:type="dxa"/>
              <w:left w:w="62" w:type="dxa"/>
              <w:bottom w:w="0" w:type="dxa"/>
              <w:right w:w="62" w:type="dxa"/>
            </w:tcMar>
          </w:tcPr>
          <w:p w:rsidR="00000000" w:rsidRPr="005249CE" w:rsidP="005249CE">
            <w:pPr>
              <w:pStyle w:val="ListBullet"/>
            </w:pPr>
            <w:r w:rsidRPr="005249CE">
              <w:t xml:space="preserve">legislated rail safety requirements including acts and regulations from each applicable </w:t>
            </w:r>
            <w:r w:rsidRPr="005249CE">
              <w:t>state and territory together with any nationally approved compliance codes and/or guidelines</w:t>
            </w:r>
          </w:p>
          <w:p w:rsidR="00000000" w:rsidRPr="005249CE" w:rsidP="005249CE">
            <w:pPr>
              <w:pStyle w:val="ListBullet"/>
            </w:pPr>
            <w:r w:rsidRPr="005249CE">
              <w:t>relevant Australian Standards and related requirements, including AS 4292</w:t>
            </w:r>
          </w:p>
          <w:p w:rsidR="00000000" w:rsidRPr="005249CE" w:rsidP="005249CE">
            <w:pPr>
              <w:pStyle w:val="ListBullet"/>
            </w:pPr>
            <w:r w:rsidRPr="005249CE">
              <w:t>relevant state/territory OH&amp;S legislation</w:t>
            </w:r>
          </w:p>
          <w:p w:rsidR="00000000" w:rsidRPr="005249CE" w:rsidP="005249CE">
            <w:pPr>
              <w:pStyle w:val="ListBullet"/>
            </w:pPr>
            <w:r w:rsidRPr="005249CE">
              <w:t>relevant state/territory environmental protecti</w:t>
            </w:r>
            <w:r w:rsidRPr="005249CE">
              <w:t>on legislation</w:t>
            </w:r>
          </w:p>
        </w:tc>
      </w:tr>
    </w:tbl>
    <w:p w:rsidR="000D23A4" w:rsidP="005249CE">
      <w:pPr>
        <w:pStyle w:val="BodyText"/>
      </w:pPr>
    </w:p>
    <w:p w:rsidR="000D23A4" w:rsidP="005249CE">
      <w:pPr>
        <w:pStyle w:val="BodyText"/>
      </w:pPr>
    </w:p>
    <w:p w:rsidR="00000000" w:rsidRPr="005249CE" w:rsidP="005249CE">
      <w:pPr>
        <w:pStyle w:val="Heading1"/>
      </w:pPr>
      <w:bookmarkStart w:id="12" w:name="O_296022"/>
      <w:bookmarkEnd w:id="12"/>
      <w:r w:rsidRPr="005249CE">
        <w:t>Unit Sector(s)</w:t>
      </w:r>
    </w:p>
    <w:p w:rsidR="00000000" w:rsidRPr="005249CE" w:rsidP="005249CE">
      <w:pPr>
        <w:pStyle w:val="BodyText"/>
      </w:pPr>
      <w:r w:rsidRPr="005249CE">
        <w:t>Not Applicable</w:t>
      </w:r>
    </w:p>
    <w:p w:rsidR="00000000" w:rsidRPr="005249CE" w:rsidP="005249CE">
      <w:pPr>
        <w:pStyle w:val="AllowPageBreak"/>
      </w:pPr>
    </w:p>
    <w:p w:rsidR="00000000" w:rsidRPr="005249CE" w:rsidP="005249CE">
      <w:pPr>
        <w:pStyle w:val="Heading1"/>
      </w:pPr>
      <w:bookmarkStart w:id="13" w:name="O_224377"/>
      <w:bookmarkEnd w:id="13"/>
      <w:r w:rsidRPr="005249CE">
        <w:t>Competency Field</w:t>
      </w:r>
    </w:p>
    <w:tbl>
      <w:tblPr>
        <w:tblW w:w="9640" w:type="dxa"/>
        <w:tblLayout w:type="fixed"/>
        <w:tblCellMar>
          <w:left w:w="62" w:type="dxa"/>
          <w:right w:w="62" w:type="dxa"/>
        </w:tblCellMar>
        <w:tblLook w:val="0000"/>
      </w:tblPr>
      <w:tblGrid>
        <w:gridCol w:w="2978"/>
        <w:gridCol w:w="6662"/>
      </w:tblGrid>
      <w:tr w:rsidTr="000D23A4">
        <w:tblPrEx>
          <w:tblW w:w="9640" w:type="dxa"/>
          <w:tblLayout w:type="fixed"/>
          <w:tblCellMar>
            <w:left w:w="62" w:type="dxa"/>
            <w:right w:w="62" w:type="dxa"/>
          </w:tblCellMar>
          <w:tblLook w:val="0000"/>
        </w:tblPrEx>
        <w:trPr>
          <w:tblHeader/>
        </w:trPr>
        <w:tc>
          <w:tcPr>
            <w:tcW w:w="2978" w:type="dxa"/>
            <w:tcBorders>
              <w:top w:val="nil"/>
              <w:left w:val="nil"/>
              <w:bottom w:val="nil"/>
              <w:right w:val="nil"/>
            </w:tcBorders>
            <w:tcMar>
              <w:top w:w="0" w:type="dxa"/>
              <w:left w:w="62" w:type="dxa"/>
              <w:bottom w:w="0" w:type="dxa"/>
              <w:right w:w="62" w:type="dxa"/>
            </w:tcMar>
          </w:tcPr>
          <w:p w:rsidR="00000000" w:rsidP="005249CE">
            <w:pPr>
              <w:pStyle w:val="BodyText"/>
              <w:rPr>
                <w:lang w:val="en-NZ"/>
              </w:rPr>
            </w:pPr>
            <w:r w:rsidRPr="005249CE">
              <w:rPr>
                <w:rStyle w:val="SpecialBold"/>
              </w:rPr>
              <w:t>Competency Field</w:t>
            </w:r>
            <w:r w:rsidRPr="005249CE">
              <w:t xml:space="preserve"> </w:t>
            </w:r>
          </w:p>
        </w:tc>
        <w:tc>
          <w:tcPr>
            <w:tcW w:w="6662" w:type="dxa"/>
            <w:tcBorders>
              <w:top w:val="nil"/>
              <w:left w:val="nil"/>
              <w:bottom w:val="nil"/>
              <w:right w:val="nil"/>
            </w:tcBorders>
            <w:tcMar>
              <w:top w:w="0" w:type="dxa"/>
              <w:left w:w="62" w:type="dxa"/>
              <w:bottom w:w="0" w:type="dxa"/>
              <w:right w:w="62" w:type="dxa"/>
            </w:tcMar>
          </w:tcPr>
          <w:p w:rsidR="00000000" w:rsidRPr="005249CE" w:rsidP="005249CE">
            <w:pPr>
              <w:pStyle w:val="BodyText"/>
            </w:pPr>
            <w:r w:rsidRPr="005249CE">
              <w:t>S - Construction and Installation</w:t>
            </w:r>
          </w:p>
        </w:tc>
      </w:tr>
    </w:tbl>
    <w:p w:rsidR="000D23A4" w:rsidP="005249CE">
      <w:pPr>
        <w:pStyle w:val="BodyText"/>
      </w:pPr>
    </w:p>
    <w:p w:rsidR="000D23A4" w:rsidP="005249CE">
      <w:pPr>
        <w:pStyle w:val="BodyText"/>
      </w:pPr>
    </w:p>
    <w:p w:rsidR="00000000" w:rsidRPr="005249CE" w:rsidP="005249CE"/>
    <w:sectPr w:rsidSect="005249C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23A4" w:rsidP="000D23A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A4" w:rsidP="005249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0D23A4" w:rsidP="005249C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0D23A4" w:rsidP="005249C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0D23A4" w:rsidP="000D23A4">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249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D23A4" w:rsidP="005249CE">
    <w:pPr>
      <w:pStyle w:val="Header"/>
      <w:framePr w:wrap="around"/>
    </w:pPr>
    <w:r>
      <w:fldChar w:fldCharType="begin"/>
    </w:r>
    <w:r>
      <w:instrText xml:space="preserve"> TITLE   \* MERGEFORMAT </w:instrText>
    </w:r>
    <w:r>
      <w:fldChar w:fldCharType="separate"/>
    </w:r>
    <w:r>
      <w:t>TLIS2030A Carry out track ballasting</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0D23A4" w:rsidP="005249C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C6309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7962B1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C1D4744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249C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5249CE"/>
    <w:pPr>
      <w:spacing w:before="360" w:after="60"/>
      <w:outlineLvl w:val="0"/>
    </w:pPr>
    <w:rPr>
      <w:sz w:val="32"/>
    </w:rPr>
  </w:style>
  <w:style w:type="paragraph" w:styleId="Heading2">
    <w:name w:val="heading 2"/>
    <w:basedOn w:val="HeadingBase"/>
    <w:next w:val="BodyText"/>
    <w:link w:val="Heading2Char"/>
    <w:qFormat/>
    <w:rsid w:val="005249CE"/>
    <w:pPr>
      <w:keepLines/>
      <w:spacing w:before="240" w:after="120"/>
      <w:outlineLvl w:val="1"/>
    </w:pPr>
    <w:rPr>
      <w:sz w:val="28"/>
      <w:szCs w:val="40"/>
    </w:rPr>
  </w:style>
  <w:style w:type="paragraph" w:styleId="Heading3">
    <w:name w:val="heading 3"/>
    <w:basedOn w:val="HeadingBase"/>
    <w:next w:val="BodyText"/>
    <w:link w:val="Heading3Char"/>
    <w:qFormat/>
    <w:rsid w:val="005249CE"/>
    <w:pPr>
      <w:spacing w:before="180" w:after="120"/>
      <w:outlineLvl w:val="2"/>
    </w:pPr>
    <w:rPr>
      <w:spacing w:val="-10"/>
      <w:kern w:val="32"/>
    </w:rPr>
  </w:style>
  <w:style w:type="paragraph" w:styleId="Heading4">
    <w:name w:val="heading 4"/>
    <w:basedOn w:val="HeadingBase"/>
    <w:next w:val="BodyText"/>
    <w:link w:val="Heading4Char"/>
    <w:qFormat/>
    <w:rsid w:val="005249CE"/>
    <w:pPr>
      <w:spacing w:before="160" w:after="120"/>
      <w:outlineLvl w:val="3"/>
    </w:pPr>
    <w:rPr>
      <w:sz w:val="22"/>
    </w:rPr>
  </w:style>
  <w:style w:type="paragraph" w:styleId="Heading5">
    <w:name w:val="heading 5"/>
    <w:basedOn w:val="HeadingBase"/>
    <w:next w:val="Normal"/>
    <w:link w:val="Heading5Char"/>
    <w:qFormat/>
    <w:rsid w:val="005249CE"/>
    <w:pPr>
      <w:spacing w:before="80"/>
      <w:outlineLvl w:val="4"/>
    </w:pPr>
    <w:rPr>
      <w:color w:val="918585"/>
      <w:sz w:val="20"/>
    </w:rPr>
  </w:style>
  <w:style w:type="paragraph" w:styleId="Heading6">
    <w:name w:val="heading 6"/>
    <w:basedOn w:val="HeadingBase"/>
    <w:next w:val="Normal"/>
    <w:link w:val="Heading6Char"/>
    <w:qFormat/>
    <w:rsid w:val="005249CE"/>
    <w:pPr>
      <w:spacing w:before="60"/>
      <w:outlineLvl w:val="5"/>
    </w:pPr>
    <w:rPr>
      <w:color w:val="918585"/>
      <w:sz w:val="20"/>
    </w:rPr>
  </w:style>
  <w:style w:type="paragraph" w:styleId="Heading7">
    <w:name w:val="heading 7"/>
    <w:basedOn w:val="Normal"/>
    <w:next w:val="Normal"/>
    <w:link w:val="Heading7Char"/>
    <w:qFormat/>
    <w:rsid w:val="005249CE"/>
    <w:pPr>
      <w:ind w:left="720"/>
      <w:outlineLvl w:val="6"/>
    </w:pPr>
    <w:rPr>
      <w:i/>
    </w:rPr>
  </w:style>
  <w:style w:type="paragraph" w:styleId="Heading8">
    <w:name w:val="heading 8"/>
    <w:basedOn w:val="Normal"/>
    <w:next w:val="Normal"/>
    <w:link w:val="Heading8Char"/>
    <w:qFormat/>
    <w:rsid w:val="005249CE"/>
    <w:pPr>
      <w:ind w:left="720"/>
      <w:outlineLvl w:val="7"/>
    </w:pPr>
    <w:rPr>
      <w:i/>
    </w:rPr>
  </w:style>
  <w:style w:type="paragraph" w:styleId="Heading9">
    <w:name w:val="heading 9"/>
    <w:basedOn w:val="Normal"/>
    <w:next w:val="Normal"/>
    <w:link w:val="Heading9Char"/>
    <w:qFormat/>
    <w:rsid w:val="005249CE"/>
    <w:pPr>
      <w:ind w:left="720"/>
      <w:outlineLvl w:val="8"/>
    </w:pPr>
    <w:rPr>
      <w:i/>
    </w:rPr>
  </w:style>
  <w:style w:type="character" w:default="1" w:styleId="DefaultParagraphFont">
    <w:name w:val="Default Paragraph Font"/>
    <w:uiPriority w:val="1"/>
    <w:unhideWhenUsed/>
    <w:rsid w:val="005249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249CE"/>
  </w:style>
  <w:style w:type="character" w:customStyle="1" w:styleId="Heading1Char">
    <w:name w:val="Heading 1 Char"/>
    <w:basedOn w:val="DefaultParagraphFont"/>
    <w:link w:val="Heading1"/>
    <w:rsid w:val="005249CE"/>
    <w:rPr>
      <w:rFonts w:ascii="Times New Roman" w:eastAsia="Times New Roman" w:hAnsi="Times New Roman" w:cs="Times New Roman"/>
      <w:b/>
      <w:sz w:val="32"/>
      <w:szCs w:val="20"/>
      <w:lang w:eastAsia="en-US"/>
    </w:rPr>
  </w:style>
  <w:style w:type="paragraph" w:styleId="BodyText">
    <w:name w:val="Body Text"/>
    <w:basedOn w:val="Normal"/>
    <w:link w:val="BodyTextChar"/>
    <w:rsid w:val="005249C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5249CE"/>
    <w:rPr>
      <w:rFonts w:ascii="Times New Roman" w:eastAsia="Times New Roman" w:hAnsi="Times New Roman" w:cs="Times New Roman"/>
      <w:sz w:val="24"/>
      <w:lang w:val="en-US" w:eastAsia="en-US"/>
    </w:rPr>
  </w:style>
  <w:style w:type="paragraph" w:styleId="Footer">
    <w:name w:val="footer"/>
    <w:basedOn w:val="Normal"/>
    <w:link w:val="FooterChar"/>
    <w:rsid w:val="005249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249CE"/>
    <w:rPr>
      <w:rFonts w:ascii="Times New Roman" w:eastAsia="Times New Roman" w:hAnsi="Times New Roman" w:cs="Times New Roman"/>
      <w:sz w:val="16"/>
      <w:lang w:val="en-US" w:eastAsia="en-US"/>
    </w:rPr>
  </w:style>
  <w:style w:type="paragraph" w:styleId="List">
    <w:name w:val="List"/>
    <w:basedOn w:val="BodyText"/>
    <w:next w:val="BodyText"/>
    <w:rsid w:val="005249CE"/>
    <w:pPr>
      <w:tabs>
        <w:tab w:val="left" w:pos="340"/>
      </w:tabs>
      <w:spacing w:before="60" w:after="60"/>
      <w:ind w:left="340" w:hanging="340"/>
    </w:pPr>
  </w:style>
  <w:style w:type="paragraph" w:styleId="ListBullet">
    <w:name w:val="List Bullet"/>
    <w:basedOn w:val="List"/>
    <w:rsid w:val="005249CE"/>
    <w:pPr>
      <w:numPr>
        <w:numId w:val="13"/>
      </w:numPr>
      <w:tabs>
        <w:tab w:val="clear" w:pos="340"/>
      </w:tabs>
      <w:spacing w:before="40" w:after="40"/>
    </w:pPr>
  </w:style>
  <w:style w:type="character" w:customStyle="1" w:styleId="SpecialBold">
    <w:name w:val="Special Bold"/>
    <w:basedOn w:val="DefaultParagraphFont"/>
    <w:rsid w:val="005249CE"/>
    <w:rPr>
      <w:b/>
      <w:spacing w:val="0"/>
    </w:rPr>
  </w:style>
  <w:style w:type="paragraph" w:styleId="ListBullet2">
    <w:name w:val="List Bullet 2"/>
    <w:basedOn w:val="List2"/>
    <w:rsid w:val="005249CE"/>
    <w:pPr>
      <w:numPr>
        <w:numId w:val="14"/>
      </w:numPr>
      <w:tabs>
        <w:tab w:val="clear" w:pos="680"/>
      </w:tabs>
    </w:pPr>
  </w:style>
  <w:style w:type="paragraph" w:styleId="Header">
    <w:name w:val="header"/>
    <w:basedOn w:val="Normal"/>
    <w:link w:val="HeaderChar"/>
    <w:rsid w:val="005249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249C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5249CE"/>
    <w:pPr>
      <w:spacing w:before="240" w:after="120"/>
      <w:outlineLvl w:val="0"/>
    </w:pPr>
    <w:rPr>
      <w:rFonts w:ascii="Times New Roman" w:hAnsi="Times New Roman"/>
      <w:b/>
      <w:sz w:val="28"/>
    </w:rPr>
  </w:style>
  <w:style w:type="paragraph" w:customStyle="1" w:styleId="AllowPageBreak">
    <w:name w:val="AllowPageBreak"/>
    <w:rsid w:val="005249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249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249C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249C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249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249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249C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5249C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5249CE"/>
    <w:rPr>
      <w:rFonts w:ascii="Courier New" w:eastAsia="Times New Roman" w:hAnsi="Courier New" w:cs="Times New Roman"/>
      <w:i/>
      <w:szCs w:val="20"/>
      <w:lang w:val="en-US" w:eastAsia="en-US"/>
    </w:rPr>
  </w:style>
  <w:style w:type="paragraph" w:customStyle="1" w:styleId="HeadingBase">
    <w:name w:val="Heading Base"/>
    <w:rsid w:val="005249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249CE"/>
    <w:pPr>
      <w:tabs>
        <w:tab w:val="right" w:leader="dot" w:pos="9072"/>
      </w:tabs>
      <w:ind w:left="567"/>
    </w:pPr>
    <w:rPr>
      <w:szCs w:val="22"/>
    </w:rPr>
  </w:style>
  <w:style w:type="paragraph" w:customStyle="1" w:styleId="TOCBase">
    <w:name w:val="TOC Base"/>
    <w:rsid w:val="005249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249CE"/>
    <w:pPr>
      <w:tabs>
        <w:tab w:val="right" w:leader="dot" w:pos="9072"/>
      </w:tabs>
      <w:spacing w:before="40" w:after="40"/>
      <w:ind w:left="284"/>
    </w:pPr>
    <w:rPr>
      <w:rFonts w:ascii="Times New Roman" w:hAnsi="Times New Roman"/>
    </w:rPr>
  </w:style>
  <w:style w:type="paragraph" w:styleId="TOC1">
    <w:name w:val="toc 1"/>
    <w:basedOn w:val="TOCBase"/>
    <w:next w:val="Normal"/>
    <w:rsid w:val="005249C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5249CE"/>
    <w:pPr>
      <w:spacing w:before="5040"/>
      <w:jc w:val="center"/>
    </w:pPr>
    <w:rPr>
      <w:sz w:val="48"/>
      <w:szCs w:val="72"/>
      <w:lang w:val="en-US"/>
    </w:rPr>
  </w:style>
  <w:style w:type="character" w:customStyle="1" w:styleId="TitleChar">
    <w:name w:val="Title Char"/>
    <w:basedOn w:val="DefaultParagraphFont"/>
    <w:link w:val="Title"/>
    <w:rsid w:val="005249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249CE"/>
    <w:pPr>
      <w:tabs>
        <w:tab w:val="left" w:pos="3600"/>
        <w:tab w:val="left" w:pos="3958"/>
      </w:tabs>
    </w:pPr>
  </w:style>
  <w:style w:type="paragraph" w:customStyle="1" w:styleId="Note">
    <w:name w:val="Note"/>
    <w:basedOn w:val="BodyText"/>
    <w:rsid w:val="005249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249CE"/>
    <w:pPr>
      <w:framePr w:wrap="auto" w:hAnchor="text" w:y="6049"/>
    </w:pPr>
    <w:rPr>
      <w:color w:val="000000"/>
      <w:sz w:val="40"/>
    </w:rPr>
  </w:style>
  <w:style w:type="paragraph" w:customStyle="1" w:styleId="TOCTitle">
    <w:name w:val="TOCTitle"/>
    <w:basedOn w:val="Heading1"/>
    <w:rsid w:val="005249CE"/>
    <w:pPr>
      <w:spacing w:after="240"/>
      <w:jc w:val="center"/>
      <w:outlineLvl w:val="9"/>
    </w:pPr>
    <w:rPr>
      <w:caps/>
    </w:rPr>
  </w:style>
  <w:style w:type="paragraph" w:customStyle="1" w:styleId="Version">
    <w:name w:val="Version"/>
    <w:rsid w:val="005249C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249CE"/>
    <w:pPr>
      <w:keepNext w:val="0"/>
      <w:tabs>
        <w:tab w:val="right" w:pos="4176"/>
      </w:tabs>
      <w:ind w:left="198" w:hanging="198"/>
    </w:pPr>
    <w:rPr>
      <w:rFonts w:ascii="Garamond" w:hAnsi="Garamond"/>
    </w:rPr>
  </w:style>
  <w:style w:type="paragraph" w:styleId="IndexHeading">
    <w:name w:val="index heading"/>
    <w:basedOn w:val="Normal"/>
    <w:next w:val="Index1"/>
    <w:semiHidden/>
    <w:rsid w:val="005249CE"/>
    <w:pPr>
      <w:spacing w:before="120" w:after="120"/>
    </w:pPr>
    <w:rPr>
      <w:rFonts w:ascii="Arial" w:hAnsi="Arial"/>
      <w:b/>
      <w:color w:val="918585"/>
      <w:sz w:val="24"/>
    </w:rPr>
  </w:style>
  <w:style w:type="paragraph" w:customStyle="1" w:styleId="Chapter">
    <w:name w:val="Chapter"/>
    <w:basedOn w:val="Normal"/>
    <w:rsid w:val="005249CE"/>
    <w:pPr>
      <w:spacing w:before="240"/>
    </w:pPr>
    <w:rPr>
      <w:rFonts w:ascii="Times New Roman" w:hAnsi="Times New Roman"/>
      <w:smallCaps/>
      <w:spacing w:val="80"/>
      <w:sz w:val="28"/>
    </w:rPr>
  </w:style>
  <w:style w:type="paragraph" w:customStyle="1" w:styleId="InChapter">
    <w:name w:val="InChapter"/>
    <w:basedOn w:val="Heading3"/>
    <w:rsid w:val="005249CE"/>
    <w:pPr>
      <w:spacing w:after="240"/>
      <w:outlineLvl w:val="9"/>
    </w:pPr>
    <w:rPr>
      <w:noProof/>
    </w:rPr>
  </w:style>
  <w:style w:type="paragraph" w:styleId="Index2">
    <w:name w:val="index 2"/>
    <w:basedOn w:val="Normal"/>
    <w:next w:val="Normal"/>
    <w:semiHidden/>
    <w:rsid w:val="005249CE"/>
    <w:pPr>
      <w:tabs>
        <w:tab w:val="right" w:pos="4176"/>
      </w:tabs>
      <w:ind w:left="568" w:hanging="284"/>
    </w:pPr>
    <w:rPr>
      <w:rFonts w:ascii="Garamond" w:hAnsi="Garamond"/>
    </w:rPr>
  </w:style>
  <w:style w:type="paragraph" w:customStyle="1" w:styleId="Byline">
    <w:name w:val="Byline"/>
    <w:rsid w:val="005249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249CE"/>
    <w:pPr>
      <w:tabs>
        <w:tab w:val="clear" w:pos="3600"/>
        <w:tab w:val="clear" w:pos="3958"/>
      </w:tabs>
      <w:jc w:val="right"/>
    </w:pPr>
  </w:style>
  <w:style w:type="character" w:styleId="Emphasis">
    <w:name w:val="Emphasis"/>
    <w:basedOn w:val="DefaultParagraphFont"/>
    <w:qFormat/>
    <w:rsid w:val="005249CE"/>
    <w:rPr>
      <w:i/>
    </w:rPr>
  </w:style>
  <w:style w:type="paragraph" w:styleId="Caption">
    <w:name w:val="caption"/>
    <w:basedOn w:val="BodyText"/>
    <w:next w:val="Normal"/>
    <w:qFormat/>
    <w:rsid w:val="005249CE"/>
    <w:pPr>
      <w:framePr w:w="2268" w:hSpace="181" w:vSpace="181" w:wrap="around" w:vAnchor="text" w:hAnchor="page" w:x="1135" w:y="285" w:anchorLock="1"/>
    </w:pPr>
    <w:rPr>
      <w:i/>
    </w:rPr>
  </w:style>
  <w:style w:type="paragraph" w:customStyle="1" w:styleId="MiniTOCTitle">
    <w:name w:val="MiniTOCTitle"/>
    <w:basedOn w:val="Heading4"/>
    <w:rsid w:val="005249CE"/>
    <w:pPr>
      <w:spacing w:before="240"/>
      <w:outlineLvl w:val="9"/>
    </w:pPr>
    <w:rPr>
      <w:noProof/>
      <w:sz w:val="24"/>
    </w:rPr>
  </w:style>
  <w:style w:type="paragraph" w:customStyle="1" w:styleId="MiniTOCItem">
    <w:name w:val="MiniTOCItem"/>
    <w:basedOn w:val="ListBullet"/>
    <w:rsid w:val="005249CE"/>
    <w:pPr>
      <w:numPr>
        <w:numId w:val="0"/>
      </w:numPr>
      <w:tabs>
        <w:tab w:val="right" w:leader="dot" w:pos="6521"/>
      </w:tabs>
      <w:spacing w:before="0" w:after="0"/>
    </w:pPr>
  </w:style>
  <w:style w:type="paragraph" w:customStyle="1" w:styleId="TOFTitle">
    <w:name w:val="TOFTitle"/>
    <w:basedOn w:val="TOCTitle"/>
    <w:rsid w:val="005249CE"/>
  </w:style>
  <w:style w:type="paragraph" w:styleId="TableofFigures">
    <w:name w:val="table of figures"/>
    <w:basedOn w:val="Normal"/>
    <w:next w:val="Normal"/>
    <w:semiHidden/>
    <w:rsid w:val="005249CE"/>
    <w:pPr>
      <w:tabs>
        <w:tab w:val="right" w:leader="dot" w:pos="9072"/>
      </w:tabs>
      <w:ind w:left="970" w:hanging="403"/>
    </w:pPr>
    <w:rPr>
      <w:rFonts w:ascii="Times New Roman" w:hAnsi="Times New Roman"/>
      <w:b/>
    </w:rPr>
  </w:style>
  <w:style w:type="paragraph" w:styleId="ListNumber">
    <w:name w:val="List Number"/>
    <w:basedOn w:val="List"/>
    <w:rsid w:val="005249CE"/>
    <w:pPr>
      <w:numPr>
        <w:numId w:val="11"/>
      </w:numPr>
    </w:pPr>
  </w:style>
  <w:style w:type="character" w:customStyle="1" w:styleId="WingdingSymbols">
    <w:name w:val="Wingding Symbols"/>
    <w:rsid w:val="005249CE"/>
    <w:rPr>
      <w:rFonts w:ascii="Wingdings" w:hAnsi="Wingdings"/>
    </w:rPr>
  </w:style>
  <w:style w:type="paragraph" w:customStyle="1" w:styleId="TableHeading">
    <w:name w:val="Table Heading"/>
    <w:basedOn w:val="HeadingBase"/>
    <w:rsid w:val="005249CE"/>
    <w:pPr>
      <w:keepLines/>
      <w:pBdr>
        <w:bottom w:val="single" w:sz="6" w:space="1" w:color="918585"/>
      </w:pBdr>
      <w:spacing w:before="240"/>
    </w:pPr>
  </w:style>
  <w:style w:type="character" w:customStyle="1" w:styleId="HotSpot">
    <w:name w:val="HotSpot"/>
    <w:rsid w:val="005249CE"/>
    <w:rPr>
      <w:color w:val="0033CC"/>
      <w:u w:val="none"/>
    </w:rPr>
  </w:style>
  <w:style w:type="paragraph" w:customStyle="1" w:styleId="BodyTextRight">
    <w:name w:val="Body Text Right"/>
    <w:basedOn w:val="BodyText"/>
    <w:rsid w:val="005249CE"/>
    <w:pPr>
      <w:spacing w:before="0" w:after="0"/>
      <w:jc w:val="right"/>
    </w:pPr>
  </w:style>
  <w:style w:type="paragraph" w:styleId="Index3">
    <w:name w:val="index 3"/>
    <w:basedOn w:val="ListNumber2"/>
    <w:next w:val="Normal"/>
    <w:semiHidden/>
    <w:rsid w:val="005249CE"/>
    <w:pPr>
      <w:numPr>
        <w:numId w:val="0"/>
      </w:numPr>
      <w:tabs>
        <w:tab w:val="right" w:leader="dot" w:pos="4176"/>
      </w:tabs>
    </w:pPr>
  </w:style>
  <w:style w:type="paragraph" w:styleId="ListNumber2">
    <w:name w:val="List Number 2"/>
    <w:basedOn w:val="List2"/>
    <w:rsid w:val="005249CE"/>
    <w:pPr>
      <w:numPr>
        <w:numId w:val="10"/>
      </w:numPr>
      <w:tabs>
        <w:tab w:val="clear" w:pos="1060"/>
      </w:tabs>
    </w:pPr>
  </w:style>
  <w:style w:type="paragraph" w:customStyle="1" w:styleId="MarginNote">
    <w:name w:val="Margin Note"/>
    <w:basedOn w:val="BodyText"/>
    <w:rsid w:val="005249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249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249C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5249CE"/>
    <w:rPr>
      <w:sz w:val="32"/>
    </w:rPr>
  </w:style>
  <w:style w:type="paragraph" w:customStyle="1" w:styleId="HeadingProcedure">
    <w:name w:val="Heading Procedure"/>
    <w:basedOn w:val="HeadingBase"/>
    <w:next w:val="Normal"/>
    <w:rsid w:val="005249CE"/>
    <w:pPr>
      <w:tabs>
        <w:tab w:val="left" w:pos="0"/>
      </w:tabs>
      <w:spacing w:before="120" w:after="60"/>
    </w:pPr>
    <w:rPr>
      <w:i/>
      <w:color w:val="918585"/>
      <w:sz w:val="22"/>
    </w:rPr>
  </w:style>
  <w:style w:type="paragraph" w:customStyle="1" w:styleId="TableBodyText">
    <w:name w:val="Table Body Text"/>
    <w:basedOn w:val="BodyText"/>
    <w:rsid w:val="005249CE"/>
    <w:pPr>
      <w:spacing w:before="60" w:after="60"/>
    </w:pPr>
  </w:style>
  <w:style w:type="paragraph" w:styleId="ListContinue">
    <w:name w:val="List Continue"/>
    <w:basedOn w:val="List"/>
    <w:rsid w:val="005249CE"/>
    <w:pPr>
      <w:ind w:firstLine="0"/>
    </w:pPr>
  </w:style>
  <w:style w:type="paragraph" w:customStyle="1" w:styleId="ListNote">
    <w:name w:val="List Note"/>
    <w:basedOn w:val="List"/>
    <w:rsid w:val="005249CE"/>
    <w:pPr>
      <w:pBdr>
        <w:top w:val="single" w:sz="6" w:space="2" w:color="918585"/>
        <w:bottom w:val="single" w:sz="6" w:space="2" w:color="918585"/>
      </w:pBdr>
      <w:tabs>
        <w:tab w:val="left" w:pos="1021"/>
      </w:tabs>
      <w:ind w:firstLine="0"/>
    </w:pPr>
  </w:style>
  <w:style w:type="paragraph" w:customStyle="1" w:styleId="Warning">
    <w:name w:val="Warning"/>
    <w:basedOn w:val="BodyText"/>
    <w:rsid w:val="005249CE"/>
    <w:pPr>
      <w:shd w:val="clear" w:color="auto" w:fill="D9D9D9"/>
      <w:tabs>
        <w:tab w:val="left" w:pos="992"/>
      </w:tabs>
      <w:ind w:left="119" w:right="119"/>
    </w:pPr>
    <w:rPr>
      <w:sz w:val="20"/>
    </w:rPr>
  </w:style>
  <w:style w:type="paragraph" w:customStyle="1" w:styleId="MarginIcons">
    <w:name w:val="Margin Icons"/>
    <w:basedOn w:val="BodyText"/>
    <w:rsid w:val="005249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249CE"/>
    <w:rPr>
      <w:rFonts w:ascii="Courier New" w:hAnsi="Courier New"/>
    </w:rPr>
  </w:style>
  <w:style w:type="paragraph" w:customStyle="1" w:styleId="NoteBullet">
    <w:name w:val="Note Bullet"/>
    <w:basedOn w:val="Note"/>
    <w:rsid w:val="005249CE"/>
    <w:pPr>
      <w:tabs>
        <w:tab w:val="clear" w:pos="680"/>
      </w:tabs>
      <w:spacing w:before="60" w:after="60"/>
    </w:pPr>
  </w:style>
  <w:style w:type="paragraph" w:customStyle="1" w:styleId="SubHeading2">
    <w:name w:val="SubHeading2"/>
    <w:basedOn w:val="HeadingBase"/>
    <w:rsid w:val="005249CE"/>
    <w:pPr>
      <w:spacing w:before="240" w:after="60"/>
    </w:pPr>
    <w:rPr>
      <w:sz w:val="20"/>
    </w:rPr>
  </w:style>
  <w:style w:type="paragraph" w:customStyle="1" w:styleId="SubHeading1">
    <w:name w:val="SubHeading1"/>
    <w:basedOn w:val="HeadingBase"/>
    <w:rsid w:val="005249CE"/>
    <w:pPr>
      <w:spacing w:before="240" w:after="60"/>
    </w:pPr>
    <w:rPr>
      <w:color w:val="918585"/>
      <w:sz w:val="22"/>
    </w:rPr>
  </w:style>
  <w:style w:type="paragraph" w:customStyle="1" w:styleId="SideHeading">
    <w:name w:val="Side Heading"/>
    <w:basedOn w:val="HeadingBase"/>
    <w:rsid w:val="005249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249CE"/>
    <w:pPr>
      <w:numPr>
        <w:numId w:val="12"/>
      </w:numPr>
    </w:pPr>
  </w:style>
  <w:style w:type="paragraph" w:styleId="PlainText">
    <w:name w:val="Plain Text"/>
    <w:basedOn w:val="Normal"/>
    <w:link w:val="PlainTextChar"/>
    <w:rsid w:val="005249CE"/>
    <w:rPr>
      <w:sz w:val="20"/>
    </w:rPr>
  </w:style>
  <w:style w:type="character" w:customStyle="1" w:styleId="PlainTextChar">
    <w:name w:val="Plain Text Char"/>
    <w:basedOn w:val="DefaultParagraphFont"/>
    <w:link w:val="PlainText"/>
    <w:rsid w:val="005249C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5249CE"/>
    <w:rPr>
      <w:b/>
      <w:smallCaps/>
    </w:rPr>
  </w:style>
  <w:style w:type="paragraph" w:customStyle="1" w:styleId="TableListNumber">
    <w:name w:val="Table List Number"/>
    <w:basedOn w:val="ListNumber"/>
    <w:rsid w:val="005249CE"/>
    <w:pPr>
      <w:numPr>
        <w:numId w:val="0"/>
      </w:numPr>
    </w:pPr>
  </w:style>
  <w:style w:type="paragraph" w:styleId="TOC4">
    <w:name w:val="toc 4"/>
    <w:basedOn w:val="TOCBase"/>
    <w:next w:val="Normal"/>
    <w:semiHidden/>
    <w:rsid w:val="005249CE"/>
    <w:pPr>
      <w:tabs>
        <w:tab w:val="right" w:leader="dot" w:pos="9071"/>
      </w:tabs>
      <w:ind w:left="1701"/>
    </w:pPr>
  </w:style>
  <w:style w:type="paragraph" w:customStyle="1" w:styleId="ListAlpha">
    <w:name w:val="List Alpha"/>
    <w:basedOn w:val="List"/>
    <w:rsid w:val="005249CE"/>
    <w:pPr>
      <w:numPr>
        <w:numId w:val="9"/>
      </w:numPr>
    </w:pPr>
  </w:style>
  <w:style w:type="paragraph" w:customStyle="1" w:styleId="ListAlpha2">
    <w:name w:val="List Alpha 2"/>
    <w:basedOn w:val="List2"/>
    <w:rsid w:val="005249CE"/>
    <w:pPr>
      <w:numPr>
        <w:numId w:val="8"/>
      </w:numPr>
    </w:pPr>
  </w:style>
  <w:style w:type="paragraph" w:styleId="List2">
    <w:name w:val="List 2"/>
    <w:basedOn w:val="BodyText"/>
    <w:rsid w:val="005249CE"/>
    <w:pPr>
      <w:tabs>
        <w:tab w:val="left" w:pos="680"/>
      </w:tabs>
      <w:spacing w:before="60" w:after="60"/>
      <w:ind w:left="680" w:hanging="340"/>
    </w:pPr>
  </w:style>
  <w:style w:type="paragraph" w:styleId="List3">
    <w:name w:val="List 3"/>
    <w:basedOn w:val="BodyText"/>
    <w:rsid w:val="005249CE"/>
    <w:pPr>
      <w:tabs>
        <w:tab w:val="left" w:pos="1021"/>
      </w:tabs>
      <w:spacing w:before="60" w:after="60"/>
      <w:ind w:left="1020" w:hanging="340"/>
    </w:pPr>
  </w:style>
  <w:style w:type="paragraph" w:styleId="List4">
    <w:name w:val="List 4"/>
    <w:basedOn w:val="BodyText"/>
    <w:rsid w:val="005249CE"/>
    <w:pPr>
      <w:tabs>
        <w:tab w:val="left" w:pos="1361"/>
      </w:tabs>
      <w:spacing w:before="60" w:after="60"/>
      <w:ind w:left="1361" w:hanging="340"/>
    </w:pPr>
  </w:style>
  <w:style w:type="paragraph" w:styleId="List5">
    <w:name w:val="List 5"/>
    <w:basedOn w:val="BodyText"/>
    <w:rsid w:val="005249CE"/>
    <w:pPr>
      <w:tabs>
        <w:tab w:val="left" w:pos="1701"/>
      </w:tabs>
      <w:spacing w:before="60" w:after="60"/>
      <w:ind w:left="1701" w:hanging="340"/>
    </w:pPr>
  </w:style>
  <w:style w:type="paragraph" w:styleId="ListBullet3">
    <w:name w:val="List Bullet 3"/>
    <w:basedOn w:val="List3"/>
    <w:rsid w:val="005249CE"/>
    <w:pPr>
      <w:numPr>
        <w:numId w:val="15"/>
      </w:numPr>
      <w:tabs>
        <w:tab w:val="clear" w:pos="1021"/>
      </w:tabs>
      <w:ind w:left="1037" w:hanging="357"/>
    </w:pPr>
  </w:style>
  <w:style w:type="paragraph" w:styleId="ListBullet4">
    <w:name w:val="List Bullet 4"/>
    <w:basedOn w:val="List4"/>
    <w:rsid w:val="005249CE"/>
    <w:pPr>
      <w:numPr>
        <w:numId w:val="3"/>
      </w:numPr>
    </w:pPr>
  </w:style>
  <w:style w:type="paragraph" w:styleId="ListBullet5">
    <w:name w:val="List Bullet 5"/>
    <w:basedOn w:val="List5"/>
    <w:rsid w:val="005249CE"/>
    <w:pPr>
      <w:numPr>
        <w:numId w:val="4"/>
      </w:numPr>
    </w:pPr>
  </w:style>
  <w:style w:type="paragraph" w:styleId="ListContinue2">
    <w:name w:val="List Continue 2"/>
    <w:basedOn w:val="List2"/>
    <w:rsid w:val="005249CE"/>
    <w:pPr>
      <w:ind w:firstLine="0"/>
    </w:pPr>
  </w:style>
  <w:style w:type="paragraph" w:styleId="ListContinue3">
    <w:name w:val="List Continue 3"/>
    <w:basedOn w:val="List3"/>
    <w:rsid w:val="005249CE"/>
    <w:pPr>
      <w:ind w:left="1021" w:firstLine="0"/>
    </w:pPr>
  </w:style>
  <w:style w:type="paragraph" w:styleId="ListContinue4">
    <w:name w:val="List Continue 4"/>
    <w:basedOn w:val="List4"/>
    <w:rsid w:val="005249CE"/>
    <w:pPr>
      <w:ind w:firstLine="0"/>
    </w:pPr>
  </w:style>
  <w:style w:type="paragraph" w:styleId="ListContinue5">
    <w:name w:val="List Continue 5"/>
    <w:basedOn w:val="List5"/>
    <w:rsid w:val="005249CE"/>
    <w:pPr>
      <w:ind w:firstLine="0"/>
    </w:pPr>
  </w:style>
  <w:style w:type="paragraph" w:styleId="ListNumber3">
    <w:name w:val="List Number 3"/>
    <w:basedOn w:val="List3"/>
    <w:rsid w:val="005249CE"/>
    <w:pPr>
      <w:numPr>
        <w:numId w:val="5"/>
      </w:numPr>
    </w:pPr>
  </w:style>
  <w:style w:type="paragraph" w:styleId="ListNumber4">
    <w:name w:val="List Number 4"/>
    <w:basedOn w:val="List4"/>
    <w:rsid w:val="005249CE"/>
    <w:pPr>
      <w:numPr>
        <w:numId w:val="6"/>
      </w:numPr>
    </w:pPr>
  </w:style>
  <w:style w:type="paragraph" w:styleId="ListNumber5">
    <w:name w:val="List Number 5"/>
    <w:basedOn w:val="List5"/>
    <w:rsid w:val="005249CE"/>
    <w:pPr>
      <w:numPr>
        <w:numId w:val="7"/>
      </w:numPr>
    </w:pPr>
  </w:style>
  <w:style w:type="paragraph" w:styleId="BlockText">
    <w:name w:val="Block Text"/>
    <w:basedOn w:val="Normal"/>
    <w:rsid w:val="005249CE"/>
    <w:pPr>
      <w:spacing w:after="120"/>
      <w:ind w:left="1440" w:right="1440"/>
    </w:pPr>
  </w:style>
  <w:style w:type="character" w:customStyle="1" w:styleId="Subscript">
    <w:name w:val="Subscript"/>
    <w:basedOn w:val="DefaultParagraphFont"/>
    <w:rsid w:val="005249CE"/>
    <w:rPr>
      <w:sz w:val="16"/>
      <w:vertAlign w:val="subscript"/>
    </w:rPr>
  </w:style>
  <w:style w:type="character" w:customStyle="1" w:styleId="Superscript">
    <w:name w:val="Superscript"/>
    <w:basedOn w:val="DefaultParagraphFont"/>
    <w:rsid w:val="005249CE"/>
    <w:rPr>
      <w:sz w:val="16"/>
      <w:vertAlign w:val="superscript"/>
    </w:rPr>
  </w:style>
  <w:style w:type="character" w:customStyle="1" w:styleId="Symbols">
    <w:name w:val="Symbols"/>
    <w:basedOn w:val="DefaultParagraphFont"/>
    <w:rsid w:val="005249CE"/>
    <w:rPr>
      <w:rFonts w:ascii="Symbol" w:hAnsi="Symbol"/>
    </w:rPr>
  </w:style>
  <w:style w:type="character" w:customStyle="1" w:styleId="MenuOptions">
    <w:name w:val="Menu Options"/>
    <w:basedOn w:val="DefaultParagraphFont"/>
    <w:rsid w:val="005249CE"/>
    <w:rPr>
      <w:rFonts w:ascii="Arial Narrow" w:hAnsi="Arial Narrow"/>
      <w:smallCaps/>
    </w:rPr>
  </w:style>
  <w:style w:type="character" w:customStyle="1" w:styleId="Buttons">
    <w:name w:val="Buttons"/>
    <w:basedOn w:val="DefaultParagraphFont"/>
    <w:rsid w:val="005249CE"/>
    <w:rPr>
      <w:b/>
    </w:rPr>
  </w:style>
  <w:style w:type="character" w:customStyle="1" w:styleId="Underlined">
    <w:name w:val="Underlined"/>
    <w:basedOn w:val="DefaultParagraphFont"/>
    <w:rsid w:val="005249CE"/>
    <w:rPr>
      <w:u w:val="single"/>
    </w:rPr>
  </w:style>
  <w:style w:type="paragraph" w:customStyle="1" w:styleId="TableBodyTextRight">
    <w:name w:val="Table Body Text Right"/>
    <w:basedOn w:val="TableBodyText"/>
    <w:rsid w:val="005249CE"/>
    <w:pPr>
      <w:widowControl w:val="0"/>
      <w:autoSpaceDE w:val="0"/>
      <w:autoSpaceDN w:val="0"/>
      <w:adjustRightInd w:val="0"/>
      <w:jc w:val="right"/>
    </w:pPr>
    <w:rPr>
      <w:rFonts w:cs="Arial"/>
      <w:szCs w:val="18"/>
    </w:rPr>
  </w:style>
  <w:style w:type="paragraph" w:customStyle="1" w:styleId="CopyrightText">
    <w:name w:val="Copyright Text"/>
    <w:basedOn w:val="BodyText"/>
    <w:rsid w:val="005249CE"/>
    <w:rPr>
      <w:sz w:val="18"/>
    </w:rPr>
  </w:style>
  <w:style w:type="paragraph" w:customStyle="1" w:styleId="BodySmallRight">
    <w:name w:val="Body Small Right"/>
    <w:basedOn w:val="BodyTextRight"/>
    <w:rsid w:val="005249CE"/>
    <w:rPr>
      <w:sz w:val="18"/>
      <w:szCs w:val="18"/>
    </w:rPr>
  </w:style>
  <w:style w:type="paragraph" w:customStyle="1" w:styleId="MarginEdition">
    <w:name w:val="Margin Edition"/>
    <w:basedOn w:val="MarginNote"/>
    <w:rsid w:val="005249CE"/>
    <w:pPr>
      <w:spacing w:before="0" w:after="0"/>
    </w:pPr>
    <w:rPr>
      <w:rFonts w:ascii="Times New Roman" w:hAnsi="Times New Roman"/>
      <w:color w:val="999999"/>
    </w:rPr>
  </w:style>
  <w:style w:type="paragraph" w:customStyle="1" w:styleId="Spacer">
    <w:name w:val="Spacer"/>
    <w:basedOn w:val="Normal"/>
    <w:rsid w:val="005249CE"/>
    <w:rPr>
      <w:sz w:val="2"/>
      <w:szCs w:val="2"/>
    </w:rPr>
  </w:style>
  <w:style w:type="character" w:customStyle="1" w:styleId="Small">
    <w:name w:val="Small"/>
    <w:basedOn w:val="DefaultParagraphFont"/>
    <w:rsid w:val="005249CE"/>
    <w:rPr>
      <w:sz w:val="16"/>
    </w:rPr>
  </w:style>
  <w:style w:type="paragraph" w:customStyle="1" w:styleId="WideTable">
    <w:name w:val="Wide Table"/>
    <w:basedOn w:val="Normal"/>
    <w:rsid w:val="005249CE"/>
    <w:pPr>
      <w:ind w:left="-1418"/>
    </w:pPr>
    <w:rPr>
      <w:sz w:val="2"/>
      <w:szCs w:val="2"/>
    </w:rPr>
  </w:style>
  <w:style w:type="character" w:styleId="PageNumber">
    <w:name w:val="page number"/>
    <w:basedOn w:val="DefaultParagraphFont"/>
    <w:rsid w:val="005249CE"/>
  </w:style>
  <w:style w:type="paragraph" w:styleId="Quote">
    <w:name w:val="Quote"/>
    <w:basedOn w:val="Heading1"/>
    <w:link w:val="QuoteChar"/>
    <w:qFormat/>
    <w:rsid w:val="005249CE"/>
    <w:rPr>
      <w:b w:val="0"/>
      <w:sz w:val="72"/>
      <w:szCs w:val="72"/>
      <w:lang w:val="en-NZ"/>
    </w:rPr>
  </w:style>
  <w:style w:type="character" w:customStyle="1" w:styleId="QuoteChar">
    <w:name w:val="Quote Char"/>
    <w:basedOn w:val="DefaultParagraphFont"/>
    <w:link w:val="Quote"/>
    <w:rsid w:val="005249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249CE"/>
    <w:pPr>
      <w:pageBreakBefore/>
    </w:pPr>
  </w:style>
  <w:style w:type="paragraph" w:customStyle="1" w:styleId="Border">
    <w:name w:val="Border"/>
    <w:basedOn w:val="Normal"/>
    <w:qFormat/>
    <w:rsid w:val="005249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249CE"/>
    <w:rPr>
      <w:b/>
      <w:bCs/>
      <w:i/>
      <w:iCs/>
      <w:color w:val="auto"/>
    </w:rPr>
  </w:style>
  <w:style w:type="paragraph" w:styleId="IntenseQuote">
    <w:name w:val="Intense Quote"/>
    <w:basedOn w:val="Normal"/>
    <w:next w:val="Normal"/>
    <w:link w:val="IntenseQuoteChar"/>
    <w:uiPriority w:val="30"/>
    <w:qFormat/>
    <w:rsid w:val="005249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249C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5249CE"/>
    <w:rPr>
      <w:smallCaps/>
      <w:color w:val="auto"/>
      <w:u w:val="single"/>
    </w:rPr>
  </w:style>
  <w:style w:type="character" w:styleId="IntenseReference">
    <w:name w:val="Intense Reference"/>
    <w:basedOn w:val="DefaultParagraphFont"/>
    <w:uiPriority w:val="32"/>
    <w:qFormat/>
    <w:rsid w:val="005249CE"/>
    <w:rPr>
      <w:b/>
      <w:bCs/>
      <w:smallCaps/>
      <w:color w:val="auto"/>
      <w:spacing w:val="5"/>
      <w:u w:val="single"/>
    </w:rPr>
  </w:style>
  <w:style w:type="paragraph" w:customStyle="1" w:styleId="2ColumnHeading">
    <w:name w:val="2Column Heading"/>
    <w:basedOn w:val="BodyText"/>
    <w:qFormat/>
    <w:rsid w:val="005249CE"/>
    <w:pPr>
      <w:spacing w:after="60"/>
      <w:ind w:left="-2268"/>
    </w:pPr>
    <w:rPr>
      <w:b/>
    </w:rPr>
  </w:style>
  <w:style w:type="paragraph" w:customStyle="1" w:styleId="Heading1TOC">
    <w:name w:val="Heading1 TOC"/>
    <w:basedOn w:val="Normal"/>
    <w:qFormat/>
    <w:rsid w:val="005249CE"/>
    <w:pPr>
      <w:spacing w:before="240" w:after="120"/>
    </w:pPr>
    <w:rPr>
      <w:rFonts w:ascii="Times New Roman" w:hAnsi="Times New Roman"/>
      <w:b/>
      <w:sz w:val="32"/>
    </w:rPr>
  </w:style>
  <w:style w:type="paragraph" w:customStyle="1" w:styleId="Heading2TOC">
    <w:name w:val="Heading2 TOC"/>
    <w:basedOn w:val="Normal"/>
    <w:qFormat/>
    <w:rsid w:val="005249CE"/>
    <w:pPr>
      <w:spacing w:before="240" w:after="60"/>
    </w:pPr>
    <w:rPr>
      <w:rFonts w:ascii="Times New Roman" w:hAnsi="Times New Roman"/>
      <w:b/>
      <w:sz w:val="28"/>
    </w:rPr>
  </w:style>
  <w:style w:type="character" w:customStyle="1" w:styleId="Underline">
    <w:name w:val="Underline"/>
    <w:basedOn w:val="DefaultParagraphFont"/>
    <w:qFormat/>
    <w:rsid w:val="005249CE"/>
    <w:rPr>
      <w:u w:val="single"/>
    </w:rPr>
  </w:style>
  <w:style w:type="character" w:customStyle="1" w:styleId="BoldandItalics">
    <w:name w:val="Bold and Italics"/>
    <w:qFormat/>
    <w:rsid w:val="005249CE"/>
    <w:rPr>
      <w:b/>
      <w:i/>
      <w:u w:val="none"/>
    </w:rPr>
  </w:style>
  <w:style w:type="paragraph" w:styleId="BalloonText">
    <w:name w:val="Balloon Text"/>
    <w:basedOn w:val="Normal"/>
    <w:link w:val="BalloonTextChar"/>
    <w:rsid w:val="005249CE"/>
    <w:rPr>
      <w:rFonts w:ascii="Tahoma" w:hAnsi="Tahoma" w:cs="Tahoma"/>
      <w:sz w:val="16"/>
      <w:szCs w:val="16"/>
    </w:rPr>
  </w:style>
  <w:style w:type="character" w:customStyle="1" w:styleId="BalloonTextChar">
    <w:name w:val="Balloon Text Char"/>
    <w:basedOn w:val="DefaultParagraphFont"/>
    <w:link w:val="BalloonText"/>
    <w:rsid w:val="005249C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5249C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5249C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1276</Words>
  <Characters>8261</Characters>
  <Application>Microsoft Office Word</Application>
  <DocSecurity>0</DocSecurity>
  <Lines>287</Lines>
  <Paragraphs>180</Paragraphs>
  <ScaleCrop>false</ScaleCrop>
  <Company>Author-it Software Corporation Ltd.</Company>
  <LinksUpToDate>false</LinksUpToDate>
  <CharactersWithSpaces>9469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TLIS2030A Carry out track ballasting</dc:title>
  <dc:subject>Approved</dc:subject>
  <dc:creator>Transport &amp; Logistics Industry Skills Council</dc:creator>
  <cp:keywords>Release: 1</cp:keywords>
  <dc:description>Copyright © 1996-2007 Author-it Software Corporation Ltd., all rights reserved.</dc:description>
  <cp:lastModifiedBy>Alex Baker</cp:lastModifiedBy>
  <cp:revision>3</cp:revision>
  <dcterms:created xsi:type="dcterms:W3CDTF">2012-05-27T04:06:00Z</dcterms:created>
  <dcterms:modified xsi:type="dcterms:W3CDTF">2012-05-27T04:06:00Z</dcterms:modified>
</cp:coreProperties>
</file>