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562B" w:rsidP="009F562B">
      <w:pPr>
        <w:pStyle w:val="Title"/>
      </w:pPr>
      <w:r>
        <w:fldChar w:fldCharType="begin"/>
      </w:r>
      <w:r>
        <w:instrText xml:space="preserve"> TITLE   \* MERGEFORMAT </w:instrText>
      </w:r>
      <w:r>
        <w:fldChar w:fldCharType="separate"/>
      </w:r>
      <w:r>
        <w:t>TLIS2020A Install overhead wiring structure</w:t>
      </w:r>
      <w:r>
        <w:fldChar w:fldCharType="end"/>
      </w:r>
    </w:p>
    <w:p w:rsidR="009F562B" w:rsidP="009F562B">
      <w:pPr>
        <w:pStyle w:val="Version"/>
        <w:sectPr w:rsidSect="00E12B5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2B5B" w:rsidP="00E12B5B">
      <w:pPr>
        <w:pStyle w:val="SuperHeading"/>
      </w:pPr>
      <w:r w:rsidRPr="00E12B5B">
        <w:t>TLIS2020A Install overhead wiring structure</w:t>
      </w:r>
    </w:p>
    <w:p w:rsidR="00000000" w:rsidRPr="00E12B5B" w:rsidP="00E12B5B">
      <w:pPr>
        <w:pStyle w:val="Heading1"/>
      </w:pPr>
      <w:bookmarkStart w:id="1" w:name="O_274325"/>
      <w:bookmarkEnd w:id="1"/>
      <w:r w:rsidRPr="00E12B5B">
        <w:t>Modification History</w:t>
      </w:r>
    </w:p>
    <w:p w:rsidR="00000000" w:rsidRPr="00E12B5B" w:rsidP="00E12B5B">
      <w:pPr>
        <w:pStyle w:val="BodyText"/>
      </w:pPr>
      <w:r w:rsidRPr="00E12B5B">
        <w:t>Not Applicable</w:t>
      </w:r>
    </w:p>
    <w:p w:rsidR="00000000" w:rsidRPr="00E12B5B" w:rsidP="00E12B5B">
      <w:pPr>
        <w:pStyle w:val="AllowPageBreak"/>
      </w:pPr>
    </w:p>
    <w:p w:rsidR="00000000" w:rsidRPr="00E12B5B" w:rsidP="00E12B5B">
      <w:pPr>
        <w:pStyle w:val="Heading1"/>
      </w:pPr>
      <w:bookmarkStart w:id="2" w:name="O_224362"/>
      <w:bookmarkEnd w:id="2"/>
      <w:r w:rsidRPr="00E12B5B">
        <w:t>Unit Descriptor</w:t>
      </w:r>
    </w:p>
    <w:tbl>
      <w:tblPr>
        <w:tblW w:w="9640" w:type="dxa"/>
        <w:tblLayout w:type="fixed"/>
        <w:tblCellMar>
          <w:left w:w="62" w:type="dxa"/>
          <w:right w:w="62" w:type="dxa"/>
        </w:tblCellMar>
        <w:tblLook w:val="0000"/>
      </w:tblPr>
      <w:tblGrid>
        <w:gridCol w:w="2978"/>
        <w:gridCol w:w="6662"/>
      </w:tblGrid>
      <w:tr w:rsidTr="009F562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12B5B">
            <w:pPr>
              <w:pStyle w:val="BodyText"/>
              <w:rPr>
                <w:lang w:val="en-NZ"/>
              </w:rPr>
            </w:pPr>
            <w:r w:rsidRPr="00E12B5B">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E12B5B" w:rsidP="00E12B5B">
            <w:pPr>
              <w:pStyle w:val="BodyText"/>
            </w:pPr>
            <w:r w:rsidRPr="00E12B5B">
              <w:t>This unit involves the skills and knowledge required to install overhead wiring structures in accordance wi</w:t>
            </w:r>
            <w:r w:rsidRPr="00E12B5B">
              <w:t>th safeworking and regulatory requirements and workplace procedures including planning and preparing for the installation, installing the required components to specification, and completing all required documentation. Licensing, legislative, regulatory or</w:t>
            </w:r>
            <w:r w:rsidRPr="00E12B5B">
              <w:t xml:space="preserve"> certification requirements are applicable to this unit.</w:t>
            </w:r>
          </w:p>
        </w:tc>
      </w:tr>
    </w:tbl>
    <w:p w:rsidR="009F562B" w:rsidP="00E12B5B">
      <w:pPr>
        <w:pStyle w:val="BodyText"/>
      </w:pPr>
    </w:p>
    <w:p w:rsidR="009F562B" w:rsidP="00E12B5B">
      <w:pPr>
        <w:pStyle w:val="BodyText"/>
      </w:pPr>
    </w:p>
    <w:p w:rsidR="00000000" w:rsidRPr="00E12B5B" w:rsidP="00E12B5B">
      <w:pPr>
        <w:pStyle w:val="Heading1"/>
      </w:pPr>
      <w:bookmarkStart w:id="3" w:name="O_224364"/>
      <w:bookmarkEnd w:id="3"/>
      <w:r w:rsidRPr="00E12B5B">
        <w:t>Application of the Unit</w:t>
      </w:r>
    </w:p>
    <w:tbl>
      <w:tblPr>
        <w:tblW w:w="9640" w:type="dxa"/>
        <w:tblLayout w:type="fixed"/>
        <w:tblCellMar>
          <w:left w:w="62" w:type="dxa"/>
          <w:right w:w="62" w:type="dxa"/>
        </w:tblCellMar>
        <w:tblLook w:val="0000"/>
      </w:tblPr>
      <w:tblGrid>
        <w:gridCol w:w="2978"/>
        <w:gridCol w:w="6662"/>
      </w:tblGrid>
      <w:tr w:rsidTr="009F562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12B5B">
            <w:pPr>
              <w:pStyle w:val="BodyText"/>
              <w:rPr>
                <w:lang w:val="en-NZ"/>
              </w:rPr>
            </w:pPr>
            <w:r w:rsidRPr="00E12B5B">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E12B5B" w:rsidP="00E12B5B">
            <w:pPr>
              <w:pStyle w:val="BodyText"/>
            </w:pPr>
            <w:r w:rsidRPr="00E12B5B">
              <w:t>Persons achieving competence in this unit will need to fulfil the applicable legislated rail safety requirements including acts and regulations from each state and territory together with any nationally approved compliance codes and/or guidelines.</w:t>
            </w:r>
          </w:p>
          <w:p w:rsidR="00000000" w:rsidRPr="00E12B5B" w:rsidP="00E12B5B">
            <w:pPr>
              <w:pStyle w:val="BodyText"/>
            </w:pPr>
            <w:r w:rsidRPr="00E12B5B">
              <w:t xml:space="preserve">Work is </w:t>
            </w:r>
            <w:r w:rsidRPr="00E12B5B">
              <w:t>performed under minimal supervision, generally within a team environment. It involves the application of routine operational principles and procedures to install overhead wiring structure as part of workplace activities across a variety of operational cont</w:t>
            </w:r>
            <w:r w:rsidRPr="00E12B5B">
              <w:t>exts within the Australian rail system.</w:t>
            </w:r>
          </w:p>
          <w:p w:rsidR="00000000" w:rsidRPr="00E12B5B" w:rsidP="00E12B5B">
            <w:pPr>
              <w:pStyle w:val="BodyText"/>
            </w:pPr>
            <w:r w:rsidRPr="00E12B5B">
              <w:t>Operators of mechanised equipment must have undertaken training and, where appropriate, hold the relevant licence, permit or certificate and be recognised as competent for the class of machinery being used.</w:t>
            </w:r>
          </w:p>
        </w:tc>
      </w:tr>
    </w:tbl>
    <w:p w:rsidR="009F562B" w:rsidP="00E12B5B">
      <w:pPr>
        <w:pStyle w:val="BodyText"/>
      </w:pPr>
    </w:p>
    <w:p w:rsidR="009F562B" w:rsidP="00E12B5B">
      <w:pPr>
        <w:pStyle w:val="BodyText"/>
      </w:pPr>
    </w:p>
    <w:p w:rsidR="00000000" w:rsidRPr="00E12B5B" w:rsidP="00E12B5B">
      <w:pPr>
        <w:pStyle w:val="Heading1"/>
      </w:pPr>
      <w:bookmarkStart w:id="4" w:name="O_282585"/>
      <w:bookmarkEnd w:id="4"/>
      <w:r w:rsidRPr="00E12B5B">
        <w:t>Licensing/Regulatory Information</w:t>
      </w:r>
    </w:p>
    <w:p w:rsidR="00000000" w:rsidRPr="00E12B5B" w:rsidP="00E12B5B">
      <w:pPr>
        <w:pStyle w:val="BodyText"/>
      </w:pPr>
      <w:r w:rsidRPr="00E12B5B">
        <w:t>Refer to Unit Descriptor</w:t>
      </w:r>
    </w:p>
    <w:p w:rsidR="00000000" w:rsidRPr="00E12B5B" w:rsidP="00E12B5B">
      <w:pPr>
        <w:pStyle w:val="AllowPageBreak"/>
      </w:pPr>
    </w:p>
    <w:p w:rsidR="00000000" w:rsidRPr="00E12B5B" w:rsidP="00E12B5B">
      <w:pPr>
        <w:pStyle w:val="Heading1"/>
      </w:pPr>
      <w:bookmarkStart w:id="5" w:name="O_285035"/>
      <w:bookmarkEnd w:id="5"/>
      <w:r w:rsidRPr="00E12B5B">
        <w:t>Pre-Requisites</w:t>
      </w:r>
    </w:p>
    <w:p w:rsidR="00000000" w:rsidRPr="00E12B5B" w:rsidP="00E12B5B">
      <w:pPr>
        <w:pStyle w:val="BodyText"/>
      </w:pPr>
      <w:r w:rsidRPr="00E12B5B">
        <w:t>Not Applicable</w:t>
      </w:r>
    </w:p>
    <w:p w:rsidR="00000000" w:rsidRPr="00E12B5B" w:rsidP="00E12B5B">
      <w:pPr>
        <w:pStyle w:val="AllowPageBreak"/>
      </w:pPr>
    </w:p>
    <w:p w:rsidR="00000000" w:rsidRPr="00E12B5B" w:rsidP="00E12B5B">
      <w:pPr>
        <w:pStyle w:val="Heading1"/>
      </w:pPr>
      <w:bookmarkStart w:id="6" w:name="O_224363"/>
      <w:bookmarkEnd w:id="6"/>
      <w:r w:rsidRPr="00E12B5B">
        <w:t>Employability Skills Information</w:t>
      </w:r>
    </w:p>
    <w:tbl>
      <w:tblPr>
        <w:tblW w:w="9640" w:type="dxa"/>
        <w:tblLayout w:type="fixed"/>
        <w:tblCellMar>
          <w:left w:w="62" w:type="dxa"/>
          <w:right w:w="62" w:type="dxa"/>
        </w:tblCellMar>
        <w:tblLook w:val="0000"/>
      </w:tblPr>
      <w:tblGrid>
        <w:gridCol w:w="2978"/>
        <w:gridCol w:w="6662"/>
      </w:tblGrid>
      <w:tr w:rsidTr="009F562B">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E12B5B">
            <w:pPr>
              <w:pStyle w:val="BodyText"/>
              <w:rPr>
                <w:lang w:val="en-NZ"/>
              </w:rPr>
            </w:pPr>
            <w:r w:rsidRPr="00E12B5B">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E12B5B" w:rsidP="00E12B5B">
            <w:pPr>
              <w:pStyle w:val="BodyText"/>
            </w:pPr>
            <w:r w:rsidRPr="00E12B5B">
              <w:t>This unit contains employability skills.</w:t>
            </w:r>
          </w:p>
        </w:tc>
      </w:tr>
    </w:tbl>
    <w:p w:rsidR="009F562B" w:rsidP="00E12B5B">
      <w:pPr>
        <w:pStyle w:val="BodyText"/>
      </w:pPr>
    </w:p>
    <w:p w:rsidR="009F562B" w:rsidP="00E12B5B">
      <w:pPr>
        <w:pStyle w:val="BodyText"/>
      </w:pPr>
    </w:p>
    <w:p w:rsidR="00000000" w:rsidRPr="00E12B5B" w:rsidP="00E12B5B">
      <w:pPr>
        <w:pStyle w:val="Heading1"/>
      </w:pPr>
      <w:bookmarkStart w:id="7" w:name="O_292371"/>
      <w:bookmarkEnd w:id="7"/>
      <w:r w:rsidRPr="00E12B5B">
        <w:t>Elements and Performance Criteria Pre-Content</w:t>
      </w:r>
    </w:p>
    <w:tbl>
      <w:tblPr>
        <w:tblW w:w="9640" w:type="dxa"/>
        <w:tblLayout w:type="fixed"/>
        <w:tblCellMar>
          <w:left w:w="62" w:type="dxa"/>
          <w:right w:w="62" w:type="dxa"/>
        </w:tblCellMar>
        <w:tblLook w:val="0000"/>
      </w:tblPr>
      <w:tblGrid>
        <w:gridCol w:w="2978"/>
        <w:gridCol w:w="6662"/>
      </w:tblGrid>
      <w:tr w:rsidTr="009F562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12B5B">
            <w:pPr>
              <w:pStyle w:val="BodyText"/>
              <w:rPr>
                <w:lang w:val="en-NZ"/>
              </w:rPr>
            </w:pPr>
            <w:r w:rsidRPr="00E12B5B">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E12B5B" w:rsidP="00E12B5B">
            <w:pPr>
              <w:pStyle w:val="BodyText"/>
            </w:pPr>
            <w:r w:rsidRPr="00E12B5B">
              <w:t>Performance criteria describe the required performance needed to demonstrate achievement of the element. Assessment of performance is to be cons</w:t>
            </w:r>
            <w:r w:rsidRPr="00E12B5B">
              <w:t>istent with the evidence guide.</w:t>
            </w:r>
          </w:p>
        </w:tc>
      </w:tr>
    </w:tbl>
    <w:p w:rsidR="00000000" w:rsidRPr="00E12B5B" w:rsidP="00E12B5B">
      <w:pPr>
        <w:pStyle w:val="BodyText"/>
      </w:pPr>
    </w:p>
    <w:p w:rsidR="00000000" w:rsidRPr="00E12B5B" w:rsidP="00E12B5B">
      <w:pPr>
        <w:pStyle w:val="AllowPageBreak"/>
      </w:pPr>
    </w:p>
    <w:p w:rsidR="00000000" w:rsidRPr="00E12B5B" w:rsidP="00E12B5B">
      <w:pPr>
        <w:pStyle w:val="Heading1"/>
      </w:pPr>
      <w:bookmarkStart w:id="8" w:name="O_239039"/>
      <w:bookmarkEnd w:id="8"/>
      <w:r w:rsidRPr="00E12B5B">
        <w:t>Elements and Performance Criteria</w:t>
      </w:r>
    </w:p>
    <w:tbl>
      <w:tblPr>
        <w:tblW w:w="9640" w:type="dxa"/>
        <w:tblLayout w:type="fixed"/>
        <w:tblCellMar>
          <w:left w:w="62" w:type="dxa"/>
          <w:right w:w="62" w:type="dxa"/>
        </w:tblCellMar>
        <w:tblLook w:val="0000"/>
      </w:tblPr>
      <w:tblGrid>
        <w:gridCol w:w="2978"/>
        <w:gridCol w:w="6662"/>
      </w:tblGrid>
      <w:tr w:rsidTr="009F562B">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E12B5B" w:rsidP="00E12B5B">
            <w:pPr>
              <w:pStyle w:val="List"/>
            </w:pPr>
            <w:r w:rsidRPr="00E12B5B">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E12B5B">
            <w:pPr>
              <w:pStyle w:val="List"/>
              <w:rPr>
                <w:lang w:val="en-NZ"/>
              </w:rPr>
            </w:pPr>
            <w:r w:rsidRPr="00E12B5B">
              <w:rPr>
                <w:rStyle w:val="SpecialBold"/>
              </w:rPr>
              <w:t>PERFORMANCE CRITERIA</w:t>
            </w:r>
          </w:p>
        </w:tc>
      </w:tr>
      <w:tr w:rsidTr="009F562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12B5B">
            <w:pPr>
              <w:pStyle w:val="List"/>
              <w:rPr>
                <w:lang w:val="en-NZ"/>
              </w:rPr>
            </w:pPr>
            <w:r w:rsidRPr="00E12B5B">
              <w:rPr>
                <w:rStyle w:val="SpecialBold"/>
              </w:rPr>
              <w:t>1</w:t>
            </w:r>
            <w:r w:rsidRPr="00E12B5B">
              <w:tab/>
            </w:r>
            <w:r w:rsidRPr="00E12B5B">
              <w:rPr>
                <w:rStyle w:val="SpecialBold"/>
              </w:rPr>
              <w:t>Plan installation</w:t>
            </w:r>
          </w:p>
        </w:tc>
        <w:tc>
          <w:tcPr>
            <w:tcW w:w="6662" w:type="dxa"/>
            <w:tcBorders>
              <w:top w:val="nil"/>
              <w:left w:val="nil"/>
              <w:bottom w:val="nil"/>
              <w:right w:val="nil"/>
            </w:tcBorders>
            <w:tcMar>
              <w:top w:w="0" w:type="dxa"/>
              <w:left w:w="62" w:type="dxa"/>
              <w:bottom w:w="0" w:type="dxa"/>
              <w:right w:w="62" w:type="dxa"/>
            </w:tcMar>
          </w:tcPr>
          <w:p w:rsidR="00000000" w:rsidRPr="00E12B5B" w:rsidP="00E12B5B">
            <w:pPr>
              <w:pStyle w:val="List"/>
            </w:pPr>
            <w:r w:rsidRPr="00E12B5B">
              <w:t>1.1</w:t>
            </w:r>
            <w:r w:rsidRPr="00E12B5B">
              <w:tab/>
              <w:t>Work requirements are determined to identify scope of work and resources required</w:t>
            </w:r>
          </w:p>
          <w:p w:rsidR="00000000" w:rsidP="00E12B5B">
            <w:pPr>
              <w:pStyle w:val="List"/>
              <w:rPr>
                <w:lang w:val="en-NZ"/>
              </w:rPr>
            </w:pPr>
            <w:r w:rsidRPr="00E12B5B">
              <w:t>1.2</w:t>
            </w:r>
            <w:r w:rsidRPr="00E12B5B">
              <w:tab/>
            </w:r>
            <w:r w:rsidRPr="00E12B5B">
              <w:t>Type of overhead wiring structure required for job is identified and organised</w:t>
            </w:r>
          </w:p>
        </w:tc>
      </w:tr>
      <w:tr w:rsidTr="009F562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12B5B">
            <w:pPr>
              <w:pStyle w:val="List"/>
              <w:rPr>
                <w:lang w:val="en-NZ"/>
              </w:rPr>
            </w:pPr>
            <w:r w:rsidRPr="00E12B5B">
              <w:rPr>
                <w:rStyle w:val="SpecialBold"/>
              </w:rPr>
              <w:t>2</w:t>
            </w:r>
            <w:r w:rsidRPr="00E12B5B">
              <w:tab/>
            </w:r>
            <w:r w:rsidRPr="00E12B5B">
              <w:rPr>
                <w:rStyle w:val="SpecialBold"/>
              </w:rPr>
              <w:t>Prepare for installation</w:t>
            </w:r>
          </w:p>
        </w:tc>
        <w:tc>
          <w:tcPr>
            <w:tcW w:w="6662" w:type="dxa"/>
            <w:tcBorders>
              <w:top w:val="nil"/>
              <w:left w:val="nil"/>
              <w:bottom w:val="nil"/>
              <w:right w:val="nil"/>
            </w:tcBorders>
            <w:tcMar>
              <w:top w:w="0" w:type="dxa"/>
              <w:left w:w="62" w:type="dxa"/>
              <w:bottom w:w="0" w:type="dxa"/>
              <w:right w:w="62" w:type="dxa"/>
            </w:tcMar>
          </w:tcPr>
          <w:p w:rsidR="00000000" w:rsidRPr="00E12B5B" w:rsidP="00E12B5B">
            <w:pPr>
              <w:pStyle w:val="List"/>
            </w:pPr>
            <w:r w:rsidRPr="00E12B5B">
              <w:t>2.1</w:t>
            </w:r>
            <w:r w:rsidRPr="00E12B5B">
              <w:tab/>
              <w:t>Footings are prepared and excavated in compliance with standard, following workplace procedures</w:t>
            </w:r>
          </w:p>
          <w:p w:rsidR="00000000" w:rsidRPr="00E12B5B" w:rsidP="00E12B5B">
            <w:pPr>
              <w:pStyle w:val="List"/>
            </w:pPr>
            <w:r w:rsidRPr="00E12B5B">
              <w:t>2.2</w:t>
            </w:r>
            <w:r w:rsidRPr="00E12B5B">
              <w:tab/>
              <w:t>Formwork is installed in compliance with stan</w:t>
            </w:r>
            <w:r w:rsidRPr="00E12B5B">
              <w:t>dard, following workplace procedures</w:t>
            </w:r>
          </w:p>
          <w:p w:rsidR="00000000" w:rsidRPr="00E12B5B" w:rsidP="00E12B5B">
            <w:pPr>
              <w:pStyle w:val="List"/>
            </w:pPr>
            <w:r w:rsidRPr="00E12B5B">
              <w:t>2.3</w:t>
            </w:r>
            <w:r w:rsidRPr="00E12B5B">
              <w:tab/>
              <w:t>Concrete reinforcing is installed in compliance with standard, following workplace procedures</w:t>
            </w:r>
          </w:p>
          <w:p w:rsidR="00000000" w:rsidRPr="00E12B5B" w:rsidP="00E12B5B">
            <w:pPr>
              <w:pStyle w:val="List"/>
            </w:pPr>
            <w:r w:rsidRPr="00E12B5B">
              <w:t>2.4</w:t>
            </w:r>
            <w:r w:rsidRPr="00E12B5B">
              <w:tab/>
              <w:t>Concrete is mixed and placed in compliance with standard, following workplace procedures</w:t>
            </w:r>
          </w:p>
          <w:p w:rsidR="00000000" w:rsidP="00E12B5B">
            <w:pPr>
              <w:pStyle w:val="List"/>
              <w:rPr>
                <w:lang w:val="en-NZ"/>
              </w:rPr>
            </w:pPr>
            <w:r w:rsidRPr="00E12B5B">
              <w:t>2.5</w:t>
            </w:r>
            <w:r w:rsidRPr="00E12B5B">
              <w:tab/>
              <w:t>Hold down plates/bolts a</w:t>
            </w:r>
            <w:r w:rsidRPr="00E12B5B">
              <w:t>re placed into concrete to correct dimensions to enable fitting of overhead wiring structure</w:t>
            </w:r>
          </w:p>
        </w:tc>
      </w:tr>
      <w:tr w:rsidTr="009F562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12B5B">
            <w:pPr>
              <w:pStyle w:val="List"/>
              <w:rPr>
                <w:lang w:val="en-NZ"/>
              </w:rPr>
            </w:pPr>
            <w:r w:rsidRPr="00E12B5B">
              <w:rPr>
                <w:rStyle w:val="SpecialBold"/>
              </w:rPr>
              <w:t>3</w:t>
            </w:r>
            <w:r w:rsidRPr="00E12B5B">
              <w:tab/>
            </w:r>
            <w:r w:rsidRPr="00E12B5B">
              <w:rPr>
                <w:rStyle w:val="SpecialBold"/>
              </w:rPr>
              <w:t>Install components</w:t>
            </w:r>
          </w:p>
        </w:tc>
        <w:tc>
          <w:tcPr>
            <w:tcW w:w="6662" w:type="dxa"/>
            <w:tcBorders>
              <w:top w:val="nil"/>
              <w:left w:val="nil"/>
              <w:bottom w:val="nil"/>
              <w:right w:val="nil"/>
            </w:tcBorders>
            <w:tcMar>
              <w:top w:w="0" w:type="dxa"/>
              <w:left w:w="62" w:type="dxa"/>
              <w:bottom w:w="0" w:type="dxa"/>
              <w:right w:w="62" w:type="dxa"/>
            </w:tcMar>
          </w:tcPr>
          <w:p w:rsidR="00000000" w:rsidRPr="00E12B5B" w:rsidP="00E12B5B">
            <w:pPr>
              <w:pStyle w:val="List"/>
            </w:pPr>
            <w:r w:rsidRPr="00E12B5B">
              <w:t>3.1</w:t>
            </w:r>
            <w:r w:rsidRPr="00E12B5B">
              <w:tab/>
              <w:t>Components are assembled onto bridge section as required in preparation for installation</w:t>
            </w:r>
          </w:p>
          <w:p w:rsidR="00000000" w:rsidRPr="00E12B5B" w:rsidP="00E12B5B">
            <w:pPr>
              <w:pStyle w:val="List"/>
            </w:pPr>
            <w:r w:rsidRPr="00E12B5B">
              <w:t>3.2</w:t>
            </w:r>
            <w:r w:rsidRPr="00E12B5B">
              <w:tab/>
              <w:t>Masts and other components are positioned an</w:t>
            </w:r>
            <w:r w:rsidRPr="00E12B5B">
              <w:t>d installed as required, following accepted workplace procedures</w:t>
            </w:r>
          </w:p>
          <w:p w:rsidR="00000000" w:rsidP="00E12B5B">
            <w:pPr>
              <w:pStyle w:val="List"/>
              <w:rPr>
                <w:lang w:val="en-NZ"/>
              </w:rPr>
            </w:pPr>
            <w:r w:rsidRPr="00E12B5B">
              <w:t>3.3</w:t>
            </w:r>
            <w:r w:rsidRPr="00E12B5B">
              <w:tab/>
              <w:t>Fastening systems are installed in compliance with standard to ensure the integrity of the overhead wiring structure</w:t>
            </w:r>
          </w:p>
        </w:tc>
      </w:tr>
      <w:tr w:rsidTr="009F562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12B5B">
            <w:pPr>
              <w:pStyle w:val="List"/>
              <w:rPr>
                <w:lang w:val="en-NZ"/>
              </w:rPr>
            </w:pPr>
            <w:r w:rsidRPr="00E12B5B">
              <w:rPr>
                <w:rStyle w:val="SpecialBold"/>
              </w:rPr>
              <w:t>4</w:t>
            </w:r>
            <w:r w:rsidRPr="00E12B5B">
              <w:tab/>
            </w:r>
            <w:r w:rsidRPr="00E12B5B">
              <w:rPr>
                <w:rStyle w:val="SpecialBold"/>
              </w:rPr>
              <w:t>Complete documentation</w:t>
            </w:r>
          </w:p>
        </w:tc>
        <w:tc>
          <w:tcPr>
            <w:tcW w:w="6662" w:type="dxa"/>
            <w:tcBorders>
              <w:top w:val="nil"/>
              <w:left w:val="nil"/>
              <w:bottom w:val="nil"/>
              <w:right w:val="nil"/>
            </w:tcBorders>
            <w:tcMar>
              <w:top w:w="0" w:type="dxa"/>
              <w:left w:w="62" w:type="dxa"/>
              <w:bottom w:w="0" w:type="dxa"/>
              <w:right w:w="62" w:type="dxa"/>
            </w:tcMar>
          </w:tcPr>
          <w:p w:rsidR="00000000" w:rsidRPr="00E12B5B" w:rsidP="00E12B5B">
            <w:pPr>
              <w:pStyle w:val="List"/>
            </w:pPr>
            <w:r w:rsidRPr="00E12B5B">
              <w:t>4.1</w:t>
            </w:r>
            <w:r w:rsidRPr="00E12B5B">
              <w:tab/>
              <w:t>Documentation is completed i</w:t>
            </w:r>
            <w:r w:rsidRPr="00E12B5B">
              <w:t>n line with company requirements and workplace practice</w:t>
            </w:r>
          </w:p>
        </w:tc>
      </w:tr>
    </w:tbl>
    <w:p w:rsidR="009F562B" w:rsidP="00E12B5B">
      <w:pPr>
        <w:pStyle w:val="BodyText"/>
      </w:pPr>
    </w:p>
    <w:p w:rsidR="009F562B" w:rsidP="00E12B5B">
      <w:pPr>
        <w:pStyle w:val="BodyText"/>
      </w:pPr>
    </w:p>
    <w:p w:rsidR="00000000" w:rsidRPr="00E12B5B" w:rsidP="00E12B5B">
      <w:pPr>
        <w:pStyle w:val="Heading1"/>
      </w:pPr>
      <w:bookmarkStart w:id="9" w:name="O_262830"/>
      <w:bookmarkEnd w:id="9"/>
      <w:r w:rsidRPr="00E12B5B">
        <w:t>Required Skills and Knowledge</w:t>
      </w:r>
    </w:p>
    <w:tbl>
      <w:tblPr>
        <w:tblW w:w="9640" w:type="dxa"/>
        <w:tblLayout w:type="fixed"/>
        <w:tblCellMar>
          <w:left w:w="62" w:type="dxa"/>
          <w:right w:w="62" w:type="dxa"/>
        </w:tblCellMar>
        <w:tblLook w:val="0000"/>
      </w:tblPr>
      <w:tblGrid>
        <w:gridCol w:w="9640"/>
      </w:tblGrid>
      <w:tr w:rsidTr="009F562B">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E12B5B">
            <w:pPr>
              <w:pStyle w:val="BodyText"/>
              <w:rPr>
                <w:lang w:val="en-NZ"/>
              </w:rPr>
            </w:pPr>
            <w:r w:rsidRPr="00E12B5B">
              <w:rPr>
                <w:rStyle w:val="SpecialBold"/>
              </w:rPr>
              <w:t>REQUIRED KNOWLEDGE AND SKILLS</w:t>
            </w:r>
          </w:p>
        </w:tc>
      </w:tr>
      <w:tr w:rsidTr="009F562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2B5B">
            <w:pPr>
              <w:pStyle w:val="BodyText"/>
              <w:rPr>
                <w:lang w:val="en-NZ"/>
              </w:rPr>
            </w:pPr>
            <w:r w:rsidRPr="00E12B5B">
              <w:t>This describes the essential knowledge and skills and their level required for this unit.</w:t>
            </w:r>
          </w:p>
        </w:tc>
      </w:tr>
      <w:tr w:rsidTr="009F562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2B5B">
            <w:pPr>
              <w:pStyle w:val="BodyText"/>
              <w:rPr>
                <w:lang w:val="en-NZ"/>
              </w:rPr>
            </w:pPr>
            <w:r w:rsidRPr="00E12B5B">
              <w:rPr>
                <w:rStyle w:val="SpecialBold"/>
              </w:rPr>
              <w:t>Required knowledge</w:t>
            </w:r>
            <w:r w:rsidRPr="00E12B5B">
              <w:t>:</w:t>
            </w:r>
          </w:p>
        </w:tc>
      </w:tr>
      <w:tr w:rsidTr="009F562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2B5B">
            <w:pPr>
              <w:pStyle w:val="ListBullet"/>
              <w:rPr>
                <w:lang w:val="en-NZ"/>
              </w:rPr>
            </w:pPr>
            <w:r w:rsidRPr="00E12B5B">
              <w:t>Applicable legislated rail safety requirements including acts and regulations from each state and territory together with any nationally approved compliance codes and/or guidelines</w:t>
            </w:r>
          </w:p>
        </w:tc>
      </w:tr>
      <w:tr w:rsidTr="009F562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2B5B">
            <w:pPr>
              <w:pStyle w:val="ListBullet"/>
              <w:rPr>
                <w:lang w:val="en-NZ"/>
              </w:rPr>
            </w:pPr>
            <w:r w:rsidRPr="00E12B5B">
              <w:t>Relevant OH&amp;S and environmental procedures and regulations</w:t>
            </w:r>
          </w:p>
        </w:tc>
      </w:tr>
      <w:tr w:rsidTr="009F562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2B5B">
            <w:pPr>
              <w:pStyle w:val="ListBullet"/>
              <w:rPr>
                <w:lang w:val="en-NZ"/>
              </w:rPr>
            </w:pPr>
            <w:r w:rsidRPr="00E12B5B">
              <w:t>Workplace pr</w:t>
            </w:r>
            <w:r w:rsidRPr="00E12B5B">
              <w:t>ocedures for the installation of overhead wiring structures</w:t>
            </w:r>
          </w:p>
        </w:tc>
      </w:tr>
      <w:tr w:rsidTr="009F562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2B5B">
            <w:pPr>
              <w:pStyle w:val="ListBullet"/>
              <w:rPr>
                <w:lang w:val="en-NZ"/>
              </w:rPr>
            </w:pPr>
            <w:r w:rsidRPr="00E12B5B">
              <w:t>Problems that may occur during the installation of overhead wiring structures and action that can be taken to report or resolve the problems</w:t>
            </w:r>
          </w:p>
        </w:tc>
      </w:tr>
      <w:tr w:rsidTr="009F562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2B5B">
            <w:pPr>
              <w:pStyle w:val="ListBullet"/>
              <w:rPr>
                <w:lang w:val="en-NZ"/>
              </w:rPr>
            </w:pPr>
            <w:r w:rsidRPr="00E12B5B">
              <w:t>Hazards that may exist during the installation of o</w:t>
            </w:r>
            <w:r w:rsidRPr="00E12B5B">
              <w:t>verhead wiring structures and ways of controlling the risks involved</w:t>
            </w:r>
          </w:p>
        </w:tc>
      </w:tr>
      <w:tr w:rsidTr="009F562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2B5B">
            <w:pPr>
              <w:pStyle w:val="ListBullet"/>
              <w:rPr>
                <w:lang w:val="en-NZ"/>
              </w:rPr>
            </w:pPr>
            <w:r w:rsidRPr="00E12B5B">
              <w:t>Relevant earthmoving equipment and methods</w:t>
            </w:r>
          </w:p>
        </w:tc>
      </w:tr>
      <w:tr w:rsidTr="009F562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2B5B">
            <w:pPr>
              <w:pStyle w:val="ListBullet"/>
              <w:rPr>
                <w:lang w:val="en-NZ"/>
              </w:rPr>
            </w:pPr>
            <w:r w:rsidRPr="00E12B5B">
              <w:t>Characteristics and relevant information on overhead wiring structures</w:t>
            </w:r>
          </w:p>
        </w:tc>
      </w:tr>
      <w:tr w:rsidTr="009F562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2B5B">
            <w:pPr>
              <w:pStyle w:val="ListBullet"/>
              <w:rPr>
                <w:lang w:val="en-NZ"/>
              </w:rPr>
            </w:pPr>
            <w:r w:rsidRPr="00E12B5B">
              <w:t>Information in relevant workplace technical manuals and instructions</w:t>
            </w:r>
          </w:p>
        </w:tc>
      </w:tr>
      <w:tr w:rsidTr="009F562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2B5B">
            <w:pPr>
              <w:pStyle w:val="ListBullet"/>
              <w:rPr>
                <w:lang w:val="en-NZ"/>
              </w:rPr>
            </w:pPr>
            <w:r w:rsidRPr="00E12B5B">
              <w:t>Characteristics of plant and equipment, materials, transport, structures, hardware and components used in work activities</w:t>
            </w:r>
          </w:p>
        </w:tc>
      </w:tr>
      <w:tr w:rsidTr="009F562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2B5B">
            <w:pPr>
              <w:pStyle w:val="ListBullet"/>
              <w:rPr>
                <w:lang w:val="en-NZ"/>
              </w:rPr>
            </w:pPr>
            <w:r w:rsidRPr="00E12B5B">
              <w:t>Rail operations and train movement</w:t>
            </w:r>
          </w:p>
        </w:tc>
      </w:tr>
      <w:tr w:rsidTr="009F562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2B5B">
            <w:pPr>
              <w:pStyle w:val="ListBullet"/>
              <w:rPr>
                <w:lang w:val="en-NZ"/>
              </w:rPr>
            </w:pPr>
            <w:r w:rsidRPr="00E12B5B">
              <w:t>Hazardous situations and</w:t>
            </w:r>
            <w:r w:rsidRPr="00E12B5B">
              <w:t xml:space="preserve"> related personal protection measures</w:t>
            </w:r>
          </w:p>
        </w:tc>
      </w:tr>
      <w:tr w:rsidTr="009F562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2B5B">
            <w:pPr>
              <w:pStyle w:val="ListBullet"/>
              <w:rPr>
                <w:lang w:val="en-NZ"/>
              </w:rPr>
            </w:pPr>
            <w:r w:rsidRPr="00E12B5B">
              <w:t>Emergency procedures manuals</w:t>
            </w:r>
          </w:p>
        </w:tc>
      </w:tr>
      <w:tr w:rsidTr="009F562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2B5B">
            <w:pPr>
              <w:pStyle w:val="ListBullet"/>
              <w:rPr>
                <w:lang w:val="en-NZ"/>
              </w:rPr>
            </w:pPr>
            <w:r w:rsidRPr="00E12B5B">
              <w:t>Local authority procedures</w:t>
            </w:r>
          </w:p>
        </w:tc>
      </w:tr>
      <w:tr w:rsidTr="009F562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E12B5B" w:rsidP="00E12B5B">
            <w:pPr>
              <w:pStyle w:val="ListBullet"/>
            </w:pPr>
            <w:r w:rsidRPr="00E12B5B">
              <w:t>Relevant recording and documentation procedures</w:t>
            </w:r>
          </w:p>
        </w:tc>
      </w:tr>
    </w:tbl>
    <w:p w:rsidR="00000000" w:rsidRPr="00E12B5B" w:rsidP="00E12B5B">
      <w:pPr>
        <w:pStyle w:val="BodyText"/>
      </w:pPr>
    </w:p>
    <w:tbl>
      <w:tblPr>
        <w:tblW w:w="9640" w:type="dxa"/>
        <w:tblLayout w:type="fixed"/>
        <w:tblCellMar>
          <w:left w:w="62" w:type="dxa"/>
          <w:right w:w="62" w:type="dxa"/>
        </w:tblCellMar>
        <w:tblLook w:val="0000"/>
      </w:tblPr>
      <w:tblGrid>
        <w:gridCol w:w="9640"/>
      </w:tblGrid>
      <w:tr w:rsidTr="009F562B">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E12B5B">
            <w:pPr>
              <w:pStyle w:val="BodyText"/>
              <w:rPr>
                <w:lang w:val="en-NZ"/>
              </w:rPr>
            </w:pPr>
            <w:r w:rsidRPr="00E12B5B">
              <w:rPr>
                <w:rStyle w:val="SpecialBold"/>
              </w:rPr>
              <w:t>Required skills</w:t>
            </w:r>
            <w:r w:rsidRPr="00E12B5B">
              <w:t>:</w:t>
            </w:r>
          </w:p>
        </w:tc>
      </w:tr>
      <w:tr w:rsidTr="009F562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2B5B">
            <w:pPr>
              <w:pStyle w:val="ListBullet"/>
              <w:rPr>
                <w:lang w:val="en-NZ"/>
              </w:rPr>
            </w:pPr>
            <w:r w:rsidRPr="00E12B5B">
              <w:t>Communicate effectively with others when installing overhead wiring structures</w:t>
            </w:r>
          </w:p>
        </w:tc>
      </w:tr>
      <w:tr w:rsidTr="009F562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2B5B">
            <w:pPr>
              <w:pStyle w:val="ListBullet"/>
              <w:rPr>
                <w:lang w:val="en-NZ"/>
              </w:rPr>
            </w:pPr>
            <w:r w:rsidRPr="00E12B5B">
              <w:t>Read and interpret technical data, drawings, instructions and manuals relevant to the installation of overhead wiring structures</w:t>
            </w:r>
          </w:p>
        </w:tc>
      </w:tr>
      <w:tr w:rsidTr="009F562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2B5B">
            <w:pPr>
              <w:pStyle w:val="ListBullet"/>
              <w:rPr>
                <w:lang w:val="en-NZ"/>
              </w:rPr>
            </w:pPr>
            <w:r w:rsidRPr="00E12B5B">
              <w:t>Interpret and follow operational instructions and prioritise work when installing overhead wiring structures</w:t>
            </w:r>
          </w:p>
        </w:tc>
      </w:tr>
      <w:tr w:rsidTr="009F562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2B5B">
            <w:pPr>
              <w:pStyle w:val="ListBullet"/>
              <w:rPr>
                <w:lang w:val="en-NZ"/>
              </w:rPr>
            </w:pPr>
            <w:r w:rsidRPr="00E12B5B">
              <w:t>Complete documentation related to the installation of overhead wiring structures</w:t>
            </w:r>
          </w:p>
        </w:tc>
      </w:tr>
      <w:tr w:rsidTr="009F562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2B5B">
            <w:pPr>
              <w:pStyle w:val="ListBullet"/>
              <w:rPr>
                <w:lang w:val="en-NZ"/>
              </w:rPr>
            </w:pPr>
            <w:r w:rsidRPr="00E12B5B">
              <w:t>Operate electronic communication equipment to required protocol</w:t>
            </w:r>
          </w:p>
        </w:tc>
      </w:tr>
      <w:tr w:rsidTr="009F562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2B5B">
            <w:pPr>
              <w:pStyle w:val="ListBullet"/>
              <w:rPr>
                <w:lang w:val="en-NZ"/>
              </w:rPr>
            </w:pPr>
            <w:r w:rsidRPr="00E12B5B">
              <w:t>Work collaboratively with others when installing overhead wiring structures</w:t>
            </w:r>
          </w:p>
        </w:tc>
      </w:tr>
      <w:tr w:rsidTr="009F562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2B5B">
            <w:pPr>
              <w:pStyle w:val="ListBullet"/>
              <w:rPr>
                <w:lang w:val="en-NZ"/>
              </w:rPr>
            </w:pPr>
            <w:r w:rsidRPr="00E12B5B">
              <w:t>Adapt appropriately to cultur</w:t>
            </w:r>
            <w:r w:rsidRPr="00E12B5B">
              <w:t>al differences in the workplace, including modes of behaviour and interactions with others</w:t>
            </w:r>
          </w:p>
        </w:tc>
      </w:tr>
      <w:tr w:rsidTr="009F562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2B5B">
            <w:pPr>
              <w:pStyle w:val="ListBullet"/>
              <w:rPr>
                <w:lang w:val="en-NZ"/>
              </w:rPr>
            </w:pPr>
            <w:r w:rsidRPr="00E12B5B">
              <w:t>Promptly report and/or rectify any identified problems, faults or malfunctions that may occur when installing overhead wiring structures in accordance with regulat</w:t>
            </w:r>
            <w:r w:rsidRPr="00E12B5B">
              <w:t>ory requirements and workplace procedures</w:t>
            </w:r>
          </w:p>
        </w:tc>
      </w:tr>
      <w:tr w:rsidTr="009F562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2B5B">
            <w:pPr>
              <w:pStyle w:val="ListBullet"/>
              <w:rPr>
                <w:lang w:val="en-NZ"/>
              </w:rPr>
            </w:pPr>
            <w:r w:rsidRPr="00E12B5B">
              <w:t>Plan own work including predicting consequences and identifying improvements</w:t>
            </w:r>
          </w:p>
        </w:tc>
      </w:tr>
      <w:tr w:rsidTr="009F562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2B5B">
            <w:pPr>
              <w:pStyle w:val="ListBullet"/>
              <w:rPr>
                <w:lang w:val="en-NZ"/>
              </w:rPr>
            </w:pPr>
            <w:r w:rsidRPr="00E12B5B">
              <w:t>Monitor work activities in terms of planned schedule</w:t>
            </w:r>
          </w:p>
        </w:tc>
      </w:tr>
      <w:tr w:rsidTr="009F562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2B5B">
            <w:pPr>
              <w:pStyle w:val="ListBullet"/>
              <w:rPr>
                <w:lang w:val="en-NZ"/>
              </w:rPr>
            </w:pPr>
            <w:r w:rsidRPr="00E12B5B">
              <w:t>Apply required surveying and measuring techniques</w:t>
            </w:r>
          </w:p>
        </w:tc>
      </w:tr>
      <w:tr w:rsidTr="009F562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2B5B">
            <w:pPr>
              <w:pStyle w:val="ListBullet"/>
              <w:rPr>
                <w:lang w:val="en-NZ"/>
              </w:rPr>
            </w:pPr>
            <w:r w:rsidRPr="00E12B5B">
              <w:t>Conduct compaction testing</w:t>
            </w:r>
          </w:p>
        </w:tc>
      </w:tr>
      <w:tr w:rsidTr="009F562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2B5B">
            <w:pPr>
              <w:pStyle w:val="ListBullet"/>
              <w:rPr>
                <w:lang w:val="en-NZ"/>
              </w:rPr>
            </w:pPr>
            <w:r w:rsidRPr="00E12B5B">
              <w:t>Use levelling equipment</w:t>
            </w:r>
          </w:p>
        </w:tc>
      </w:tr>
      <w:tr w:rsidTr="009F562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2B5B">
            <w:pPr>
              <w:pStyle w:val="ListBullet"/>
              <w:rPr>
                <w:lang w:val="en-NZ"/>
              </w:rPr>
            </w:pPr>
            <w:r w:rsidRPr="00E12B5B">
              <w:t>Check compliance between work and job specifications</w:t>
            </w:r>
          </w:p>
        </w:tc>
      </w:tr>
      <w:tr w:rsidTr="009F562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2B5B">
            <w:pPr>
              <w:pStyle w:val="ListBullet"/>
              <w:rPr>
                <w:lang w:val="en-NZ"/>
              </w:rPr>
            </w:pPr>
            <w:r w:rsidRPr="00E12B5B">
              <w:t>Modify activities depending on differing operational contingencies, risk situations and environments</w:t>
            </w:r>
          </w:p>
        </w:tc>
      </w:tr>
      <w:tr w:rsidTr="009F562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2B5B">
            <w:pPr>
              <w:pStyle w:val="ListBullet"/>
              <w:rPr>
                <w:lang w:val="en-NZ"/>
              </w:rPr>
            </w:pPr>
            <w:r w:rsidRPr="00E12B5B">
              <w:t xml:space="preserve">Work systematically with required attention to detail without injury </w:t>
            </w:r>
            <w:r w:rsidRPr="00E12B5B">
              <w:t>to self or others, or damage to equipment</w:t>
            </w:r>
          </w:p>
        </w:tc>
      </w:tr>
      <w:tr w:rsidTr="009F562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12B5B">
            <w:pPr>
              <w:pStyle w:val="ListBullet"/>
              <w:rPr>
                <w:lang w:val="en-NZ"/>
              </w:rPr>
            </w:pPr>
            <w:r w:rsidRPr="00E12B5B">
              <w:t>Select and use required personal protective equipment</w:t>
            </w:r>
          </w:p>
        </w:tc>
      </w:tr>
      <w:tr w:rsidTr="009F562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E12B5B" w:rsidP="00E12B5B">
            <w:pPr>
              <w:pStyle w:val="ListBullet"/>
            </w:pPr>
            <w:r w:rsidRPr="00E12B5B">
              <w:t>Select and use relevant equipment and tools</w:t>
            </w:r>
          </w:p>
        </w:tc>
      </w:tr>
    </w:tbl>
    <w:p w:rsidR="009F562B" w:rsidP="00E12B5B">
      <w:pPr>
        <w:pStyle w:val="BodyText"/>
      </w:pPr>
    </w:p>
    <w:p w:rsidR="009F562B" w:rsidP="00E12B5B">
      <w:pPr>
        <w:pStyle w:val="BodyText"/>
      </w:pPr>
    </w:p>
    <w:p w:rsidR="00000000" w:rsidRPr="00E12B5B" w:rsidP="00E12B5B">
      <w:pPr>
        <w:pStyle w:val="Heading1"/>
      </w:pPr>
      <w:bookmarkStart w:id="10" w:name="O_247023"/>
      <w:bookmarkEnd w:id="10"/>
      <w:r w:rsidRPr="00E12B5B">
        <w:t>Evidence Guide</w:t>
      </w:r>
    </w:p>
    <w:tbl>
      <w:tblPr>
        <w:tblW w:w="9499" w:type="dxa"/>
        <w:tblLayout w:type="fixed"/>
        <w:tblCellMar>
          <w:left w:w="62" w:type="dxa"/>
          <w:right w:w="62" w:type="dxa"/>
        </w:tblCellMar>
        <w:tblLook w:val="0000"/>
      </w:tblPr>
      <w:tblGrid>
        <w:gridCol w:w="3524"/>
        <w:gridCol w:w="5975"/>
      </w:tblGrid>
      <w:tr w:rsidTr="009F562B">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E12B5B">
            <w:pPr>
              <w:pStyle w:val="BodyText"/>
              <w:rPr>
                <w:lang w:val="en-NZ"/>
              </w:rPr>
            </w:pPr>
            <w:r w:rsidRPr="00E12B5B">
              <w:rPr>
                <w:rStyle w:val="SpecialBold"/>
              </w:rPr>
              <w:t>EVIDENCE GUIDE</w:t>
            </w:r>
          </w:p>
        </w:tc>
      </w:tr>
      <w:tr w:rsidTr="009F562B">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E12B5B">
            <w:pPr>
              <w:pStyle w:val="BodyText"/>
              <w:rPr>
                <w:lang w:val="en-NZ"/>
              </w:rPr>
            </w:pPr>
            <w:r w:rsidRPr="00E12B5B">
              <w:t>The evidence guide provides advice on assessment and must be read in conjunction with the performance criteria, required knowledge and skills, the range statement and the assessment guidelines for this Training Package.</w:t>
            </w:r>
          </w:p>
        </w:tc>
      </w:tr>
      <w:tr w:rsidTr="009F562B">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12B5B">
            <w:pPr>
              <w:pStyle w:val="BodyText"/>
              <w:rPr>
                <w:lang w:val="en-NZ"/>
              </w:rPr>
            </w:pPr>
            <w:r w:rsidRPr="00E12B5B">
              <w:rPr>
                <w:rStyle w:val="SpecialBold"/>
              </w:rPr>
              <w:t>Critical aspects for assessment an</w:t>
            </w:r>
            <w:r w:rsidRPr="00E12B5B">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E12B5B" w:rsidP="00E12B5B">
            <w:pPr>
              <w:pStyle w:val="ListBullet"/>
            </w:pPr>
            <w:r w:rsidRPr="00E12B5B">
              <w:t>The evidence required to demonstrate competency in this unit must be relevant to and satisfy all of the requirements of the elements and performance criteria of this unit and include demonstration</w:t>
            </w:r>
            <w:r w:rsidRPr="00E12B5B">
              <w:t xml:space="preserve"> of applying:</w:t>
            </w:r>
          </w:p>
          <w:p w:rsidR="00000000" w:rsidRPr="00E12B5B" w:rsidP="00E12B5B">
            <w:pPr>
              <w:pStyle w:val="ListBullet2"/>
            </w:pPr>
            <w:r w:rsidRPr="00E12B5B">
              <w:t>the underpinning knowledge and skills</w:t>
            </w:r>
          </w:p>
          <w:p w:rsidR="00000000" w:rsidRPr="00E12B5B" w:rsidP="00E12B5B">
            <w:pPr>
              <w:pStyle w:val="ListBullet2"/>
            </w:pPr>
            <w:r w:rsidRPr="00E12B5B">
              <w:t>relevant legislation and workplace procedures</w:t>
            </w:r>
          </w:p>
          <w:p w:rsidR="00000000" w:rsidP="00E12B5B">
            <w:pPr>
              <w:pStyle w:val="ListBullet2"/>
              <w:rPr>
                <w:lang w:val="en-NZ"/>
              </w:rPr>
            </w:pPr>
            <w:r w:rsidRPr="00E12B5B">
              <w:t>other relevant aspects of the range statement</w:t>
            </w:r>
          </w:p>
        </w:tc>
      </w:tr>
      <w:tr w:rsidTr="009F562B">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12B5B">
            <w:pPr>
              <w:pStyle w:val="BodyText"/>
              <w:rPr>
                <w:lang w:val="en-NZ"/>
              </w:rPr>
            </w:pPr>
            <w:r w:rsidRPr="00E12B5B">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E12B5B" w:rsidP="00E12B5B">
            <w:pPr>
              <w:pStyle w:val="ListBullet"/>
            </w:pPr>
            <w:r w:rsidRPr="00E12B5B">
              <w:t>Performance is demonstrated consistently over a period of time and in a suitable range of contexts</w:t>
            </w:r>
          </w:p>
          <w:p w:rsidR="00000000" w:rsidRPr="00E12B5B" w:rsidP="00E12B5B">
            <w:pPr>
              <w:pStyle w:val="ListBullet"/>
            </w:pPr>
            <w:r w:rsidRPr="00E12B5B">
              <w:t>Resources for assessment include:</w:t>
            </w:r>
          </w:p>
          <w:p w:rsidR="00000000" w:rsidRPr="00E12B5B" w:rsidP="00E12B5B">
            <w:pPr>
              <w:pStyle w:val="ListBullet2"/>
            </w:pPr>
            <w:r w:rsidRPr="00E12B5B">
              <w:t>a range of relevant exercises, case studies and/or other simulated practical and knowledge assessment, and/or</w:t>
            </w:r>
          </w:p>
          <w:p w:rsidR="00000000" w:rsidRPr="00E12B5B" w:rsidP="00E12B5B">
            <w:pPr>
              <w:pStyle w:val="ListBullet2"/>
            </w:pPr>
            <w:r w:rsidRPr="00E12B5B">
              <w:t>access to an appropriate range of relevant operational situations in the workplace</w:t>
            </w:r>
          </w:p>
          <w:p w:rsidR="00000000" w:rsidRPr="00E12B5B" w:rsidP="00E12B5B">
            <w:pPr>
              <w:pStyle w:val="ListBullet"/>
            </w:pPr>
            <w:r w:rsidRPr="00E12B5B">
              <w:t>In both real and simulated environments, access is required to:</w:t>
            </w:r>
          </w:p>
          <w:p w:rsidR="00000000" w:rsidRPr="00E12B5B" w:rsidP="00E12B5B">
            <w:pPr>
              <w:pStyle w:val="ListBullet2"/>
            </w:pPr>
            <w:r w:rsidRPr="00E12B5B">
              <w:t>relevant and appropriate materials and equipment, and</w:t>
            </w:r>
          </w:p>
          <w:p w:rsidR="00000000" w:rsidP="00E12B5B">
            <w:pPr>
              <w:pStyle w:val="ListBullet2"/>
              <w:rPr>
                <w:lang w:val="en-NZ"/>
              </w:rPr>
            </w:pPr>
            <w:r w:rsidRPr="00E12B5B">
              <w:t>applicable documentation including workplace procedur</w:t>
            </w:r>
            <w:r w:rsidRPr="00E12B5B">
              <w:t>es, regulations, codes of practice and operation manuals</w:t>
            </w:r>
          </w:p>
        </w:tc>
      </w:tr>
      <w:tr w:rsidTr="009F562B">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12B5B">
            <w:pPr>
              <w:pStyle w:val="BodyText"/>
              <w:rPr>
                <w:lang w:val="en-NZ"/>
              </w:rPr>
            </w:pPr>
            <w:r w:rsidRPr="00E12B5B">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E12B5B" w:rsidP="00E12B5B">
            <w:pPr>
              <w:pStyle w:val="ListBullet"/>
            </w:pPr>
            <w:r w:rsidRPr="00E12B5B">
              <w:t>Assessment of this unit must be undertaken by a registered training organisation</w:t>
            </w:r>
          </w:p>
          <w:p w:rsidR="00000000" w:rsidRPr="00E12B5B" w:rsidP="00E12B5B">
            <w:pPr>
              <w:pStyle w:val="ListBullet"/>
            </w:pPr>
            <w:r w:rsidRPr="00E12B5B">
              <w:t>As a minimum, assessment of knowledge must be conducted through appropriate written/oral tests</w:t>
            </w:r>
          </w:p>
          <w:p w:rsidR="00000000" w:rsidRPr="00E12B5B" w:rsidP="00E12B5B">
            <w:pPr>
              <w:pStyle w:val="ListBullet"/>
            </w:pPr>
            <w:r w:rsidRPr="00E12B5B">
              <w:t>Practical assessment must occur:</w:t>
            </w:r>
          </w:p>
          <w:p w:rsidR="00000000" w:rsidRPr="00E12B5B" w:rsidP="00E12B5B">
            <w:pPr>
              <w:pStyle w:val="ListBullet2"/>
            </w:pPr>
            <w:r w:rsidRPr="00E12B5B">
              <w:t>through activities in an appropriately simulated environment at the registered training organisation, and/or</w:t>
            </w:r>
          </w:p>
          <w:p w:rsidR="00000000" w:rsidRPr="00E12B5B" w:rsidP="00E12B5B">
            <w:pPr>
              <w:pStyle w:val="ListBullet2"/>
            </w:pPr>
            <w:r w:rsidRPr="00E12B5B">
              <w:t>in an appropriate range of situations in the workplace</w:t>
            </w:r>
          </w:p>
        </w:tc>
      </w:tr>
    </w:tbl>
    <w:p w:rsidR="009F562B" w:rsidP="00E12B5B">
      <w:pPr>
        <w:pStyle w:val="BodyText"/>
      </w:pPr>
    </w:p>
    <w:p w:rsidR="009F562B" w:rsidP="00E12B5B">
      <w:pPr>
        <w:pStyle w:val="BodyText"/>
      </w:pPr>
    </w:p>
    <w:p w:rsidR="00000000" w:rsidRPr="00E12B5B" w:rsidP="00E12B5B">
      <w:pPr>
        <w:pStyle w:val="Heading1"/>
      </w:pPr>
      <w:bookmarkStart w:id="11" w:name="O_255006"/>
      <w:bookmarkEnd w:id="11"/>
      <w:r w:rsidRPr="00E12B5B">
        <w:t>Range Statement</w:t>
      </w:r>
    </w:p>
    <w:tbl>
      <w:tblPr>
        <w:tblW w:w="9640" w:type="dxa"/>
        <w:tblLayout w:type="fixed"/>
        <w:tblCellMar>
          <w:left w:w="62" w:type="dxa"/>
          <w:right w:w="62" w:type="dxa"/>
        </w:tblCellMar>
        <w:tblLook w:val="0000"/>
      </w:tblPr>
      <w:tblGrid>
        <w:gridCol w:w="3486"/>
        <w:gridCol w:w="6154"/>
      </w:tblGrid>
      <w:tr w:rsidTr="009F562B">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E12B5B">
            <w:pPr>
              <w:pStyle w:val="BodyText"/>
              <w:rPr>
                <w:lang w:val="en-NZ"/>
              </w:rPr>
            </w:pPr>
            <w:r w:rsidRPr="00E12B5B">
              <w:rPr>
                <w:rStyle w:val="SpecialBold"/>
              </w:rPr>
              <w:t>RANGE STATEMENT</w:t>
            </w:r>
            <w:r w:rsidRPr="00E12B5B">
              <w:t xml:space="preserve"> </w:t>
            </w:r>
          </w:p>
        </w:tc>
      </w:tr>
      <w:tr w:rsidTr="009F562B">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E12B5B">
            <w:pPr>
              <w:pStyle w:val="BodyText"/>
              <w:rPr>
                <w:lang w:val="en-NZ"/>
              </w:rPr>
            </w:pPr>
            <w:r w:rsidRPr="00E12B5B">
              <w:t>The range statement relates to the unit of competency as a whole. It allows for different work environments and situations that may affect performance.</w:t>
            </w:r>
          </w:p>
        </w:tc>
      </w:tr>
      <w:tr w:rsidTr="009F562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12B5B">
            <w:pPr>
              <w:pStyle w:val="BodyText"/>
              <w:rPr>
                <w:lang w:val="en-NZ"/>
              </w:rPr>
            </w:pPr>
            <w:r w:rsidRPr="00E12B5B">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E12B5B" w:rsidP="00E12B5B">
            <w:pPr>
              <w:pStyle w:val="ListBullet"/>
            </w:pPr>
            <w:r w:rsidRPr="00E12B5B">
              <w:t>by day or night</w:t>
            </w:r>
          </w:p>
          <w:p w:rsidR="00000000" w:rsidP="00E12B5B">
            <w:pPr>
              <w:pStyle w:val="ListBullet"/>
              <w:rPr>
                <w:lang w:val="en-NZ"/>
              </w:rPr>
            </w:pPr>
            <w:r w:rsidRPr="00E12B5B">
              <w:t>in all possible weather conditions</w:t>
            </w:r>
          </w:p>
        </w:tc>
      </w:tr>
      <w:tr w:rsidTr="009F562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12B5B">
            <w:pPr>
              <w:pStyle w:val="BodyText"/>
              <w:rPr>
                <w:lang w:val="en-NZ"/>
              </w:rPr>
            </w:pPr>
            <w:r w:rsidRPr="00E12B5B">
              <w:t>Work may be conducted in:</w:t>
            </w:r>
          </w:p>
        </w:tc>
        <w:tc>
          <w:tcPr>
            <w:tcW w:w="6154" w:type="dxa"/>
            <w:tcBorders>
              <w:top w:val="nil"/>
              <w:left w:val="nil"/>
              <w:bottom w:val="nil"/>
              <w:right w:val="nil"/>
            </w:tcBorders>
            <w:tcMar>
              <w:top w:w="0" w:type="dxa"/>
              <w:left w:w="62" w:type="dxa"/>
              <w:bottom w:w="0" w:type="dxa"/>
              <w:right w:w="62" w:type="dxa"/>
            </w:tcMar>
          </w:tcPr>
          <w:p w:rsidR="00000000" w:rsidRPr="00E12B5B" w:rsidP="00E12B5B">
            <w:pPr>
              <w:pStyle w:val="ListBullet"/>
            </w:pPr>
            <w:r w:rsidRPr="00E12B5B">
              <w:t>restricted spaces</w:t>
            </w:r>
          </w:p>
          <w:p w:rsidR="00000000" w:rsidRPr="00E12B5B" w:rsidP="00E12B5B">
            <w:pPr>
              <w:pStyle w:val="ListBullet"/>
            </w:pPr>
            <w:r w:rsidRPr="00E12B5B">
              <w:t>exposed conditions</w:t>
            </w:r>
          </w:p>
          <w:p w:rsidR="00000000" w:rsidP="00E12B5B">
            <w:pPr>
              <w:pStyle w:val="ListBullet"/>
              <w:rPr>
                <w:lang w:val="en-NZ"/>
              </w:rPr>
            </w:pPr>
            <w:r w:rsidRPr="00E12B5B">
              <w:t>controlled or open environments</w:t>
            </w:r>
          </w:p>
        </w:tc>
      </w:tr>
      <w:tr w:rsidTr="009F562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12B5B">
            <w:pPr>
              <w:pStyle w:val="BodyText"/>
              <w:rPr>
                <w:lang w:val="en-NZ"/>
              </w:rPr>
            </w:pPr>
            <w:r w:rsidRPr="00E12B5B">
              <w:t>Work may involve:</w:t>
            </w:r>
          </w:p>
        </w:tc>
        <w:tc>
          <w:tcPr>
            <w:tcW w:w="6154" w:type="dxa"/>
            <w:tcBorders>
              <w:top w:val="nil"/>
              <w:left w:val="nil"/>
              <w:bottom w:val="nil"/>
              <w:right w:val="nil"/>
            </w:tcBorders>
            <w:tcMar>
              <w:top w:w="0" w:type="dxa"/>
              <w:left w:w="62" w:type="dxa"/>
              <w:bottom w:w="0" w:type="dxa"/>
              <w:right w:w="62" w:type="dxa"/>
            </w:tcMar>
          </w:tcPr>
          <w:p w:rsidR="00000000" w:rsidRPr="00E12B5B" w:rsidP="00E12B5B">
            <w:pPr>
              <w:pStyle w:val="ListBullet"/>
            </w:pPr>
            <w:r w:rsidRPr="00E12B5B">
              <w:t>exposure to chemicals, and dangerous or hazardous substances</w:t>
            </w:r>
          </w:p>
          <w:p w:rsidR="00000000" w:rsidP="00E12B5B">
            <w:pPr>
              <w:pStyle w:val="ListBullet"/>
              <w:rPr>
                <w:lang w:val="en-NZ"/>
              </w:rPr>
            </w:pPr>
            <w:r w:rsidRPr="00E12B5B">
              <w:t>movements of equipment, goods and vehicles</w:t>
            </w:r>
          </w:p>
        </w:tc>
      </w:tr>
      <w:tr w:rsidTr="009F562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12B5B">
            <w:pPr>
              <w:pStyle w:val="BodyText"/>
              <w:rPr>
                <w:lang w:val="en-NZ"/>
              </w:rPr>
            </w:pPr>
            <w:r w:rsidRPr="00E12B5B">
              <w:t>Equipment may include:</w:t>
            </w:r>
          </w:p>
        </w:tc>
        <w:tc>
          <w:tcPr>
            <w:tcW w:w="6154" w:type="dxa"/>
            <w:tcBorders>
              <w:top w:val="nil"/>
              <w:left w:val="nil"/>
              <w:bottom w:val="nil"/>
              <w:right w:val="nil"/>
            </w:tcBorders>
            <w:tcMar>
              <w:top w:w="0" w:type="dxa"/>
              <w:left w:w="62" w:type="dxa"/>
              <w:bottom w:w="0" w:type="dxa"/>
              <w:right w:w="62" w:type="dxa"/>
            </w:tcMar>
          </w:tcPr>
          <w:p w:rsidR="00000000" w:rsidRPr="00E12B5B" w:rsidP="00E12B5B">
            <w:pPr>
              <w:pStyle w:val="ListBullet"/>
            </w:pPr>
            <w:r w:rsidRPr="00E12B5B">
              <w:t>graders, front end loaders, back hoes, cranes</w:t>
            </w:r>
          </w:p>
          <w:p w:rsidR="00000000" w:rsidRPr="00E12B5B" w:rsidP="00E12B5B">
            <w:pPr>
              <w:pStyle w:val="ListBullet"/>
            </w:pPr>
            <w:r w:rsidRPr="00E12B5B">
              <w:t>manual tools</w:t>
            </w:r>
          </w:p>
          <w:p w:rsidR="00000000" w:rsidRPr="00E12B5B" w:rsidP="00E12B5B">
            <w:pPr>
              <w:pStyle w:val="ListBullet"/>
            </w:pPr>
            <w:r w:rsidRPr="00E12B5B">
              <w:t>small power tools</w:t>
            </w:r>
          </w:p>
          <w:p w:rsidR="00000000" w:rsidP="00E12B5B">
            <w:pPr>
              <w:pStyle w:val="ListBullet"/>
              <w:rPr>
                <w:lang w:val="en-NZ"/>
              </w:rPr>
            </w:pPr>
            <w:r w:rsidRPr="00E12B5B">
              <w:t>angler borer and reinforcement cage and base bolts</w:t>
            </w:r>
          </w:p>
        </w:tc>
      </w:tr>
      <w:tr w:rsidTr="009F562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12B5B">
            <w:pPr>
              <w:pStyle w:val="BodyText"/>
              <w:rPr>
                <w:lang w:val="en-NZ"/>
              </w:rPr>
            </w:pPr>
            <w:r w:rsidRPr="00E12B5B">
              <w:t>Communications equipment may include:</w:t>
            </w:r>
          </w:p>
        </w:tc>
        <w:tc>
          <w:tcPr>
            <w:tcW w:w="6154" w:type="dxa"/>
            <w:tcBorders>
              <w:top w:val="nil"/>
              <w:left w:val="nil"/>
              <w:bottom w:val="nil"/>
              <w:right w:val="nil"/>
            </w:tcBorders>
            <w:tcMar>
              <w:top w:w="0" w:type="dxa"/>
              <w:left w:w="62" w:type="dxa"/>
              <w:bottom w:w="0" w:type="dxa"/>
              <w:right w:w="62" w:type="dxa"/>
            </w:tcMar>
          </w:tcPr>
          <w:p w:rsidR="00000000" w:rsidRPr="00E12B5B" w:rsidP="00E12B5B">
            <w:pPr>
              <w:pStyle w:val="ListBullet"/>
            </w:pPr>
            <w:r w:rsidRPr="00E12B5B">
              <w:t>two-way radios, and/or</w:t>
            </w:r>
          </w:p>
          <w:p w:rsidR="00000000" w:rsidP="00E12B5B">
            <w:pPr>
              <w:pStyle w:val="ListBullet"/>
              <w:rPr>
                <w:lang w:val="en-NZ"/>
              </w:rPr>
            </w:pPr>
            <w:r w:rsidRPr="00E12B5B">
              <w:t>telephones</w:t>
            </w:r>
          </w:p>
        </w:tc>
      </w:tr>
      <w:tr w:rsidTr="009F562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12B5B">
            <w:pPr>
              <w:pStyle w:val="BodyText"/>
              <w:rPr>
                <w:lang w:val="en-NZ"/>
              </w:rPr>
            </w:pPr>
            <w:r w:rsidRPr="00E12B5B">
              <w:t>Depending on work context, safety and protective equi</w:t>
            </w:r>
            <w:r w:rsidRPr="00E12B5B">
              <w:t>pment may include:</w:t>
            </w:r>
          </w:p>
        </w:tc>
        <w:tc>
          <w:tcPr>
            <w:tcW w:w="6154" w:type="dxa"/>
            <w:tcBorders>
              <w:top w:val="nil"/>
              <w:left w:val="nil"/>
              <w:bottom w:val="nil"/>
              <w:right w:val="nil"/>
            </w:tcBorders>
            <w:tcMar>
              <w:top w:w="0" w:type="dxa"/>
              <w:left w:w="62" w:type="dxa"/>
              <w:bottom w:w="0" w:type="dxa"/>
              <w:right w:w="62" w:type="dxa"/>
            </w:tcMar>
          </w:tcPr>
          <w:p w:rsidR="00000000" w:rsidRPr="00E12B5B" w:rsidP="00E12B5B">
            <w:pPr>
              <w:pStyle w:val="ListBullet"/>
            </w:pPr>
            <w:r w:rsidRPr="00E12B5B">
              <w:t>high visibility clothing</w:t>
            </w:r>
          </w:p>
          <w:p w:rsidR="00000000" w:rsidRPr="00E12B5B" w:rsidP="00E12B5B">
            <w:pPr>
              <w:pStyle w:val="ListBullet"/>
            </w:pPr>
            <w:r w:rsidRPr="00E12B5B">
              <w:t>hearing protection</w:t>
            </w:r>
          </w:p>
          <w:p w:rsidR="00000000" w:rsidRPr="00E12B5B" w:rsidP="00E12B5B">
            <w:pPr>
              <w:pStyle w:val="ListBullet"/>
            </w:pPr>
            <w:r w:rsidRPr="00E12B5B">
              <w:t>gloves</w:t>
            </w:r>
          </w:p>
          <w:p w:rsidR="00000000" w:rsidRPr="00E12B5B" w:rsidP="00E12B5B">
            <w:pPr>
              <w:pStyle w:val="ListBullet"/>
            </w:pPr>
            <w:r w:rsidRPr="00E12B5B">
              <w:t>sunscreen</w:t>
            </w:r>
          </w:p>
          <w:p w:rsidR="00000000" w:rsidRPr="00E12B5B" w:rsidP="00E12B5B">
            <w:pPr>
              <w:pStyle w:val="ListBullet"/>
            </w:pPr>
            <w:r w:rsidRPr="00E12B5B">
              <w:t>sunglasses</w:t>
            </w:r>
          </w:p>
          <w:p w:rsidR="00000000" w:rsidRPr="00E12B5B" w:rsidP="00E12B5B">
            <w:pPr>
              <w:pStyle w:val="ListBullet"/>
            </w:pPr>
            <w:r w:rsidRPr="00E12B5B">
              <w:t>safety glasses</w:t>
            </w:r>
          </w:p>
          <w:p w:rsidR="00000000" w:rsidRPr="00E12B5B" w:rsidP="00E12B5B">
            <w:pPr>
              <w:pStyle w:val="ListBullet"/>
            </w:pPr>
            <w:r w:rsidRPr="00E12B5B">
              <w:t>insect repellent</w:t>
            </w:r>
          </w:p>
          <w:p w:rsidR="00000000" w:rsidRPr="00E12B5B" w:rsidP="00E12B5B">
            <w:pPr>
              <w:pStyle w:val="ListBullet"/>
            </w:pPr>
            <w:r w:rsidRPr="00E12B5B">
              <w:t>safety headwear</w:t>
            </w:r>
          </w:p>
          <w:p w:rsidR="00000000" w:rsidRPr="00E12B5B" w:rsidP="00E12B5B">
            <w:pPr>
              <w:pStyle w:val="ListBullet"/>
            </w:pPr>
            <w:r w:rsidRPr="00E12B5B">
              <w:t>safety footwear</w:t>
            </w:r>
          </w:p>
          <w:p w:rsidR="00000000" w:rsidRPr="00E12B5B" w:rsidP="00E12B5B">
            <w:pPr>
              <w:pStyle w:val="ListBullet"/>
            </w:pPr>
            <w:r w:rsidRPr="00E12B5B">
              <w:t>portable radios</w:t>
            </w:r>
          </w:p>
          <w:p w:rsidR="00000000" w:rsidRPr="00E12B5B" w:rsidP="00E12B5B">
            <w:pPr>
              <w:pStyle w:val="ListBullet"/>
            </w:pPr>
            <w:r w:rsidRPr="00E12B5B">
              <w:t>hand lamps</w:t>
            </w:r>
          </w:p>
          <w:p w:rsidR="00000000" w:rsidRPr="00E12B5B" w:rsidP="00E12B5B">
            <w:pPr>
              <w:pStyle w:val="ListBullet"/>
            </w:pPr>
            <w:r w:rsidRPr="00E12B5B">
              <w:t>flags</w:t>
            </w:r>
          </w:p>
          <w:p w:rsidR="00000000" w:rsidP="00E12B5B">
            <w:pPr>
              <w:pStyle w:val="ListBullet"/>
              <w:rPr>
                <w:lang w:val="en-NZ"/>
              </w:rPr>
            </w:pPr>
            <w:r w:rsidRPr="00E12B5B">
              <w:t>safety devices</w:t>
            </w:r>
          </w:p>
        </w:tc>
      </w:tr>
      <w:tr w:rsidTr="009F562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12B5B">
            <w:pPr>
              <w:pStyle w:val="BodyText"/>
              <w:rPr>
                <w:lang w:val="en-NZ"/>
              </w:rPr>
            </w:pPr>
            <w:r w:rsidRPr="00E12B5B">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E12B5B" w:rsidP="00E12B5B">
            <w:pPr>
              <w:pStyle w:val="ListBullet"/>
            </w:pPr>
            <w:r w:rsidRPr="00E12B5B">
              <w:t>company procedures</w:t>
            </w:r>
          </w:p>
          <w:p w:rsidR="00000000" w:rsidRPr="00E12B5B" w:rsidP="00E12B5B">
            <w:pPr>
              <w:pStyle w:val="ListBullet"/>
            </w:pPr>
            <w:r w:rsidRPr="00E12B5B">
              <w:t>enterprise procedures</w:t>
            </w:r>
          </w:p>
          <w:p w:rsidR="00000000" w:rsidRPr="00E12B5B" w:rsidP="00E12B5B">
            <w:pPr>
              <w:pStyle w:val="ListBullet"/>
            </w:pPr>
            <w:r w:rsidRPr="00E12B5B">
              <w:t>organisational procedures</w:t>
            </w:r>
          </w:p>
          <w:p w:rsidR="00000000" w:rsidP="00E12B5B">
            <w:pPr>
              <w:pStyle w:val="ListBullet"/>
              <w:rPr>
                <w:lang w:val="en-NZ"/>
              </w:rPr>
            </w:pPr>
            <w:r w:rsidRPr="00E12B5B">
              <w:t>established procedures</w:t>
            </w:r>
          </w:p>
        </w:tc>
      </w:tr>
      <w:tr w:rsidTr="009F562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12B5B">
            <w:pPr>
              <w:pStyle w:val="BodyText"/>
              <w:rPr>
                <w:lang w:val="en-NZ"/>
              </w:rPr>
            </w:pPr>
            <w:r w:rsidRPr="00E12B5B">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E12B5B" w:rsidP="00E12B5B">
            <w:pPr>
              <w:pStyle w:val="ListBullet"/>
            </w:pPr>
            <w:r w:rsidRPr="00E12B5B">
              <w:t>applicable legislated rail safety requirements including acts and regulations from each state and territory together with any nationally approved compliance codes and/or guidelines</w:t>
            </w:r>
          </w:p>
          <w:p w:rsidR="00000000" w:rsidRPr="00E12B5B" w:rsidP="00E12B5B">
            <w:pPr>
              <w:pStyle w:val="ListBullet"/>
            </w:pPr>
            <w:r w:rsidRPr="00E12B5B">
              <w:t>operational instructions, policies and workplace procedures</w:t>
            </w:r>
          </w:p>
          <w:p w:rsidR="00000000" w:rsidRPr="00E12B5B" w:rsidP="00E12B5B">
            <w:pPr>
              <w:pStyle w:val="ListBullet"/>
            </w:pPr>
            <w:r w:rsidRPr="00E12B5B">
              <w:t>relevant logs o</w:t>
            </w:r>
            <w:r w:rsidRPr="00E12B5B">
              <w:t>r record books</w:t>
            </w:r>
          </w:p>
          <w:p w:rsidR="00000000" w:rsidRPr="00E12B5B" w:rsidP="00E12B5B">
            <w:pPr>
              <w:pStyle w:val="ListBullet"/>
            </w:pPr>
            <w:r w:rsidRPr="00E12B5B">
              <w:t>work orders</w:t>
            </w:r>
          </w:p>
          <w:p w:rsidR="00000000" w:rsidRPr="00E12B5B" w:rsidP="00E12B5B">
            <w:pPr>
              <w:pStyle w:val="ListBullet"/>
            </w:pPr>
            <w:r w:rsidRPr="00E12B5B">
              <w:t>technical instructions</w:t>
            </w:r>
          </w:p>
          <w:p w:rsidR="00000000" w:rsidRPr="00E12B5B" w:rsidP="00E12B5B">
            <w:pPr>
              <w:pStyle w:val="ListBullet"/>
            </w:pPr>
            <w:r w:rsidRPr="00E12B5B">
              <w:t>manufacturers or workplace equipment instructions and operation manuals</w:t>
            </w:r>
          </w:p>
          <w:p w:rsidR="00000000" w:rsidRPr="00E12B5B" w:rsidP="00E12B5B">
            <w:pPr>
              <w:pStyle w:val="ListBullet"/>
            </w:pPr>
            <w:r w:rsidRPr="00E12B5B">
              <w:t>emergency procedure manuals</w:t>
            </w:r>
          </w:p>
          <w:p w:rsidR="00000000" w:rsidRPr="00E12B5B" w:rsidP="00E12B5B">
            <w:pPr>
              <w:pStyle w:val="ListBullet"/>
            </w:pPr>
            <w:r w:rsidRPr="00E12B5B">
              <w:t>two-way radio operation procedures</w:t>
            </w:r>
          </w:p>
          <w:p w:rsidR="00000000" w:rsidRPr="00E12B5B" w:rsidP="00E12B5B">
            <w:pPr>
              <w:pStyle w:val="ListBullet"/>
            </w:pPr>
            <w:r w:rsidRPr="00E12B5B">
              <w:t>QA plans, data and document control</w:t>
            </w:r>
          </w:p>
          <w:p w:rsidR="00000000" w:rsidP="00E12B5B">
            <w:pPr>
              <w:pStyle w:val="ListBullet"/>
              <w:rPr>
                <w:lang w:val="en-NZ"/>
              </w:rPr>
            </w:pPr>
            <w:r w:rsidRPr="00E12B5B">
              <w:t>conditions of service, legislation and industrial agreements including workplace agreements and awards</w:t>
            </w:r>
          </w:p>
        </w:tc>
      </w:tr>
      <w:tr w:rsidTr="009F562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12B5B">
            <w:pPr>
              <w:pStyle w:val="BodyText"/>
              <w:rPr>
                <w:lang w:val="en-NZ"/>
              </w:rPr>
            </w:pPr>
            <w:r w:rsidRPr="00E12B5B">
              <w:t>Applicable procedures and codes may include:</w:t>
            </w:r>
          </w:p>
        </w:tc>
        <w:tc>
          <w:tcPr>
            <w:tcW w:w="6154" w:type="dxa"/>
            <w:tcBorders>
              <w:top w:val="nil"/>
              <w:left w:val="nil"/>
              <w:bottom w:val="nil"/>
              <w:right w:val="nil"/>
            </w:tcBorders>
            <w:tcMar>
              <w:top w:w="0" w:type="dxa"/>
              <w:left w:w="62" w:type="dxa"/>
              <w:bottom w:w="0" w:type="dxa"/>
              <w:right w:w="62" w:type="dxa"/>
            </w:tcMar>
          </w:tcPr>
          <w:p w:rsidR="00000000" w:rsidRPr="00E12B5B" w:rsidP="00E12B5B">
            <w:pPr>
              <w:pStyle w:val="ListBullet"/>
            </w:pPr>
            <w:r w:rsidRPr="00E12B5B">
              <w:t>relevant state/territory regulations, codes of practice and safeworking system requirements</w:t>
            </w:r>
          </w:p>
          <w:p w:rsidR="00000000" w:rsidRPr="00E12B5B" w:rsidP="00E12B5B">
            <w:pPr>
              <w:pStyle w:val="ListBullet"/>
            </w:pPr>
            <w:r w:rsidRPr="00E12B5B">
              <w:t>relevant Austr</w:t>
            </w:r>
            <w:r w:rsidRPr="00E12B5B">
              <w:t>alian Standards and related requirements</w:t>
            </w:r>
          </w:p>
          <w:p w:rsidR="00000000" w:rsidRPr="00E12B5B" w:rsidP="00E12B5B">
            <w:pPr>
              <w:pStyle w:val="ListBullet"/>
            </w:pPr>
            <w:r w:rsidRPr="00E12B5B">
              <w:t>relevant state/territory OH&amp;S legislation</w:t>
            </w:r>
          </w:p>
          <w:p w:rsidR="00000000" w:rsidRPr="00E12B5B" w:rsidP="00E12B5B">
            <w:pPr>
              <w:pStyle w:val="ListBullet"/>
            </w:pPr>
            <w:r w:rsidRPr="00E12B5B">
              <w:t>relevant state/territory environmental protection legislation</w:t>
            </w:r>
          </w:p>
        </w:tc>
      </w:tr>
    </w:tbl>
    <w:p w:rsidR="009F562B" w:rsidP="00E12B5B">
      <w:pPr>
        <w:pStyle w:val="BodyText"/>
      </w:pPr>
    </w:p>
    <w:p w:rsidR="009F562B" w:rsidP="00E12B5B">
      <w:pPr>
        <w:pStyle w:val="BodyText"/>
      </w:pPr>
    </w:p>
    <w:p w:rsidR="00000000" w:rsidRPr="00E12B5B" w:rsidP="00E12B5B">
      <w:pPr>
        <w:pStyle w:val="Heading1"/>
      </w:pPr>
      <w:bookmarkStart w:id="12" w:name="O_296019"/>
      <w:bookmarkEnd w:id="12"/>
      <w:r w:rsidRPr="00E12B5B">
        <w:t>Unit Sector(s)</w:t>
      </w:r>
    </w:p>
    <w:p w:rsidR="00000000" w:rsidRPr="00E12B5B" w:rsidP="00E12B5B">
      <w:pPr>
        <w:pStyle w:val="BodyText"/>
      </w:pPr>
      <w:r w:rsidRPr="00E12B5B">
        <w:t>Not Applicable</w:t>
      </w:r>
    </w:p>
    <w:p w:rsidR="00000000" w:rsidRPr="00E12B5B" w:rsidP="00E12B5B">
      <w:pPr>
        <w:pStyle w:val="AllowPageBreak"/>
      </w:pPr>
    </w:p>
    <w:p w:rsidR="00000000" w:rsidRPr="00E12B5B" w:rsidP="00E12B5B">
      <w:pPr>
        <w:pStyle w:val="Heading1"/>
      </w:pPr>
      <w:bookmarkStart w:id="13" w:name="O_224365"/>
      <w:bookmarkEnd w:id="13"/>
      <w:r w:rsidRPr="00E12B5B">
        <w:t>Competency Field</w:t>
      </w:r>
    </w:p>
    <w:tbl>
      <w:tblPr>
        <w:tblW w:w="9640" w:type="dxa"/>
        <w:tblLayout w:type="fixed"/>
        <w:tblCellMar>
          <w:left w:w="62" w:type="dxa"/>
          <w:right w:w="62" w:type="dxa"/>
        </w:tblCellMar>
        <w:tblLook w:val="0000"/>
      </w:tblPr>
      <w:tblGrid>
        <w:gridCol w:w="2978"/>
        <w:gridCol w:w="6662"/>
      </w:tblGrid>
      <w:tr w:rsidTr="009F562B">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E12B5B">
            <w:pPr>
              <w:pStyle w:val="BodyText"/>
              <w:rPr>
                <w:lang w:val="en-NZ"/>
              </w:rPr>
            </w:pPr>
            <w:r w:rsidRPr="00E12B5B">
              <w:rPr>
                <w:rStyle w:val="SpecialBold"/>
              </w:rPr>
              <w:t>Competency Field</w:t>
            </w:r>
            <w:r w:rsidRPr="00E12B5B">
              <w:t xml:space="preserve"> </w:t>
            </w:r>
          </w:p>
        </w:tc>
        <w:tc>
          <w:tcPr>
            <w:tcW w:w="6662" w:type="dxa"/>
            <w:tcBorders>
              <w:top w:val="nil"/>
              <w:left w:val="nil"/>
              <w:bottom w:val="nil"/>
              <w:right w:val="nil"/>
            </w:tcBorders>
            <w:tcMar>
              <w:top w:w="0" w:type="dxa"/>
              <w:left w:w="62" w:type="dxa"/>
              <w:bottom w:w="0" w:type="dxa"/>
              <w:right w:w="62" w:type="dxa"/>
            </w:tcMar>
          </w:tcPr>
          <w:p w:rsidR="00000000" w:rsidRPr="00E12B5B" w:rsidP="00E12B5B">
            <w:pPr>
              <w:pStyle w:val="BodyText"/>
            </w:pPr>
            <w:r w:rsidRPr="00E12B5B">
              <w:t>S - Construction and Installation</w:t>
            </w:r>
          </w:p>
        </w:tc>
      </w:tr>
    </w:tbl>
    <w:p w:rsidR="009F562B" w:rsidP="00E12B5B">
      <w:pPr>
        <w:pStyle w:val="BodyText"/>
      </w:pPr>
    </w:p>
    <w:p w:rsidR="009F562B" w:rsidP="00E12B5B">
      <w:pPr>
        <w:pStyle w:val="BodyText"/>
      </w:pPr>
    </w:p>
    <w:p w:rsidR="00000000" w:rsidRPr="00E12B5B" w:rsidP="00E12B5B"/>
    <w:sectPr w:rsidSect="00E12B5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B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562B" w:rsidP="009F56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B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62B" w:rsidP="00E12B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F562B" w:rsidP="00E12B5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9F562B" w:rsidP="00E12B5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B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562B" w:rsidP="009F562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B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62B" w:rsidP="00E12B5B">
    <w:pPr>
      <w:pStyle w:val="Header"/>
      <w:framePr w:wrap="around"/>
    </w:pPr>
    <w:r>
      <w:fldChar w:fldCharType="begin"/>
    </w:r>
    <w:r>
      <w:instrText xml:space="preserve"> TITLE   \* MERGEFORMAT </w:instrText>
    </w:r>
    <w:r>
      <w:fldChar w:fldCharType="separate"/>
    </w:r>
    <w:r>
      <w:t>TLIS2020A Install overhead wiring structure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F562B" w:rsidP="00E12B5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D4E3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A2E6B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BC38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2B5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12B5B"/>
    <w:pPr>
      <w:spacing w:before="360" w:after="60"/>
      <w:outlineLvl w:val="0"/>
    </w:pPr>
    <w:rPr>
      <w:sz w:val="32"/>
    </w:rPr>
  </w:style>
  <w:style w:type="paragraph" w:styleId="Heading2">
    <w:name w:val="heading 2"/>
    <w:basedOn w:val="HeadingBase"/>
    <w:next w:val="BodyText"/>
    <w:link w:val="Heading2Char"/>
    <w:qFormat/>
    <w:rsid w:val="00E12B5B"/>
    <w:pPr>
      <w:keepLines/>
      <w:spacing w:before="240" w:after="120"/>
      <w:outlineLvl w:val="1"/>
    </w:pPr>
    <w:rPr>
      <w:sz w:val="28"/>
      <w:szCs w:val="40"/>
    </w:rPr>
  </w:style>
  <w:style w:type="paragraph" w:styleId="Heading3">
    <w:name w:val="heading 3"/>
    <w:basedOn w:val="HeadingBase"/>
    <w:next w:val="BodyText"/>
    <w:link w:val="Heading3Char"/>
    <w:qFormat/>
    <w:rsid w:val="00E12B5B"/>
    <w:pPr>
      <w:spacing w:before="180" w:after="120"/>
      <w:outlineLvl w:val="2"/>
    </w:pPr>
    <w:rPr>
      <w:spacing w:val="-10"/>
      <w:kern w:val="32"/>
    </w:rPr>
  </w:style>
  <w:style w:type="paragraph" w:styleId="Heading4">
    <w:name w:val="heading 4"/>
    <w:basedOn w:val="HeadingBase"/>
    <w:next w:val="BodyText"/>
    <w:link w:val="Heading4Char"/>
    <w:qFormat/>
    <w:rsid w:val="00E12B5B"/>
    <w:pPr>
      <w:spacing w:before="160" w:after="120"/>
      <w:outlineLvl w:val="3"/>
    </w:pPr>
    <w:rPr>
      <w:sz w:val="22"/>
    </w:rPr>
  </w:style>
  <w:style w:type="paragraph" w:styleId="Heading5">
    <w:name w:val="heading 5"/>
    <w:basedOn w:val="HeadingBase"/>
    <w:next w:val="Normal"/>
    <w:link w:val="Heading5Char"/>
    <w:qFormat/>
    <w:rsid w:val="00E12B5B"/>
    <w:pPr>
      <w:spacing w:before="80"/>
      <w:outlineLvl w:val="4"/>
    </w:pPr>
    <w:rPr>
      <w:color w:val="918585"/>
      <w:sz w:val="20"/>
    </w:rPr>
  </w:style>
  <w:style w:type="paragraph" w:styleId="Heading6">
    <w:name w:val="heading 6"/>
    <w:basedOn w:val="HeadingBase"/>
    <w:next w:val="Normal"/>
    <w:link w:val="Heading6Char"/>
    <w:qFormat/>
    <w:rsid w:val="00E12B5B"/>
    <w:pPr>
      <w:spacing w:before="60"/>
      <w:outlineLvl w:val="5"/>
    </w:pPr>
    <w:rPr>
      <w:color w:val="918585"/>
      <w:sz w:val="20"/>
    </w:rPr>
  </w:style>
  <w:style w:type="paragraph" w:styleId="Heading7">
    <w:name w:val="heading 7"/>
    <w:basedOn w:val="Normal"/>
    <w:next w:val="Normal"/>
    <w:link w:val="Heading7Char"/>
    <w:qFormat/>
    <w:rsid w:val="00E12B5B"/>
    <w:pPr>
      <w:ind w:left="720"/>
      <w:outlineLvl w:val="6"/>
    </w:pPr>
    <w:rPr>
      <w:i/>
    </w:rPr>
  </w:style>
  <w:style w:type="paragraph" w:styleId="Heading8">
    <w:name w:val="heading 8"/>
    <w:basedOn w:val="Normal"/>
    <w:next w:val="Normal"/>
    <w:link w:val="Heading8Char"/>
    <w:qFormat/>
    <w:rsid w:val="00E12B5B"/>
    <w:pPr>
      <w:ind w:left="720"/>
      <w:outlineLvl w:val="7"/>
    </w:pPr>
    <w:rPr>
      <w:i/>
    </w:rPr>
  </w:style>
  <w:style w:type="paragraph" w:styleId="Heading9">
    <w:name w:val="heading 9"/>
    <w:basedOn w:val="Normal"/>
    <w:next w:val="Normal"/>
    <w:link w:val="Heading9Char"/>
    <w:qFormat/>
    <w:rsid w:val="00E12B5B"/>
    <w:pPr>
      <w:ind w:left="720"/>
      <w:outlineLvl w:val="8"/>
    </w:pPr>
    <w:rPr>
      <w:i/>
    </w:rPr>
  </w:style>
  <w:style w:type="character" w:default="1" w:styleId="DefaultParagraphFont">
    <w:name w:val="Default Paragraph Font"/>
    <w:uiPriority w:val="1"/>
    <w:unhideWhenUsed/>
    <w:rsid w:val="00E12B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2B5B"/>
  </w:style>
  <w:style w:type="character" w:customStyle="1" w:styleId="Heading1Char">
    <w:name w:val="Heading 1 Char"/>
    <w:basedOn w:val="DefaultParagraphFont"/>
    <w:link w:val="Heading1"/>
    <w:rsid w:val="00E12B5B"/>
    <w:rPr>
      <w:rFonts w:ascii="Times New Roman" w:eastAsia="Times New Roman" w:hAnsi="Times New Roman" w:cs="Times New Roman"/>
      <w:b/>
      <w:sz w:val="32"/>
      <w:szCs w:val="20"/>
      <w:lang w:eastAsia="en-US"/>
    </w:rPr>
  </w:style>
  <w:style w:type="paragraph" w:styleId="BodyText">
    <w:name w:val="Body Text"/>
    <w:basedOn w:val="Normal"/>
    <w:link w:val="BodyTextChar"/>
    <w:rsid w:val="00E12B5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12B5B"/>
    <w:rPr>
      <w:rFonts w:ascii="Times New Roman" w:eastAsia="Times New Roman" w:hAnsi="Times New Roman" w:cs="Times New Roman"/>
      <w:sz w:val="24"/>
      <w:lang w:val="en-US" w:eastAsia="en-US"/>
    </w:rPr>
  </w:style>
  <w:style w:type="paragraph" w:styleId="Footer">
    <w:name w:val="footer"/>
    <w:basedOn w:val="Normal"/>
    <w:link w:val="FooterChar"/>
    <w:rsid w:val="00E12B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2B5B"/>
    <w:rPr>
      <w:rFonts w:ascii="Times New Roman" w:eastAsia="Times New Roman" w:hAnsi="Times New Roman" w:cs="Times New Roman"/>
      <w:sz w:val="16"/>
      <w:lang w:val="en-US" w:eastAsia="en-US"/>
    </w:rPr>
  </w:style>
  <w:style w:type="paragraph" w:styleId="List">
    <w:name w:val="List"/>
    <w:basedOn w:val="BodyText"/>
    <w:next w:val="BodyText"/>
    <w:rsid w:val="00E12B5B"/>
    <w:pPr>
      <w:tabs>
        <w:tab w:val="left" w:pos="340"/>
      </w:tabs>
      <w:spacing w:before="60" w:after="60"/>
      <w:ind w:left="340" w:hanging="340"/>
    </w:pPr>
  </w:style>
  <w:style w:type="paragraph" w:styleId="ListBullet">
    <w:name w:val="List Bullet"/>
    <w:basedOn w:val="List"/>
    <w:rsid w:val="00E12B5B"/>
    <w:pPr>
      <w:numPr>
        <w:numId w:val="13"/>
      </w:numPr>
      <w:tabs>
        <w:tab w:val="clear" w:pos="340"/>
      </w:tabs>
      <w:spacing w:before="40" w:after="40"/>
    </w:pPr>
  </w:style>
  <w:style w:type="character" w:customStyle="1" w:styleId="SpecialBold">
    <w:name w:val="Special Bold"/>
    <w:basedOn w:val="DefaultParagraphFont"/>
    <w:rsid w:val="00E12B5B"/>
    <w:rPr>
      <w:b/>
      <w:spacing w:val="0"/>
    </w:rPr>
  </w:style>
  <w:style w:type="paragraph" w:styleId="ListBullet2">
    <w:name w:val="List Bullet 2"/>
    <w:basedOn w:val="List2"/>
    <w:rsid w:val="00E12B5B"/>
    <w:pPr>
      <w:numPr>
        <w:numId w:val="14"/>
      </w:numPr>
      <w:tabs>
        <w:tab w:val="clear" w:pos="680"/>
      </w:tabs>
    </w:pPr>
  </w:style>
  <w:style w:type="paragraph" w:styleId="Header">
    <w:name w:val="header"/>
    <w:basedOn w:val="Normal"/>
    <w:link w:val="HeaderChar"/>
    <w:rsid w:val="00E12B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2B5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12B5B"/>
    <w:pPr>
      <w:spacing w:before="240" w:after="120"/>
      <w:outlineLvl w:val="0"/>
    </w:pPr>
    <w:rPr>
      <w:rFonts w:ascii="Times New Roman" w:hAnsi="Times New Roman"/>
      <w:b/>
      <w:sz w:val="28"/>
    </w:rPr>
  </w:style>
  <w:style w:type="paragraph" w:customStyle="1" w:styleId="AllowPageBreak">
    <w:name w:val="AllowPageBreak"/>
    <w:rsid w:val="00E12B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12B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2B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2B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2B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2B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2B5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12B5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12B5B"/>
    <w:rPr>
      <w:rFonts w:ascii="Courier New" w:eastAsia="Times New Roman" w:hAnsi="Courier New" w:cs="Times New Roman"/>
      <w:i/>
      <w:szCs w:val="20"/>
      <w:lang w:val="en-US" w:eastAsia="en-US"/>
    </w:rPr>
  </w:style>
  <w:style w:type="paragraph" w:customStyle="1" w:styleId="HeadingBase">
    <w:name w:val="Heading Base"/>
    <w:rsid w:val="00E12B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2B5B"/>
    <w:pPr>
      <w:tabs>
        <w:tab w:val="right" w:leader="dot" w:pos="9072"/>
      </w:tabs>
      <w:ind w:left="567"/>
    </w:pPr>
    <w:rPr>
      <w:szCs w:val="22"/>
    </w:rPr>
  </w:style>
  <w:style w:type="paragraph" w:customStyle="1" w:styleId="TOCBase">
    <w:name w:val="TOC Base"/>
    <w:rsid w:val="00E12B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2B5B"/>
    <w:pPr>
      <w:tabs>
        <w:tab w:val="right" w:leader="dot" w:pos="9072"/>
      </w:tabs>
      <w:spacing w:before="40" w:after="40"/>
      <w:ind w:left="284"/>
    </w:pPr>
    <w:rPr>
      <w:rFonts w:ascii="Times New Roman" w:hAnsi="Times New Roman"/>
    </w:rPr>
  </w:style>
  <w:style w:type="paragraph" w:styleId="TOC1">
    <w:name w:val="toc 1"/>
    <w:basedOn w:val="TOCBase"/>
    <w:next w:val="Normal"/>
    <w:rsid w:val="00E12B5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12B5B"/>
    <w:pPr>
      <w:spacing w:before="5040"/>
      <w:jc w:val="center"/>
    </w:pPr>
    <w:rPr>
      <w:sz w:val="48"/>
      <w:szCs w:val="72"/>
      <w:lang w:val="en-US"/>
    </w:rPr>
  </w:style>
  <w:style w:type="character" w:customStyle="1" w:styleId="TitleChar">
    <w:name w:val="Title Char"/>
    <w:basedOn w:val="DefaultParagraphFont"/>
    <w:link w:val="Title"/>
    <w:rsid w:val="00E12B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2B5B"/>
    <w:pPr>
      <w:tabs>
        <w:tab w:val="left" w:pos="3600"/>
        <w:tab w:val="left" w:pos="3958"/>
      </w:tabs>
    </w:pPr>
  </w:style>
  <w:style w:type="paragraph" w:customStyle="1" w:styleId="Note">
    <w:name w:val="Note"/>
    <w:basedOn w:val="BodyText"/>
    <w:rsid w:val="00E12B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2B5B"/>
    <w:pPr>
      <w:framePr w:wrap="auto" w:hAnchor="text" w:y="6049"/>
    </w:pPr>
    <w:rPr>
      <w:color w:val="000000"/>
      <w:sz w:val="40"/>
    </w:rPr>
  </w:style>
  <w:style w:type="paragraph" w:customStyle="1" w:styleId="TOCTitle">
    <w:name w:val="TOCTitle"/>
    <w:basedOn w:val="Heading1"/>
    <w:rsid w:val="00E12B5B"/>
    <w:pPr>
      <w:spacing w:after="240"/>
      <w:jc w:val="center"/>
      <w:outlineLvl w:val="9"/>
    </w:pPr>
    <w:rPr>
      <w:caps/>
    </w:rPr>
  </w:style>
  <w:style w:type="paragraph" w:customStyle="1" w:styleId="Version">
    <w:name w:val="Version"/>
    <w:rsid w:val="00E12B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2B5B"/>
    <w:pPr>
      <w:keepNext w:val="0"/>
      <w:tabs>
        <w:tab w:val="right" w:pos="4176"/>
      </w:tabs>
      <w:ind w:left="198" w:hanging="198"/>
    </w:pPr>
    <w:rPr>
      <w:rFonts w:ascii="Garamond" w:hAnsi="Garamond"/>
    </w:rPr>
  </w:style>
  <w:style w:type="paragraph" w:styleId="IndexHeading">
    <w:name w:val="index heading"/>
    <w:basedOn w:val="Normal"/>
    <w:next w:val="Index1"/>
    <w:semiHidden/>
    <w:rsid w:val="00E12B5B"/>
    <w:pPr>
      <w:spacing w:before="120" w:after="120"/>
    </w:pPr>
    <w:rPr>
      <w:rFonts w:ascii="Arial" w:hAnsi="Arial"/>
      <w:b/>
      <w:color w:val="918585"/>
      <w:sz w:val="24"/>
    </w:rPr>
  </w:style>
  <w:style w:type="paragraph" w:customStyle="1" w:styleId="Chapter">
    <w:name w:val="Chapter"/>
    <w:basedOn w:val="Normal"/>
    <w:rsid w:val="00E12B5B"/>
    <w:pPr>
      <w:spacing w:before="240"/>
    </w:pPr>
    <w:rPr>
      <w:rFonts w:ascii="Times New Roman" w:hAnsi="Times New Roman"/>
      <w:smallCaps/>
      <w:spacing w:val="80"/>
      <w:sz w:val="28"/>
    </w:rPr>
  </w:style>
  <w:style w:type="paragraph" w:customStyle="1" w:styleId="InChapter">
    <w:name w:val="InChapter"/>
    <w:basedOn w:val="Heading3"/>
    <w:rsid w:val="00E12B5B"/>
    <w:pPr>
      <w:spacing w:after="240"/>
      <w:outlineLvl w:val="9"/>
    </w:pPr>
    <w:rPr>
      <w:noProof/>
    </w:rPr>
  </w:style>
  <w:style w:type="paragraph" w:styleId="Index2">
    <w:name w:val="index 2"/>
    <w:basedOn w:val="Normal"/>
    <w:next w:val="Normal"/>
    <w:semiHidden/>
    <w:rsid w:val="00E12B5B"/>
    <w:pPr>
      <w:tabs>
        <w:tab w:val="right" w:pos="4176"/>
      </w:tabs>
      <w:ind w:left="568" w:hanging="284"/>
    </w:pPr>
    <w:rPr>
      <w:rFonts w:ascii="Garamond" w:hAnsi="Garamond"/>
    </w:rPr>
  </w:style>
  <w:style w:type="paragraph" w:customStyle="1" w:styleId="Byline">
    <w:name w:val="Byline"/>
    <w:rsid w:val="00E12B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2B5B"/>
    <w:pPr>
      <w:tabs>
        <w:tab w:val="clear" w:pos="3600"/>
        <w:tab w:val="clear" w:pos="3958"/>
      </w:tabs>
      <w:jc w:val="right"/>
    </w:pPr>
  </w:style>
  <w:style w:type="character" w:styleId="Emphasis">
    <w:name w:val="Emphasis"/>
    <w:basedOn w:val="DefaultParagraphFont"/>
    <w:qFormat/>
    <w:rsid w:val="00E12B5B"/>
    <w:rPr>
      <w:i/>
    </w:rPr>
  </w:style>
  <w:style w:type="paragraph" w:styleId="Caption">
    <w:name w:val="caption"/>
    <w:basedOn w:val="BodyText"/>
    <w:next w:val="Normal"/>
    <w:qFormat/>
    <w:rsid w:val="00E12B5B"/>
    <w:pPr>
      <w:framePr w:w="2268" w:hSpace="181" w:vSpace="181" w:wrap="around" w:vAnchor="text" w:hAnchor="page" w:x="1135" w:y="285" w:anchorLock="1"/>
    </w:pPr>
    <w:rPr>
      <w:i/>
    </w:rPr>
  </w:style>
  <w:style w:type="paragraph" w:customStyle="1" w:styleId="MiniTOCTitle">
    <w:name w:val="MiniTOCTitle"/>
    <w:basedOn w:val="Heading4"/>
    <w:rsid w:val="00E12B5B"/>
    <w:pPr>
      <w:spacing w:before="240"/>
      <w:outlineLvl w:val="9"/>
    </w:pPr>
    <w:rPr>
      <w:noProof/>
      <w:sz w:val="24"/>
    </w:rPr>
  </w:style>
  <w:style w:type="paragraph" w:customStyle="1" w:styleId="MiniTOCItem">
    <w:name w:val="MiniTOCItem"/>
    <w:basedOn w:val="ListBullet"/>
    <w:rsid w:val="00E12B5B"/>
    <w:pPr>
      <w:numPr>
        <w:numId w:val="0"/>
      </w:numPr>
      <w:tabs>
        <w:tab w:val="right" w:leader="dot" w:pos="6521"/>
      </w:tabs>
      <w:spacing w:before="0" w:after="0"/>
    </w:pPr>
  </w:style>
  <w:style w:type="paragraph" w:customStyle="1" w:styleId="TOFTitle">
    <w:name w:val="TOFTitle"/>
    <w:basedOn w:val="TOCTitle"/>
    <w:rsid w:val="00E12B5B"/>
  </w:style>
  <w:style w:type="paragraph" w:styleId="TableofFigures">
    <w:name w:val="table of figures"/>
    <w:basedOn w:val="Normal"/>
    <w:next w:val="Normal"/>
    <w:semiHidden/>
    <w:rsid w:val="00E12B5B"/>
    <w:pPr>
      <w:tabs>
        <w:tab w:val="right" w:leader="dot" w:pos="9072"/>
      </w:tabs>
      <w:ind w:left="970" w:hanging="403"/>
    </w:pPr>
    <w:rPr>
      <w:rFonts w:ascii="Times New Roman" w:hAnsi="Times New Roman"/>
      <w:b/>
    </w:rPr>
  </w:style>
  <w:style w:type="paragraph" w:styleId="ListNumber">
    <w:name w:val="List Number"/>
    <w:basedOn w:val="List"/>
    <w:rsid w:val="00E12B5B"/>
    <w:pPr>
      <w:numPr>
        <w:numId w:val="11"/>
      </w:numPr>
    </w:pPr>
  </w:style>
  <w:style w:type="character" w:customStyle="1" w:styleId="WingdingSymbols">
    <w:name w:val="Wingding Symbols"/>
    <w:rsid w:val="00E12B5B"/>
    <w:rPr>
      <w:rFonts w:ascii="Wingdings" w:hAnsi="Wingdings"/>
    </w:rPr>
  </w:style>
  <w:style w:type="paragraph" w:customStyle="1" w:styleId="TableHeading">
    <w:name w:val="Table Heading"/>
    <w:basedOn w:val="HeadingBase"/>
    <w:rsid w:val="00E12B5B"/>
    <w:pPr>
      <w:keepLines/>
      <w:pBdr>
        <w:bottom w:val="single" w:sz="6" w:space="1" w:color="918585"/>
      </w:pBdr>
      <w:spacing w:before="240"/>
    </w:pPr>
  </w:style>
  <w:style w:type="character" w:customStyle="1" w:styleId="HotSpot">
    <w:name w:val="HotSpot"/>
    <w:rsid w:val="00E12B5B"/>
    <w:rPr>
      <w:color w:val="0033CC"/>
      <w:u w:val="none"/>
    </w:rPr>
  </w:style>
  <w:style w:type="paragraph" w:customStyle="1" w:styleId="BodyTextRight">
    <w:name w:val="Body Text Right"/>
    <w:basedOn w:val="BodyText"/>
    <w:rsid w:val="00E12B5B"/>
    <w:pPr>
      <w:spacing w:before="0" w:after="0"/>
      <w:jc w:val="right"/>
    </w:pPr>
  </w:style>
  <w:style w:type="paragraph" w:styleId="Index3">
    <w:name w:val="index 3"/>
    <w:basedOn w:val="ListNumber2"/>
    <w:next w:val="Normal"/>
    <w:semiHidden/>
    <w:rsid w:val="00E12B5B"/>
    <w:pPr>
      <w:numPr>
        <w:numId w:val="0"/>
      </w:numPr>
      <w:tabs>
        <w:tab w:val="right" w:leader="dot" w:pos="4176"/>
      </w:tabs>
    </w:pPr>
  </w:style>
  <w:style w:type="paragraph" w:styleId="ListNumber2">
    <w:name w:val="List Number 2"/>
    <w:basedOn w:val="List2"/>
    <w:rsid w:val="00E12B5B"/>
    <w:pPr>
      <w:numPr>
        <w:numId w:val="10"/>
      </w:numPr>
      <w:tabs>
        <w:tab w:val="clear" w:pos="1060"/>
      </w:tabs>
    </w:pPr>
  </w:style>
  <w:style w:type="paragraph" w:customStyle="1" w:styleId="MarginNote">
    <w:name w:val="Margin Note"/>
    <w:basedOn w:val="BodyText"/>
    <w:rsid w:val="00E12B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2B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2B5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12B5B"/>
    <w:rPr>
      <w:sz w:val="32"/>
    </w:rPr>
  </w:style>
  <w:style w:type="paragraph" w:customStyle="1" w:styleId="HeadingProcedure">
    <w:name w:val="Heading Procedure"/>
    <w:basedOn w:val="HeadingBase"/>
    <w:next w:val="Normal"/>
    <w:rsid w:val="00E12B5B"/>
    <w:pPr>
      <w:tabs>
        <w:tab w:val="left" w:pos="0"/>
      </w:tabs>
      <w:spacing w:before="120" w:after="60"/>
    </w:pPr>
    <w:rPr>
      <w:i/>
      <w:color w:val="918585"/>
      <w:sz w:val="22"/>
    </w:rPr>
  </w:style>
  <w:style w:type="paragraph" w:customStyle="1" w:styleId="TableBodyText">
    <w:name w:val="Table Body Text"/>
    <w:basedOn w:val="BodyText"/>
    <w:rsid w:val="00E12B5B"/>
    <w:pPr>
      <w:spacing w:before="60" w:after="60"/>
    </w:pPr>
  </w:style>
  <w:style w:type="paragraph" w:styleId="ListContinue">
    <w:name w:val="List Continue"/>
    <w:basedOn w:val="List"/>
    <w:rsid w:val="00E12B5B"/>
    <w:pPr>
      <w:ind w:firstLine="0"/>
    </w:pPr>
  </w:style>
  <w:style w:type="paragraph" w:customStyle="1" w:styleId="ListNote">
    <w:name w:val="List Note"/>
    <w:basedOn w:val="List"/>
    <w:rsid w:val="00E12B5B"/>
    <w:pPr>
      <w:pBdr>
        <w:top w:val="single" w:sz="6" w:space="2" w:color="918585"/>
        <w:bottom w:val="single" w:sz="6" w:space="2" w:color="918585"/>
      </w:pBdr>
      <w:tabs>
        <w:tab w:val="left" w:pos="1021"/>
      </w:tabs>
      <w:ind w:firstLine="0"/>
    </w:pPr>
  </w:style>
  <w:style w:type="paragraph" w:customStyle="1" w:styleId="Warning">
    <w:name w:val="Warning"/>
    <w:basedOn w:val="BodyText"/>
    <w:rsid w:val="00E12B5B"/>
    <w:pPr>
      <w:shd w:val="clear" w:color="auto" w:fill="D9D9D9"/>
      <w:tabs>
        <w:tab w:val="left" w:pos="992"/>
      </w:tabs>
      <w:ind w:left="119" w:right="119"/>
    </w:pPr>
    <w:rPr>
      <w:sz w:val="20"/>
    </w:rPr>
  </w:style>
  <w:style w:type="paragraph" w:customStyle="1" w:styleId="MarginIcons">
    <w:name w:val="Margin Icons"/>
    <w:basedOn w:val="BodyText"/>
    <w:rsid w:val="00E12B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2B5B"/>
    <w:rPr>
      <w:rFonts w:ascii="Courier New" w:hAnsi="Courier New"/>
    </w:rPr>
  </w:style>
  <w:style w:type="paragraph" w:customStyle="1" w:styleId="NoteBullet">
    <w:name w:val="Note Bullet"/>
    <w:basedOn w:val="Note"/>
    <w:rsid w:val="00E12B5B"/>
    <w:pPr>
      <w:tabs>
        <w:tab w:val="clear" w:pos="680"/>
      </w:tabs>
      <w:spacing w:before="60" w:after="60"/>
    </w:pPr>
  </w:style>
  <w:style w:type="paragraph" w:customStyle="1" w:styleId="SubHeading2">
    <w:name w:val="SubHeading2"/>
    <w:basedOn w:val="HeadingBase"/>
    <w:rsid w:val="00E12B5B"/>
    <w:pPr>
      <w:spacing w:before="240" w:after="60"/>
    </w:pPr>
    <w:rPr>
      <w:sz w:val="20"/>
    </w:rPr>
  </w:style>
  <w:style w:type="paragraph" w:customStyle="1" w:styleId="SubHeading1">
    <w:name w:val="SubHeading1"/>
    <w:basedOn w:val="HeadingBase"/>
    <w:rsid w:val="00E12B5B"/>
    <w:pPr>
      <w:spacing w:before="240" w:after="60"/>
    </w:pPr>
    <w:rPr>
      <w:color w:val="918585"/>
      <w:sz w:val="22"/>
    </w:rPr>
  </w:style>
  <w:style w:type="paragraph" w:customStyle="1" w:styleId="SideHeading">
    <w:name w:val="Side Heading"/>
    <w:basedOn w:val="HeadingBase"/>
    <w:rsid w:val="00E12B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2B5B"/>
    <w:pPr>
      <w:numPr>
        <w:numId w:val="12"/>
      </w:numPr>
    </w:pPr>
  </w:style>
  <w:style w:type="paragraph" w:styleId="PlainText">
    <w:name w:val="Plain Text"/>
    <w:basedOn w:val="Normal"/>
    <w:link w:val="PlainTextChar"/>
    <w:rsid w:val="00E12B5B"/>
    <w:rPr>
      <w:sz w:val="20"/>
    </w:rPr>
  </w:style>
  <w:style w:type="character" w:customStyle="1" w:styleId="PlainTextChar">
    <w:name w:val="Plain Text Char"/>
    <w:basedOn w:val="DefaultParagraphFont"/>
    <w:link w:val="PlainText"/>
    <w:rsid w:val="00E12B5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12B5B"/>
    <w:rPr>
      <w:b/>
      <w:smallCaps/>
    </w:rPr>
  </w:style>
  <w:style w:type="paragraph" w:customStyle="1" w:styleId="TableListNumber">
    <w:name w:val="Table List Number"/>
    <w:basedOn w:val="ListNumber"/>
    <w:rsid w:val="00E12B5B"/>
    <w:pPr>
      <w:numPr>
        <w:numId w:val="0"/>
      </w:numPr>
    </w:pPr>
  </w:style>
  <w:style w:type="paragraph" w:styleId="TOC4">
    <w:name w:val="toc 4"/>
    <w:basedOn w:val="TOCBase"/>
    <w:next w:val="Normal"/>
    <w:semiHidden/>
    <w:rsid w:val="00E12B5B"/>
    <w:pPr>
      <w:tabs>
        <w:tab w:val="right" w:leader="dot" w:pos="9071"/>
      </w:tabs>
      <w:ind w:left="1701"/>
    </w:pPr>
  </w:style>
  <w:style w:type="paragraph" w:customStyle="1" w:styleId="ListAlpha">
    <w:name w:val="List Alpha"/>
    <w:basedOn w:val="List"/>
    <w:rsid w:val="00E12B5B"/>
    <w:pPr>
      <w:numPr>
        <w:numId w:val="9"/>
      </w:numPr>
    </w:pPr>
  </w:style>
  <w:style w:type="paragraph" w:customStyle="1" w:styleId="ListAlpha2">
    <w:name w:val="List Alpha 2"/>
    <w:basedOn w:val="List2"/>
    <w:rsid w:val="00E12B5B"/>
    <w:pPr>
      <w:numPr>
        <w:numId w:val="8"/>
      </w:numPr>
    </w:pPr>
  </w:style>
  <w:style w:type="paragraph" w:styleId="List2">
    <w:name w:val="List 2"/>
    <w:basedOn w:val="BodyText"/>
    <w:rsid w:val="00E12B5B"/>
    <w:pPr>
      <w:tabs>
        <w:tab w:val="left" w:pos="680"/>
      </w:tabs>
      <w:spacing w:before="60" w:after="60"/>
      <w:ind w:left="680" w:hanging="340"/>
    </w:pPr>
  </w:style>
  <w:style w:type="paragraph" w:styleId="List3">
    <w:name w:val="List 3"/>
    <w:basedOn w:val="BodyText"/>
    <w:rsid w:val="00E12B5B"/>
    <w:pPr>
      <w:tabs>
        <w:tab w:val="left" w:pos="1021"/>
      </w:tabs>
      <w:spacing w:before="60" w:after="60"/>
      <w:ind w:left="1020" w:hanging="340"/>
    </w:pPr>
  </w:style>
  <w:style w:type="paragraph" w:styleId="List4">
    <w:name w:val="List 4"/>
    <w:basedOn w:val="BodyText"/>
    <w:rsid w:val="00E12B5B"/>
    <w:pPr>
      <w:tabs>
        <w:tab w:val="left" w:pos="1361"/>
      </w:tabs>
      <w:spacing w:before="60" w:after="60"/>
      <w:ind w:left="1361" w:hanging="340"/>
    </w:pPr>
  </w:style>
  <w:style w:type="paragraph" w:styleId="List5">
    <w:name w:val="List 5"/>
    <w:basedOn w:val="BodyText"/>
    <w:rsid w:val="00E12B5B"/>
    <w:pPr>
      <w:tabs>
        <w:tab w:val="left" w:pos="1701"/>
      </w:tabs>
      <w:spacing w:before="60" w:after="60"/>
      <w:ind w:left="1701" w:hanging="340"/>
    </w:pPr>
  </w:style>
  <w:style w:type="paragraph" w:styleId="ListBullet3">
    <w:name w:val="List Bullet 3"/>
    <w:basedOn w:val="List3"/>
    <w:rsid w:val="00E12B5B"/>
    <w:pPr>
      <w:numPr>
        <w:numId w:val="15"/>
      </w:numPr>
      <w:tabs>
        <w:tab w:val="clear" w:pos="1021"/>
      </w:tabs>
      <w:ind w:left="1037" w:hanging="357"/>
    </w:pPr>
  </w:style>
  <w:style w:type="paragraph" w:styleId="ListBullet4">
    <w:name w:val="List Bullet 4"/>
    <w:basedOn w:val="List4"/>
    <w:rsid w:val="00E12B5B"/>
    <w:pPr>
      <w:numPr>
        <w:numId w:val="3"/>
      </w:numPr>
    </w:pPr>
  </w:style>
  <w:style w:type="paragraph" w:styleId="ListBullet5">
    <w:name w:val="List Bullet 5"/>
    <w:basedOn w:val="List5"/>
    <w:rsid w:val="00E12B5B"/>
    <w:pPr>
      <w:numPr>
        <w:numId w:val="4"/>
      </w:numPr>
    </w:pPr>
  </w:style>
  <w:style w:type="paragraph" w:styleId="ListContinue2">
    <w:name w:val="List Continue 2"/>
    <w:basedOn w:val="List2"/>
    <w:rsid w:val="00E12B5B"/>
    <w:pPr>
      <w:ind w:firstLine="0"/>
    </w:pPr>
  </w:style>
  <w:style w:type="paragraph" w:styleId="ListContinue3">
    <w:name w:val="List Continue 3"/>
    <w:basedOn w:val="List3"/>
    <w:rsid w:val="00E12B5B"/>
    <w:pPr>
      <w:ind w:left="1021" w:firstLine="0"/>
    </w:pPr>
  </w:style>
  <w:style w:type="paragraph" w:styleId="ListContinue4">
    <w:name w:val="List Continue 4"/>
    <w:basedOn w:val="List4"/>
    <w:rsid w:val="00E12B5B"/>
    <w:pPr>
      <w:ind w:firstLine="0"/>
    </w:pPr>
  </w:style>
  <w:style w:type="paragraph" w:styleId="ListContinue5">
    <w:name w:val="List Continue 5"/>
    <w:basedOn w:val="List5"/>
    <w:rsid w:val="00E12B5B"/>
    <w:pPr>
      <w:ind w:firstLine="0"/>
    </w:pPr>
  </w:style>
  <w:style w:type="paragraph" w:styleId="ListNumber3">
    <w:name w:val="List Number 3"/>
    <w:basedOn w:val="List3"/>
    <w:rsid w:val="00E12B5B"/>
    <w:pPr>
      <w:numPr>
        <w:numId w:val="5"/>
      </w:numPr>
    </w:pPr>
  </w:style>
  <w:style w:type="paragraph" w:styleId="ListNumber4">
    <w:name w:val="List Number 4"/>
    <w:basedOn w:val="List4"/>
    <w:rsid w:val="00E12B5B"/>
    <w:pPr>
      <w:numPr>
        <w:numId w:val="6"/>
      </w:numPr>
    </w:pPr>
  </w:style>
  <w:style w:type="paragraph" w:styleId="ListNumber5">
    <w:name w:val="List Number 5"/>
    <w:basedOn w:val="List5"/>
    <w:rsid w:val="00E12B5B"/>
    <w:pPr>
      <w:numPr>
        <w:numId w:val="7"/>
      </w:numPr>
    </w:pPr>
  </w:style>
  <w:style w:type="paragraph" w:styleId="BlockText">
    <w:name w:val="Block Text"/>
    <w:basedOn w:val="Normal"/>
    <w:rsid w:val="00E12B5B"/>
    <w:pPr>
      <w:spacing w:after="120"/>
      <w:ind w:left="1440" w:right="1440"/>
    </w:pPr>
  </w:style>
  <w:style w:type="character" w:customStyle="1" w:styleId="Subscript">
    <w:name w:val="Subscript"/>
    <w:basedOn w:val="DefaultParagraphFont"/>
    <w:rsid w:val="00E12B5B"/>
    <w:rPr>
      <w:sz w:val="16"/>
      <w:vertAlign w:val="subscript"/>
    </w:rPr>
  </w:style>
  <w:style w:type="character" w:customStyle="1" w:styleId="Superscript">
    <w:name w:val="Superscript"/>
    <w:basedOn w:val="DefaultParagraphFont"/>
    <w:rsid w:val="00E12B5B"/>
    <w:rPr>
      <w:sz w:val="16"/>
      <w:vertAlign w:val="superscript"/>
    </w:rPr>
  </w:style>
  <w:style w:type="character" w:customStyle="1" w:styleId="Symbols">
    <w:name w:val="Symbols"/>
    <w:basedOn w:val="DefaultParagraphFont"/>
    <w:rsid w:val="00E12B5B"/>
    <w:rPr>
      <w:rFonts w:ascii="Symbol" w:hAnsi="Symbol"/>
    </w:rPr>
  </w:style>
  <w:style w:type="character" w:customStyle="1" w:styleId="MenuOptions">
    <w:name w:val="Menu Options"/>
    <w:basedOn w:val="DefaultParagraphFont"/>
    <w:rsid w:val="00E12B5B"/>
    <w:rPr>
      <w:rFonts w:ascii="Arial Narrow" w:hAnsi="Arial Narrow"/>
      <w:smallCaps/>
    </w:rPr>
  </w:style>
  <w:style w:type="character" w:customStyle="1" w:styleId="Buttons">
    <w:name w:val="Buttons"/>
    <w:basedOn w:val="DefaultParagraphFont"/>
    <w:rsid w:val="00E12B5B"/>
    <w:rPr>
      <w:b/>
    </w:rPr>
  </w:style>
  <w:style w:type="character" w:customStyle="1" w:styleId="Underlined">
    <w:name w:val="Underlined"/>
    <w:basedOn w:val="DefaultParagraphFont"/>
    <w:rsid w:val="00E12B5B"/>
    <w:rPr>
      <w:u w:val="single"/>
    </w:rPr>
  </w:style>
  <w:style w:type="paragraph" w:customStyle="1" w:styleId="TableBodyTextRight">
    <w:name w:val="Table Body Text Right"/>
    <w:basedOn w:val="TableBodyText"/>
    <w:rsid w:val="00E12B5B"/>
    <w:pPr>
      <w:widowControl w:val="0"/>
      <w:autoSpaceDE w:val="0"/>
      <w:autoSpaceDN w:val="0"/>
      <w:adjustRightInd w:val="0"/>
      <w:jc w:val="right"/>
    </w:pPr>
    <w:rPr>
      <w:rFonts w:cs="Arial"/>
      <w:szCs w:val="18"/>
    </w:rPr>
  </w:style>
  <w:style w:type="paragraph" w:customStyle="1" w:styleId="CopyrightText">
    <w:name w:val="Copyright Text"/>
    <w:basedOn w:val="BodyText"/>
    <w:rsid w:val="00E12B5B"/>
    <w:rPr>
      <w:sz w:val="18"/>
    </w:rPr>
  </w:style>
  <w:style w:type="paragraph" w:customStyle="1" w:styleId="BodySmallRight">
    <w:name w:val="Body Small Right"/>
    <w:basedOn w:val="BodyTextRight"/>
    <w:rsid w:val="00E12B5B"/>
    <w:rPr>
      <w:sz w:val="18"/>
      <w:szCs w:val="18"/>
    </w:rPr>
  </w:style>
  <w:style w:type="paragraph" w:customStyle="1" w:styleId="MarginEdition">
    <w:name w:val="Margin Edition"/>
    <w:basedOn w:val="MarginNote"/>
    <w:rsid w:val="00E12B5B"/>
    <w:pPr>
      <w:spacing w:before="0" w:after="0"/>
    </w:pPr>
    <w:rPr>
      <w:rFonts w:ascii="Times New Roman" w:hAnsi="Times New Roman"/>
      <w:color w:val="999999"/>
    </w:rPr>
  </w:style>
  <w:style w:type="paragraph" w:customStyle="1" w:styleId="Spacer">
    <w:name w:val="Spacer"/>
    <w:basedOn w:val="Normal"/>
    <w:rsid w:val="00E12B5B"/>
    <w:rPr>
      <w:sz w:val="2"/>
      <w:szCs w:val="2"/>
    </w:rPr>
  </w:style>
  <w:style w:type="character" w:customStyle="1" w:styleId="Small">
    <w:name w:val="Small"/>
    <w:basedOn w:val="DefaultParagraphFont"/>
    <w:rsid w:val="00E12B5B"/>
    <w:rPr>
      <w:sz w:val="16"/>
    </w:rPr>
  </w:style>
  <w:style w:type="paragraph" w:customStyle="1" w:styleId="WideTable">
    <w:name w:val="Wide Table"/>
    <w:basedOn w:val="Normal"/>
    <w:rsid w:val="00E12B5B"/>
    <w:pPr>
      <w:ind w:left="-1418"/>
    </w:pPr>
    <w:rPr>
      <w:sz w:val="2"/>
      <w:szCs w:val="2"/>
    </w:rPr>
  </w:style>
  <w:style w:type="character" w:styleId="PageNumber">
    <w:name w:val="page number"/>
    <w:basedOn w:val="DefaultParagraphFont"/>
    <w:rsid w:val="00E12B5B"/>
  </w:style>
  <w:style w:type="paragraph" w:styleId="Quote">
    <w:name w:val="Quote"/>
    <w:basedOn w:val="Heading1"/>
    <w:link w:val="QuoteChar"/>
    <w:qFormat/>
    <w:rsid w:val="00E12B5B"/>
    <w:rPr>
      <w:b w:val="0"/>
      <w:sz w:val="72"/>
      <w:szCs w:val="72"/>
      <w:lang w:val="en-NZ"/>
    </w:rPr>
  </w:style>
  <w:style w:type="character" w:customStyle="1" w:styleId="QuoteChar">
    <w:name w:val="Quote Char"/>
    <w:basedOn w:val="DefaultParagraphFont"/>
    <w:link w:val="Quote"/>
    <w:rsid w:val="00E12B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2B5B"/>
    <w:pPr>
      <w:pageBreakBefore/>
    </w:pPr>
  </w:style>
  <w:style w:type="paragraph" w:customStyle="1" w:styleId="Border">
    <w:name w:val="Border"/>
    <w:basedOn w:val="Normal"/>
    <w:qFormat/>
    <w:rsid w:val="00E12B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2B5B"/>
    <w:rPr>
      <w:b/>
      <w:bCs/>
      <w:i/>
      <w:iCs/>
      <w:color w:val="auto"/>
    </w:rPr>
  </w:style>
  <w:style w:type="paragraph" w:styleId="IntenseQuote">
    <w:name w:val="Intense Quote"/>
    <w:basedOn w:val="Normal"/>
    <w:next w:val="Normal"/>
    <w:link w:val="IntenseQuoteChar"/>
    <w:uiPriority w:val="30"/>
    <w:qFormat/>
    <w:rsid w:val="00E12B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2B5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12B5B"/>
    <w:rPr>
      <w:smallCaps/>
      <w:color w:val="auto"/>
      <w:u w:val="single"/>
    </w:rPr>
  </w:style>
  <w:style w:type="character" w:styleId="IntenseReference">
    <w:name w:val="Intense Reference"/>
    <w:basedOn w:val="DefaultParagraphFont"/>
    <w:uiPriority w:val="32"/>
    <w:qFormat/>
    <w:rsid w:val="00E12B5B"/>
    <w:rPr>
      <w:b/>
      <w:bCs/>
      <w:smallCaps/>
      <w:color w:val="auto"/>
      <w:spacing w:val="5"/>
      <w:u w:val="single"/>
    </w:rPr>
  </w:style>
  <w:style w:type="paragraph" w:customStyle="1" w:styleId="2ColumnHeading">
    <w:name w:val="2Column Heading"/>
    <w:basedOn w:val="BodyText"/>
    <w:qFormat/>
    <w:rsid w:val="00E12B5B"/>
    <w:pPr>
      <w:spacing w:after="60"/>
      <w:ind w:left="-2268"/>
    </w:pPr>
    <w:rPr>
      <w:b/>
    </w:rPr>
  </w:style>
  <w:style w:type="paragraph" w:customStyle="1" w:styleId="Heading1TOC">
    <w:name w:val="Heading1 TOC"/>
    <w:basedOn w:val="Normal"/>
    <w:qFormat/>
    <w:rsid w:val="00E12B5B"/>
    <w:pPr>
      <w:spacing w:before="240" w:after="120"/>
    </w:pPr>
    <w:rPr>
      <w:rFonts w:ascii="Times New Roman" w:hAnsi="Times New Roman"/>
      <w:b/>
      <w:sz w:val="32"/>
    </w:rPr>
  </w:style>
  <w:style w:type="paragraph" w:customStyle="1" w:styleId="Heading2TOC">
    <w:name w:val="Heading2 TOC"/>
    <w:basedOn w:val="Normal"/>
    <w:qFormat/>
    <w:rsid w:val="00E12B5B"/>
    <w:pPr>
      <w:spacing w:before="240" w:after="60"/>
    </w:pPr>
    <w:rPr>
      <w:rFonts w:ascii="Times New Roman" w:hAnsi="Times New Roman"/>
      <w:b/>
      <w:sz w:val="28"/>
    </w:rPr>
  </w:style>
  <w:style w:type="character" w:customStyle="1" w:styleId="Underline">
    <w:name w:val="Underline"/>
    <w:basedOn w:val="DefaultParagraphFont"/>
    <w:qFormat/>
    <w:rsid w:val="00E12B5B"/>
    <w:rPr>
      <w:u w:val="single"/>
    </w:rPr>
  </w:style>
  <w:style w:type="character" w:customStyle="1" w:styleId="BoldandItalics">
    <w:name w:val="Bold and Italics"/>
    <w:qFormat/>
    <w:rsid w:val="00E12B5B"/>
    <w:rPr>
      <w:b/>
      <w:i/>
      <w:u w:val="none"/>
    </w:rPr>
  </w:style>
  <w:style w:type="paragraph" w:styleId="BalloonText">
    <w:name w:val="Balloon Text"/>
    <w:basedOn w:val="Normal"/>
    <w:link w:val="BalloonTextChar"/>
    <w:rsid w:val="00E12B5B"/>
    <w:rPr>
      <w:rFonts w:ascii="Tahoma" w:hAnsi="Tahoma" w:cs="Tahoma"/>
      <w:sz w:val="16"/>
      <w:szCs w:val="16"/>
    </w:rPr>
  </w:style>
  <w:style w:type="character" w:customStyle="1" w:styleId="BalloonTextChar">
    <w:name w:val="Balloon Text Char"/>
    <w:basedOn w:val="DefaultParagraphFont"/>
    <w:link w:val="BalloonText"/>
    <w:rsid w:val="00E12B5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12B5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12B5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1278</Words>
  <Characters>8493</Characters>
  <Application>Microsoft Office Word</Application>
  <DocSecurity>0</DocSecurity>
  <Lines>267</Lines>
  <Paragraphs>161</Paragraphs>
  <ScaleCrop>false</ScaleCrop>
  <Company>Author-it Software Corporation Ltd.</Company>
  <LinksUpToDate>false</LinksUpToDate>
  <CharactersWithSpaces>9703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TLIS2020A Install overhead wiring structure</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2012-05-27T04:06:00Z</dcterms:created>
  <dcterms:modified xsi:type="dcterms:W3CDTF">2012-05-27T04:06:00Z</dcterms:modified>
</cp:coreProperties>
</file>