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45370" w:rsidP="00545370">
      <w:pPr>
        <w:pStyle w:val="Title"/>
      </w:pPr>
      <w:r>
        <w:fldChar w:fldCharType="begin"/>
      </w:r>
      <w:r>
        <w:instrText xml:space="preserve"> TITLE   \* MERGEFORMAT </w:instrText>
      </w:r>
      <w:r>
        <w:fldChar w:fldCharType="separate"/>
      </w:r>
      <w:r>
        <w:t>TLIR4008A Implement and supervise stocktaking procedures</w:t>
      </w:r>
      <w:r>
        <w:fldChar w:fldCharType="end"/>
      </w:r>
    </w:p>
    <w:p w:rsidR="00545370" w:rsidP="00545370">
      <w:pPr>
        <w:pStyle w:val="Version"/>
        <w:sectPr w:rsidSect="00DD07A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D07A0" w:rsidP="00DD07A0">
      <w:pPr>
        <w:pStyle w:val="SuperHeading"/>
      </w:pPr>
      <w:r w:rsidRPr="00DD07A0">
        <w:t>TLIR4008A Implement and supervise stocktaking procedures</w:t>
      </w:r>
    </w:p>
    <w:p w:rsidR="00000000" w:rsidRPr="00DD07A0" w:rsidP="00DD07A0">
      <w:pPr>
        <w:pStyle w:val="Heading1"/>
      </w:pPr>
      <w:bookmarkStart w:id="1" w:name="O_274314"/>
      <w:bookmarkEnd w:id="1"/>
      <w:r w:rsidRPr="00DD07A0">
        <w:t>Modification History</w:t>
      </w:r>
    </w:p>
    <w:p w:rsidR="00000000" w:rsidRPr="00DD07A0" w:rsidP="00DD07A0">
      <w:pPr>
        <w:pStyle w:val="BodyText"/>
      </w:pPr>
      <w:r w:rsidRPr="00DD07A0">
        <w:t>Not Applicable</w:t>
      </w:r>
    </w:p>
    <w:p w:rsidR="00000000" w:rsidRPr="00DD07A0" w:rsidP="00DD07A0">
      <w:pPr>
        <w:pStyle w:val="AllowPageBreak"/>
      </w:pPr>
    </w:p>
    <w:p w:rsidR="00000000" w:rsidRPr="00DD07A0" w:rsidP="00DD07A0">
      <w:pPr>
        <w:pStyle w:val="Heading1"/>
      </w:pPr>
      <w:bookmarkStart w:id="2" w:name="O_224318"/>
      <w:bookmarkEnd w:id="2"/>
      <w:r w:rsidRPr="00DD07A0">
        <w:t>Unit Descriptor</w:t>
      </w:r>
    </w:p>
    <w:tbl>
      <w:tblPr>
        <w:tblW w:w="9640" w:type="dxa"/>
        <w:tblLayout w:type="fixed"/>
        <w:tblCellMar>
          <w:left w:w="62" w:type="dxa"/>
          <w:right w:w="62" w:type="dxa"/>
        </w:tblCellMar>
        <w:tblLook w:val="0000"/>
      </w:tblPr>
      <w:tblGrid>
        <w:gridCol w:w="2978"/>
        <w:gridCol w:w="6662"/>
      </w:tblGrid>
      <w:tr w:rsidTr="00545370">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DD07A0">
            <w:pPr>
              <w:pStyle w:val="BodyText"/>
              <w:rPr>
                <w:lang w:val="en-NZ"/>
              </w:rPr>
            </w:pPr>
            <w:r w:rsidRPr="00DD07A0">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DD07A0" w:rsidP="00DD07A0">
            <w:pPr>
              <w:pStyle w:val="BodyText"/>
            </w:pPr>
            <w:r w:rsidRPr="00DD07A0">
              <w:t>This unit involves the skills and knowledge required to implement and monitor st</w:t>
            </w:r>
            <w:r w:rsidRPr="00DD07A0">
              <w:t>ocktaking procedures. It includes maintaining stock records; implementing stocktaking and stock rotation; and identifying stock losses. Licensing, legislative, regulatory or certification requirements are applicable to this unit.</w:t>
            </w:r>
          </w:p>
        </w:tc>
      </w:tr>
    </w:tbl>
    <w:p w:rsidR="00545370" w:rsidP="00DD07A0">
      <w:pPr>
        <w:pStyle w:val="BodyText"/>
      </w:pPr>
    </w:p>
    <w:p w:rsidR="00545370" w:rsidP="00DD07A0">
      <w:pPr>
        <w:pStyle w:val="BodyText"/>
      </w:pPr>
    </w:p>
    <w:p w:rsidR="00000000" w:rsidRPr="00DD07A0" w:rsidP="00DD07A0">
      <w:pPr>
        <w:pStyle w:val="Heading1"/>
      </w:pPr>
      <w:bookmarkStart w:id="3" w:name="O_224320"/>
      <w:bookmarkEnd w:id="3"/>
      <w:r w:rsidRPr="00DD07A0">
        <w:t>Application of the Unit</w:t>
      </w:r>
    </w:p>
    <w:tbl>
      <w:tblPr>
        <w:tblW w:w="9640" w:type="dxa"/>
        <w:tblLayout w:type="fixed"/>
        <w:tblCellMar>
          <w:left w:w="62" w:type="dxa"/>
          <w:right w:w="62" w:type="dxa"/>
        </w:tblCellMar>
        <w:tblLook w:val="0000"/>
      </w:tblPr>
      <w:tblGrid>
        <w:gridCol w:w="2978"/>
        <w:gridCol w:w="6662"/>
      </w:tblGrid>
      <w:tr w:rsidTr="00545370">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DD07A0">
            <w:pPr>
              <w:pStyle w:val="BodyText"/>
              <w:rPr>
                <w:lang w:val="en-NZ"/>
              </w:rPr>
            </w:pPr>
            <w:r w:rsidRPr="00DD07A0">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DD07A0" w:rsidP="00DD07A0">
            <w:pPr>
              <w:pStyle w:val="BodyText"/>
            </w:pPr>
            <w:r w:rsidRPr="00DD07A0">
              <w:t>Work may be undertaken in various contexts within the transport and logistics industry.</w:t>
            </w:r>
          </w:p>
          <w:p w:rsidR="00000000" w:rsidRPr="00DD07A0" w:rsidP="00DD07A0">
            <w:pPr>
              <w:pStyle w:val="BodyText"/>
            </w:pPr>
            <w:r w:rsidRPr="00DD07A0">
              <w:t>The unit generally applies to those who provide leadership of others individually or in teams.</w:t>
            </w:r>
          </w:p>
          <w:p w:rsidR="00000000" w:rsidRPr="00DD07A0" w:rsidP="00DD07A0">
            <w:pPr>
              <w:pStyle w:val="BodyText"/>
            </w:pPr>
            <w:r w:rsidRPr="00DD07A0">
              <w:t>This unit is normally pac</w:t>
            </w:r>
            <w:r w:rsidRPr="00DD07A0">
              <w:t>kaged at AQF IV or above.</w:t>
            </w:r>
          </w:p>
        </w:tc>
      </w:tr>
    </w:tbl>
    <w:p w:rsidR="00545370" w:rsidP="00DD07A0">
      <w:pPr>
        <w:pStyle w:val="BodyText"/>
      </w:pPr>
    </w:p>
    <w:p w:rsidR="00545370" w:rsidP="00DD07A0">
      <w:pPr>
        <w:pStyle w:val="BodyText"/>
      </w:pPr>
    </w:p>
    <w:p w:rsidR="00000000" w:rsidRPr="00DD07A0" w:rsidP="00DD07A0">
      <w:pPr>
        <w:pStyle w:val="Heading1"/>
      </w:pPr>
      <w:bookmarkStart w:id="4" w:name="O_282574"/>
      <w:bookmarkEnd w:id="4"/>
      <w:r w:rsidRPr="00DD07A0">
        <w:t>Licensing/Regulatory Information</w:t>
      </w:r>
    </w:p>
    <w:p w:rsidR="00000000" w:rsidRPr="00DD07A0" w:rsidP="00DD07A0">
      <w:pPr>
        <w:pStyle w:val="BodyText"/>
      </w:pPr>
      <w:r w:rsidRPr="00DD07A0">
        <w:t>Refer to Unit Descriptor</w:t>
      </w:r>
    </w:p>
    <w:p w:rsidR="00000000" w:rsidRPr="00DD07A0" w:rsidP="00DD07A0">
      <w:pPr>
        <w:pStyle w:val="AllowPageBreak"/>
      </w:pPr>
    </w:p>
    <w:p w:rsidR="00000000" w:rsidRPr="00DD07A0" w:rsidP="00DD07A0">
      <w:pPr>
        <w:pStyle w:val="Heading1"/>
      </w:pPr>
      <w:bookmarkStart w:id="5" w:name="O_285024"/>
      <w:bookmarkEnd w:id="5"/>
      <w:r w:rsidRPr="00DD07A0">
        <w:t>Pre-Requisites</w:t>
      </w:r>
    </w:p>
    <w:p w:rsidR="00000000" w:rsidRPr="00DD07A0" w:rsidP="00DD07A0">
      <w:pPr>
        <w:pStyle w:val="BodyText"/>
      </w:pPr>
      <w:r w:rsidRPr="00DD07A0">
        <w:t>Not Applicable</w:t>
      </w:r>
    </w:p>
    <w:p w:rsidR="00000000" w:rsidRPr="00DD07A0" w:rsidP="00DD07A0">
      <w:pPr>
        <w:pStyle w:val="AllowPageBreak"/>
      </w:pPr>
    </w:p>
    <w:p w:rsidR="00000000" w:rsidRPr="00DD07A0" w:rsidP="00DD07A0">
      <w:pPr>
        <w:pStyle w:val="Heading1"/>
      </w:pPr>
      <w:bookmarkStart w:id="6" w:name="O_224319"/>
      <w:bookmarkEnd w:id="6"/>
      <w:r w:rsidRPr="00DD07A0">
        <w:t>Employability Skills Information</w:t>
      </w:r>
    </w:p>
    <w:tbl>
      <w:tblPr>
        <w:tblW w:w="9640" w:type="dxa"/>
        <w:tblLayout w:type="fixed"/>
        <w:tblCellMar>
          <w:left w:w="62" w:type="dxa"/>
          <w:right w:w="62" w:type="dxa"/>
        </w:tblCellMar>
        <w:tblLook w:val="0000"/>
      </w:tblPr>
      <w:tblGrid>
        <w:gridCol w:w="2978"/>
        <w:gridCol w:w="6662"/>
      </w:tblGrid>
      <w:tr w:rsidTr="00545370">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DD07A0">
            <w:pPr>
              <w:pStyle w:val="BodyText"/>
              <w:rPr>
                <w:lang w:val="en-NZ"/>
              </w:rPr>
            </w:pPr>
            <w:r w:rsidRPr="00DD07A0">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DD07A0" w:rsidP="00DD07A0">
            <w:pPr>
              <w:pStyle w:val="BodyText"/>
            </w:pPr>
            <w:r w:rsidRPr="00DD07A0">
              <w:t>This unit contains employability skills.</w:t>
            </w:r>
          </w:p>
        </w:tc>
      </w:tr>
    </w:tbl>
    <w:p w:rsidR="00545370" w:rsidP="00DD07A0">
      <w:pPr>
        <w:pStyle w:val="BodyText"/>
      </w:pPr>
    </w:p>
    <w:p w:rsidR="00545370" w:rsidP="00DD07A0">
      <w:pPr>
        <w:pStyle w:val="BodyText"/>
      </w:pPr>
    </w:p>
    <w:p w:rsidR="00000000" w:rsidRPr="00DD07A0" w:rsidP="00DD07A0">
      <w:pPr>
        <w:pStyle w:val="Heading1"/>
      </w:pPr>
      <w:bookmarkStart w:id="7" w:name="O_292360"/>
      <w:bookmarkEnd w:id="7"/>
      <w:r w:rsidRPr="00DD07A0">
        <w:t>Elements and Performance Criteria Pre-Content</w:t>
      </w:r>
    </w:p>
    <w:tbl>
      <w:tblPr>
        <w:tblW w:w="9640" w:type="dxa"/>
        <w:tblLayout w:type="fixed"/>
        <w:tblCellMar>
          <w:left w:w="62" w:type="dxa"/>
          <w:right w:w="62" w:type="dxa"/>
        </w:tblCellMar>
        <w:tblLook w:val="0000"/>
      </w:tblPr>
      <w:tblGrid>
        <w:gridCol w:w="2978"/>
        <w:gridCol w:w="6662"/>
      </w:tblGrid>
      <w:tr w:rsidTr="00545370">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DD07A0">
            <w:pPr>
              <w:pStyle w:val="BodyText"/>
              <w:rPr>
                <w:lang w:val="en-NZ"/>
              </w:rPr>
            </w:pPr>
            <w:r w:rsidRPr="00DD07A0">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DD07A0" w:rsidP="00DD07A0">
            <w:pPr>
              <w:pStyle w:val="BodyText"/>
            </w:pPr>
            <w:r w:rsidRPr="00DD07A0">
              <w:t>Performance criteria describe the required performance needed to demonstrate achievement of the element. Assessment of performance is to be consistent with the evidence guide.</w:t>
            </w:r>
          </w:p>
        </w:tc>
      </w:tr>
    </w:tbl>
    <w:p w:rsidR="00000000" w:rsidRPr="00DD07A0" w:rsidP="00DD07A0">
      <w:pPr>
        <w:pStyle w:val="BodyText"/>
      </w:pPr>
    </w:p>
    <w:p w:rsidR="00000000" w:rsidRPr="00DD07A0" w:rsidP="00DD07A0">
      <w:pPr>
        <w:pStyle w:val="AllowPageBreak"/>
      </w:pPr>
    </w:p>
    <w:p w:rsidR="00000000" w:rsidRPr="00DD07A0" w:rsidP="00DD07A0">
      <w:pPr>
        <w:pStyle w:val="Heading1"/>
      </w:pPr>
      <w:bookmarkStart w:id="8" w:name="O_239028"/>
      <w:bookmarkEnd w:id="8"/>
      <w:r w:rsidRPr="00DD07A0">
        <w:t>Elements and Performance Criteria</w:t>
      </w:r>
    </w:p>
    <w:tbl>
      <w:tblPr>
        <w:tblW w:w="9640" w:type="dxa"/>
        <w:tblLayout w:type="fixed"/>
        <w:tblCellMar>
          <w:left w:w="62" w:type="dxa"/>
          <w:right w:w="62" w:type="dxa"/>
        </w:tblCellMar>
        <w:tblLook w:val="0000"/>
      </w:tblPr>
      <w:tblGrid>
        <w:gridCol w:w="2978"/>
        <w:gridCol w:w="6662"/>
      </w:tblGrid>
      <w:tr w:rsidTr="00545370">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DD07A0" w:rsidP="00DD07A0">
            <w:pPr>
              <w:pStyle w:val="List"/>
            </w:pPr>
            <w:r w:rsidRPr="00DD07A0">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DD07A0">
            <w:pPr>
              <w:pStyle w:val="List"/>
              <w:rPr>
                <w:lang w:val="en-NZ"/>
              </w:rPr>
            </w:pPr>
            <w:r w:rsidRPr="00DD07A0">
              <w:rPr>
                <w:rStyle w:val="SpecialBold"/>
              </w:rPr>
              <w:t>PERFORMANCE CRITERI</w:t>
            </w:r>
            <w:r w:rsidRPr="00DD07A0">
              <w:rPr>
                <w:rStyle w:val="SpecialBold"/>
              </w:rPr>
              <w:t>A</w:t>
            </w:r>
          </w:p>
        </w:tc>
      </w:tr>
      <w:tr w:rsidTr="00545370">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DD07A0">
            <w:pPr>
              <w:pStyle w:val="List"/>
              <w:rPr>
                <w:lang w:val="en-NZ"/>
              </w:rPr>
            </w:pPr>
            <w:r w:rsidRPr="00DD07A0">
              <w:rPr>
                <w:rStyle w:val="SpecialBold"/>
              </w:rPr>
              <w:t>1</w:t>
            </w:r>
            <w:r w:rsidRPr="00DD07A0">
              <w:tab/>
            </w:r>
            <w:r w:rsidRPr="00DD07A0">
              <w:rPr>
                <w:rStyle w:val="SpecialBold"/>
              </w:rPr>
              <w:t>Maintain stock records</w:t>
            </w:r>
          </w:p>
        </w:tc>
        <w:tc>
          <w:tcPr>
            <w:tcW w:w="6662" w:type="dxa"/>
            <w:tcBorders>
              <w:top w:val="nil"/>
              <w:left w:val="nil"/>
              <w:bottom w:val="nil"/>
              <w:right w:val="nil"/>
            </w:tcBorders>
            <w:tcMar>
              <w:top w:w="0" w:type="dxa"/>
              <w:left w:w="62" w:type="dxa"/>
              <w:bottom w:w="0" w:type="dxa"/>
              <w:right w:w="62" w:type="dxa"/>
            </w:tcMar>
          </w:tcPr>
          <w:p w:rsidR="00000000" w:rsidRPr="00DD07A0" w:rsidP="00DD07A0">
            <w:pPr>
              <w:pStyle w:val="List"/>
            </w:pPr>
            <w:r w:rsidRPr="00DD07A0">
              <w:t>1.1</w:t>
            </w:r>
            <w:r w:rsidRPr="00DD07A0">
              <w:tab/>
              <w:t>Stock levels and records are monitored and maintained at required levels</w:t>
            </w:r>
          </w:p>
          <w:p w:rsidR="00000000" w:rsidRPr="00DD07A0" w:rsidP="00DD07A0">
            <w:pPr>
              <w:pStyle w:val="List"/>
            </w:pPr>
            <w:r w:rsidRPr="00DD07A0">
              <w:t>1.2</w:t>
            </w:r>
            <w:r w:rsidRPr="00DD07A0">
              <w:tab/>
              <w:t>Stock reorder cycles are monitored, maintained and adjusted as required</w:t>
            </w:r>
          </w:p>
          <w:p w:rsidR="00000000" w:rsidP="00DD07A0">
            <w:pPr>
              <w:pStyle w:val="List"/>
              <w:rPr>
                <w:lang w:val="en-NZ"/>
              </w:rPr>
            </w:pPr>
            <w:r w:rsidRPr="00DD07A0">
              <w:t>1.3</w:t>
            </w:r>
            <w:r w:rsidRPr="00DD07A0">
              <w:tab/>
            </w:r>
            <w:r w:rsidRPr="00DD07A0">
              <w:t>Stock storage and movement records are maintained in line with organisation's policy</w:t>
            </w:r>
          </w:p>
        </w:tc>
      </w:tr>
      <w:tr w:rsidTr="00545370">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DD07A0">
            <w:pPr>
              <w:pStyle w:val="List"/>
              <w:rPr>
                <w:lang w:val="en-NZ"/>
              </w:rPr>
            </w:pPr>
            <w:r w:rsidRPr="00DD07A0">
              <w:rPr>
                <w:rStyle w:val="SpecialBold"/>
              </w:rPr>
              <w:t>2</w:t>
            </w:r>
            <w:r w:rsidRPr="00DD07A0">
              <w:tab/>
            </w:r>
            <w:r w:rsidRPr="00DD07A0">
              <w:rPr>
                <w:rStyle w:val="SpecialBold"/>
              </w:rPr>
              <w:t>Implement stocktaking and stock rotation processes</w:t>
            </w:r>
          </w:p>
        </w:tc>
        <w:tc>
          <w:tcPr>
            <w:tcW w:w="6662" w:type="dxa"/>
            <w:tcBorders>
              <w:top w:val="nil"/>
              <w:left w:val="nil"/>
              <w:bottom w:val="nil"/>
              <w:right w:val="nil"/>
            </w:tcBorders>
            <w:tcMar>
              <w:top w:w="0" w:type="dxa"/>
              <w:left w:w="62" w:type="dxa"/>
              <w:bottom w:w="0" w:type="dxa"/>
              <w:right w:w="62" w:type="dxa"/>
            </w:tcMar>
          </w:tcPr>
          <w:p w:rsidR="00000000" w:rsidRPr="00DD07A0" w:rsidP="00DD07A0">
            <w:pPr>
              <w:pStyle w:val="List"/>
            </w:pPr>
            <w:r w:rsidRPr="00DD07A0">
              <w:t>2.1</w:t>
            </w:r>
            <w:r w:rsidRPr="00DD07A0">
              <w:tab/>
              <w:t>Policies and procedures in regard to stocktaking and cyclical counts are interpreted and explained to team member</w:t>
            </w:r>
            <w:r w:rsidRPr="00DD07A0">
              <w:t>s</w:t>
            </w:r>
          </w:p>
          <w:p w:rsidR="00000000" w:rsidRPr="00DD07A0" w:rsidP="00DD07A0">
            <w:pPr>
              <w:pStyle w:val="List"/>
            </w:pPr>
            <w:r w:rsidRPr="00DD07A0">
              <w:t>2.2</w:t>
            </w:r>
            <w:r w:rsidRPr="00DD07A0">
              <w:tab/>
              <w:t>Stocktaking tasks are allocated to individual team members</w:t>
            </w:r>
          </w:p>
          <w:p w:rsidR="00000000" w:rsidRPr="00DD07A0" w:rsidP="00DD07A0">
            <w:pPr>
              <w:pStyle w:val="List"/>
            </w:pPr>
            <w:r w:rsidRPr="00DD07A0">
              <w:t>2.3</w:t>
            </w:r>
            <w:r w:rsidRPr="00DD07A0">
              <w:tab/>
              <w:t>Team members are provided with clear directions for the performance of each task and supervised</w:t>
            </w:r>
          </w:p>
          <w:p w:rsidR="00000000" w:rsidP="00DD07A0">
            <w:pPr>
              <w:pStyle w:val="List"/>
              <w:rPr>
                <w:lang w:val="en-NZ"/>
              </w:rPr>
            </w:pPr>
            <w:r w:rsidRPr="00DD07A0">
              <w:t>2.4</w:t>
            </w:r>
            <w:r w:rsidRPr="00DD07A0">
              <w:tab/>
              <w:t>Stocktaking and stock rotation procedures are implemented</w:t>
            </w:r>
          </w:p>
        </w:tc>
      </w:tr>
      <w:tr w:rsidTr="00545370">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DD07A0">
            <w:pPr>
              <w:pStyle w:val="List"/>
              <w:rPr>
                <w:lang w:val="en-NZ"/>
              </w:rPr>
            </w:pPr>
            <w:r w:rsidRPr="00DD07A0">
              <w:rPr>
                <w:rStyle w:val="SpecialBold"/>
              </w:rPr>
              <w:t>3</w:t>
            </w:r>
            <w:r w:rsidRPr="00DD07A0">
              <w:tab/>
            </w:r>
            <w:r w:rsidRPr="00DD07A0">
              <w:rPr>
                <w:rStyle w:val="SpecialBold"/>
              </w:rPr>
              <w:t>Identify stock losses</w:t>
            </w:r>
          </w:p>
        </w:tc>
        <w:tc>
          <w:tcPr>
            <w:tcW w:w="6662" w:type="dxa"/>
            <w:tcBorders>
              <w:top w:val="nil"/>
              <w:left w:val="nil"/>
              <w:bottom w:val="nil"/>
              <w:right w:val="nil"/>
            </w:tcBorders>
            <w:tcMar>
              <w:top w:w="0" w:type="dxa"/>
              <w:left w:w="62" w:type="dxa"/>
              <w:bottom w:w="0" w:type="dxa"/>
              <w:right w:w="62" w:type="dxa"/>
            </w:tcMar>
          </w:tcPr>
          <w:p w:rsidR="00000000" w:rsidRPr="00DD07A0" w:rsidP="00DD07A0">
            <w:pPr>
              <w:pStyle w:val="List"/>
            </w:pPr>
            <w:r w:rsidRPr="00DD07A0">
              <w:t>3.1</w:t>
            </w:r>
            <w:r w:rsidRPr="00DD07A0">
              <w:tab/>
            </w:r>
            <w:r w:rsidRPr="00DD07A0">
              <w:t>Losses are accurately identified, recorded and assessed against potential loss forecast on a regular basis</w:t>
            </w:r>
          </w:p>
          <w:p w:rsidR="00000000" w:rsidRPr="00DD07A0" w:rsidP="00DD07A0">
            <w:pPr>
              <w:pStyle w:val="List"/>
            </w:pPr>
            <w:r w:rsidRPr="00DD07A0">
              <w:t>3.2</w:t>
            </w:r>
            <w:r w:rsidRPr="00DD07A0">
              <w:tab/>
              <w:t>Avoidable losses are identified and reasons established</w:t>
            </w:r>
          </w:p>
          <w:p w:rsidR="00000000" w:rsidRPr="00DD07A0" w:rsidP="00DD07A0">
            <w:pPr>
              <w:pStyle w:val="List"/>
            </w:pPr>
            <w:r w:rsidRPr="00DD07A0">
              <w:t>3.3</w:t>
            </w:r>
            <w:r w:rsidRPr="00DD07A0">
              <w:tab/>
              <w:t>Possible solutions to avoidable losses are recommended and implemented</w:t>
            </w:r>
          </w:p>
          <w:p w:rsidR="00000000" w:rsidRPr="00DD07A0" w:rsidP="00DD07A0">
            <w:pPr>
              <w:pStyle w:val="List"/>
            </w:pPr>
            <w:r w:rsidRPr="00DD07A0">
              <w:t>3.4</w:t>
            </w:r>
            <w:r w:rsidRPr="00DD07A0">
              <w:tab/>
            </w:r>
            <w:r w:rsidRPr="00DD07A0">
              <w:t>Accurate reports on stocktake data, including discrepancies are produced for management</w:t>
            </w:r>
          </w:p>
        </w:tc>
      </w:tr>
    </w:tbl>
    <w:p w:rsidR="00545370" w:rsidP="00DD07A0">
      <w:pPr>
        <w:pStyle w:val="BodyText"/>
      </w:pPr>
    </w:p>
    <w:p w:rsidR="00545370" w:rsidP="00DD07A0">
      <w:pPr>
        <w:pStyle w:val="BodyText"/>
      </w:pPr>
    </w:p>
    <w:p w:rsidR="00000000" w:rsidRPr="00DD07A0" w:rsidP="00DD07A0">
      <w:pPr>
        <w:pStyle w:val="Heading1"/>
      </w:pPr>
      <w:bookmarkStart w:id="9" w:name="O_262819"/>
      <w:bookmarkEnd w:id="9"/>
      <w:r w:rsidRPr="00DD07A0">
        <w:t>Required Skills and Knowledge</w:t>
      </w:r>
    </w:p>
    <w:tbl>
      <w:tblPr>
        <w:tblW w:w="9640" w:type="dxa"/>
        <w:tblLayout w:type="fixed"/>
        <w:tblCellMar>
          <w:left w:w="62" w:type="dxa"/>
          <w:right w:w="62" w:type="dxa"/>
        </w:tblCellMar>
        <w:tblLook w:val="0000"/>
      </w:tblPr>
      <w:tblGrid>
        <w:gridCol w:w="9640"/>
      </w:tblGrid>
      <w:tr w:rsidTr="00545370">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DD07A0">
            <w:pPr>
              <w:pStyle w:val="BodyText"/>
              <w:rPr>
                <w:lang w:val="en-NZ"/>
              </w:rPr>
            </w:pPr>
            <w:r w:rsidRPr="00DD07A0">
              <w:rPr>
                <w:rStyle w:val="SpecialBold"/>
              </w:rPr>
              <w:t>REQUIRED KNOWLEDGE AND SKILLS</w:t>
            </w:r>
          </w:p>
        </w:tc>
      </w:tr>
      <w:tr w:rsidTr="0054537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D07A0">
            <w:pPr>
              <w:pStyle w:val="BodyText"/>
              <w:rPr>
                <w:lang w:val="en-NZ"/>
              </w:rPr>
            </w:pPr>
            <w:r w:rsidRPr="00DD07A0">
              <w:t>This describes the essential knowledge and skills and their level required for this u</w:t>
            </w:r>
            <w:r w:rsidRPr="00DD07A0">
              <w:t>nit.</w:t>
            </w:r>
          </w:p>
        </w:tc>
      </w:tr>
      <w:tr w:rsidTr="0054537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D07A0">
            <w:pPr>
              <w:pStyle w:val="BodyText"/>
              <w:rPr>
                <w:lang w:val="en-NZ"/>
              </w:rPr>
            </w:pPr>
            <w:r w:rsidRPr="00DD07A0">
              <w:rPr>
                <w:rStyle w:val="SpecialBold"/>
              </w:rPr>
              <w:t>Required knowledge</w:t>
            </w:r>
            <w:r w:rsidRPr="00DD07A0">
              <w:t>:</w:t>
            </w:r>
          </w:p>
        </w:tc>
      </w:tr>
      <w:tr w:rsidTr="0054537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D07A0">
            <w:pPr>
              <w:pStyle w:val="ListBullet"/>
              <w:rPr>
                <w:lang w:val="en-NZ"/>
              </w:rPr>
            </w:pPr>
            <w:r w:rsidRPr="00DD07A0">
              <w:t>Relevant sections of national and state or territory regulatory requirements and codes of practice</w:t>
            </w:r>
          </w:p>
        </w:tc>
      </w:tr>
      <w:tr w:rsidTr="0054537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D07A0">
            <w:pPr>
              <w:pStyle w:val="ListBullet"/>
              <w:rPr>
                <w:lang w:val="en-NZ"/>
              </w:rPr>
            </w:pPr>
            <w:r w:rsidRPr="00DD07A0">
              <w:t>Relevant OH&amp;S and environmental procedures and regulations</w:t>
            </w:r>
          </w:p>
        </w:tc>
      </w:tr>
      <w:tr w:rsidTr="0054537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D07A0">
            <w:pPr>
              <w:pStyle w:val="ListBullet"/>
              <w:rPr>
                <w:lang w:val="en-NZ"/>
              </w:rPr>
            </w:pPr>
            <w:r w:rsidRPr="00DD07A0">
              <w:t>Safe handling of specific dangerous goods (as relevant for enterprise)</w:t>
            </w:r>
          </w:p>
        </w:tc>
      </w:tr>
      <w:tr w:rsidTr="0054537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D07A0">
            <w:pPr>
              <w:pStyle w:val="ListBullet"/>
              <w:rPr>
                <w:lang w:val="en-NZ"/>
              </w:rPr>
            </w:pPr>
            <w:r w:rsidRPr="00DD07A0">
              <w:t>Stock control</w:t>
            </w:r>
          </w:p>
        </w:tc>
      </w:tr>
      <w:tr w:rsidTr="0054537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D07A0">
            <w:pPr>
              <w:pStyle w:val="ListBullet"/>
              <w:rPr>
                <w:lang w:val="en-NZ"/>
              </w:rPr>
            </w:pPr>
            <w:r w:rsidRPr="00DD07A0">
              <w:t>Stock replenishment/reorder procedures</w:t>
            </w:r>
          </w:p>
        </w:tc>
      </w:tr>
      <w:tr w:rsidTr="0054537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D07A0">
            <w:pPr>
              <w:pStyle w:val="ListBullet"/>
              <w:rPr>
                <w:lang w:val="en-NZ"/>
              </w:rPr>
            </w:pPr>
            <w:r w:rsidRPr="00DD07A0">
              <w:t>Procedures fo identifying and recording discrepancies/damage</w:t>
            </w:r>
          </w:p>
        </w:tc>
      </w:tr>
      <w:tr w:rsidTr="0054537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D07A0">
            <w:pPr>
              <w:pStyle w:val="ListBullet"/>
              <w:rPr>
                <w:lang w:val="en-NZ"/>
              </w:rPr>
            </w:pPr>
            <w:r w:rsidRPr="00DD07A0">
              <w:t>Procedures for operating electronic communications equipment</w:t>
            </w:r>
          </w:p>
        </w:tc>
      </w:tr>
      <w:tr w:rsidTr="0054537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DD07A0" w:rsidP="00DD07A0">
            <w:pPr>
              <w:pStyle w:val="ListBullet"/>
            </w:pPr>
            <w:r w:rsidRPr="00DD07A0">
              <w:t>Requirements for completing relevant documentation</w:t>
            </w:r>
          </w:p>
        </w:tc>
      </w:tr>
    </w:tbl>
    <w:p w:rsidR="00000000" w:rsidRPr="00DD07A0" w:rsidP="00DD07A0">
      <w:pPr>
        <w:pStyle w:val="BodyText"/>
      </w:pPr>
    </w:p>
    <w:tbl>
      <w:tblPr>
        <w:tblW w:w="9640" w:type="dxa"/>
        <w:tblLayout w:type="fixed"/>
        <w:tblCellMar>
          <w:left w:w="62" w:type="dxa"/>
          <w:right w:w="62" w:type="dxa"/>
        </w:tblCellMar>
        <w:tblLook w:val="0000"/>
      </w:tblPr>
      <w:tblGrid>
        <w:gridCol w:w="9640"/>
      </w:tblGrid>
      <w:tr w:rsidTr="00545370">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DD07A0">
            <w:pPr>
              <w:pStyle w:val="BodyText"/>
              <w:rPr>
                <w:lang w:val="en-NZ"/>
              </w:rPr>
            </w:pPr>
            <w:r w:rsidRPr="00DD07A0">
              <w:rPr>
                <w:rStyle w:val="SpecialBold"/>
              </w:rPr>
              <w:t>Required skills</w:t>
            </w:r>
            <w:r w:rsidRPr="00DD07A0">
              <w:t>:</w:t>
            </w:r>
          </w:p>
        </w:tc>
      </w:tr>
      <w:tr w:rsidTr="0054537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D07A0">
            <w:pPr>
              <w:pStyle w:val="ListBullet"/>
              <w:rPr>
                <w:lang w:val="en-NZ"/>
              </w:rPr>
            </w:pPr>
            <w:r w:rsidRPr="00DD07A0">
              <w:t>Communicate effectively with others when supervising a team of people involved in stocktaking</w:t>
            </w:r>
          </w:p>
        </w:tc>
      </w:tr>
      <w:tr w:rsidTr="0054537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D07A0">
            <w:pPr>
              <w:pStyle w:val="ListBullet"/>
              <w:rPr>
                <w:lang w:val="en-NZ"/>
              </w:rPr>
            </w:pPr>
            <w:r w:rsidRPr="00DD07A0">
              <w:t>Read and interpret instructions, procedures, information and signs relevant to work acti</w:t>
            </w:r>
            <w:r w:rsidRPr="00DD07A0">
              <w:t>vities</w:t>
            </w:r>
          </w:p>
        </w:tc>
      </w:tr>
      <w:tr w:rsidTr="0054537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D07A0">
            <w:pPr>
              <w:pStyle w:val="ListBullet"/>
              <w:rPr>
                <w:lang w:val="en-NZ"/>
              </w:rPr>
            </w:pPr>
            <w:r w:rsidRPr="00DD07A0">
              <w:t>Complete documentation related to work activities including stocktake documentation</w:t>
            </w:r>
          </w:p>
        </w:tc>
      </w:tr>
      <w:tr w:rsidTr="0054537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D07A0">
            <w:pPr>
              <w:pStyle w:val="ListBullet"/>
              <w:rPr>
                <w:lang w:val="en-NZ"/>
              </w:rPr>
            </w:pPr>
            <w:r w:rsidRPr="00DD07A0">
              <w:t>Work collaboratively with others</w:t>
            </w:r>
          </w:p>
        </w:tc>
      </w:tr>
      <w:tr w:rsidTr="0054537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D07A0">
            <w:pPr>
              <w:pStyle w:val="ListBullet"/>
              <w:rPr>
                <w:lang w:val="en-NZ"/>
              </w:rPr>
            </w:pPr>
            <w:r w:rsidRPr="00DD07A0">
              <w:t>Adapt appropriately to cultural differences in the workplace, including modes of behaviour and interactions with others</w:t>
            </w:r>
          </w:p>
        </w:tc>
      </w:tr>
      <w:tr w:rsidTr="0054537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D07A0">
            <w:pPr>
              <w:pStyle w:val="ListBullet"/>
              <w:rPr>
                <w:lang w:val="en-NZ"/>
              </w:rPr>
            </w:pPr>
            <w:r w:rsidRPr="00DD07A0">
              <w:t>Promptly report and/or rectify any identified problems, faults or malfunctions in accordance with regulatory requirements and workplace procedures</w:t>
            </w:r>
          </w:p>
        </w:tc>
      </w:tr>
      <w:tr w:rsidTr="0054537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D07A0">
            <w:pPr>
              <w:pStyle w:val="ListBullet"/>
              <w:rPr>
                <w:lang w:val="en-NZ"/>
              </w:rPr>
            </w:pPr>
            <w:r w:rsidRPr="00DD07A0">
              <w:t>Implement contingency plans for unplanned events</w:t>
            </w:r>
          </w:p>
        </w:tc>
      </w:tr>
      <w:tr w:rsidTr="0054537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D07A0">
            <w:pPr>
              <w:pStyle w:val="ListBullet"/>
              <w:rPr>
                <w:lang w:val="en-NZ"/>
              </w:rPr>
            </w:pPr>
            <w:r w:rsidRPr="00DD07A0">
              <w:t>Monitor work activities in terms of planned schedule</w:t>
            </w:r>
          </w:p>
        </w:tc>
      </w:tr>
      <w:tr w:rsidTr="0054537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DD07A0" w:rsidP="00DD07A0">
            <w:pPr>
              <w:pStyle w:val="ListBullet"/>
            </w:pPr>
            <w:r w:rsidRPr="00DD07A0">
              <w:t>O</w:t>
            </w:r>
            <w:r w:rsidRPr="00DD07A0">
              <w:t>perate equipment in accordance with standard operating procedures</w:t>
            </w:r>
          </w:p>
        </w:tc>
      </w:tr>
    </w:tbl>
    <w:p w:rsidR="00545370" w:rsidP="00DD07A0">
      <w:pPr>
        <w:pStyle w:val="BodyText"/>
      </w:pPr>
    </w:p>
    <w:p w:rsidR="00545370" w:rsidP="00DD07A0">
      <w:pPr>
        <w:pStyle w:val="BodyText"/>
      </w:pPr>
    </w:p>
    <w:p w:rsidR="00000000" w:rsidRPr="00DD07A0" w:rsidP="00DD07A0">
      <w:pPr>
        <w:pStyle w:val="Heading1"/>
      </w:pPr>
      <w:bookmarkStart w:id="10" w:name="O_247012"/>
      <w:bookmarkEnd w:id="10"/>
      <w:r w:rsidRPr="00DD07A0">
        <w:t>Evidence Guide</w:t>
      </w:r>
    </w:p>
    <w:tbl>
      <w:tblPr>
        <w:tblW w:w="9499" w:type="dxa"/>
        <w:tblLayout w:type="fixed"/>
        <w:tblCellMar>
          <w:left w:w="62" w:type="dxa"/>
          <w:right w:w="62" w:type="dxa"/>
        </w:tblCellMar>
        <w:tblLook w:val="0000"/>
      </w:tblPr>
      <w:tblGrid>
        <w:gridCol w:w="3524"/>
        <w:gridCol w:w="5975"/>
      </w:tblGrid>
      <w:tr w:rsidTr="00545370">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DD07A0">
            <w:pPr>
              <w:pStyle w:val="BodyText"/>
              <w:rPr>
                <w:lang w:val="en-NZ"/>
              </w:rPr>
            </w:pPr>
            <w:r w:rsidRPr="00DD07A0">
              <w:rPr>
                <w:rStyle w:val="SpecialBold"/>
              </w:rPr>
              <w:t>EVIDENCE GUIDE</w:t>
            </w:r>
          </w:p>
        </w:tc>
      </w:tr>
      <w:tr w:rsidTr="00545370">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DD07A0">
            <w:pPr>
              <w:pStyle w:val="BodyText"/>
              <w:rPr>
                <w:lang w:val="en-NZ"/>
              </w:rPr>
            </w:pPr>
            <w:r w:rsidRPr="00DD07A0">
              <w:t>The evidence guide provides advice on assessment and must be read in conjunction with the performance criteria, required knowledge and skills, the range statement and the assessment guidelines for this Training Package.</w:t>
            </w:r>
          </w:p>
        </w:tc>
      </w:tr>
      <w:tr w:rsidTr="00545370">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DD07A0">
            <w:pPr>
              <w:pStyle w:val="BodyText"/>
              <w:rPr>
                <w:lang w:val="en-NZ"/>
              </w:rPr>
            </w:pPr>
            <w:r w:rsidRPr="00DD07A0">
              <w:rPr>
                <w:rStyle w:val="SpecialBold"/>
              </w:rPr>
              <w:t>Critical aspects for assessment an</w:t>
            </w:r>
            <w:r w:rsidRPr="00DD07A0">
              <w:rPr>
                <w:rStyle w:val="SpecialBold"/>
              </w:rPr>
              <w:t>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DD07A0" w:rsidP="00DD07A0">
            <w:pPr>
              <w:pStyle w:val="ListBullet"/>
            </w:pPr>
            <w:r w:rsidRPr="00DD07A0">
              <w:t>The evidence required to demonstrate competency in this unit must be relevant to and satisfy all of the requirements of the elements and performance criteria of this unit and include demonstration</w:t>
            </w:r>
            <w:r w:rsidRPr="00DD07A0">
              <w:t xml:space="preserve"> of applying:</w:t>
            </w:r>
          </w:p>
          <w:p w:rsidR="00000000" w:rsidRPr="00DD07A0" w:rsidP="00DD07A0">
            <w:pPr>
              <w:pStyle w:val="ListBullet2"/>
            </w:pPr>
            <w:r w:rsidRPr="00DD07A0">
              <w:t>the underpinning knowledge and skills</w:t>
            </w:r>
          </w:p>
          <w:p w:rsidR="00000000" w:rsidRPr="00DD07A0" w:rsidP="00DD07A0">
            <w:pPr>
              <w:pStyle w:val="ListBullet2"/>
            </w:pPr>
            <w:r w:rsidRPr="00DD07A0">
              <w:t>relevant legislation and workplace procedures</w:t>
            </w:r>
          </w:p>
          <w:p w:rsidR="00000000" w:rsidP="00DD07A0">
            <w:pPr>
              <w:pStyle w:val="ListBullet2"/>
              <w:rPr>
                <w:lang w:val="en-NZ"/>
              </w:rPr>
            </w:pPr>
            <w:r w:rsidRPr="00DD07A0">
              <w:t>other relevant aspects of the range statement</w:t>
            </w:r>
          </w:p>
        </w:tc>
      </w:tr>
      <w:tr w:rsidTr="00545370">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DD07A0">
            <w:pPr>
              <w:pStyle w:val="BodyText"/>
              <w:rPr>
                <w:lang w:val="en-NZ"/>
              </w:rPr>
            </w:pPr>
            <w:r w:rsidRPr="00DD07A0">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DD07A0" w:rsidP="00DD07A0">
            <w:pPr>
              <w:pStyle w:val="ListBullet"/>
            </w:pPr>
            <w:r w:rsidRPr="00DD07A0">
              <w:t>Performance is demonstrated consistently over a period of time and in a suitable range of contexts</w:t>
            </w:r>
          </w:p>
          <w:p w:rsidR="00000000" w:rsidRPr="00DD07A0" w:rsidP="00DD07A0">
            <w:pPr>
              <w:pStyle w:val="ListBullet"/>
            </w:pPr>
            <w:r w:rsidRPr="00DD07A0">
              <w:t>Resources for assessment include:</w:t>
            </w:r>
          </w:p>
          <w:p w:rsidR="00000000" w:rsidRPr="00DD07A0" w:rsidP="00DD07A0">
            <w:pPr>
              <w:pStyle w:val="ListBullet2"/>
            </w:pPr>
            <w:r w:rsidRPr="00DD07A0">
              <w:t>a range of relevant exercises, case studies and/or other simulated practical and knowledge assessment, and/or</w:t>
            </w:r>
          </w:p>
          <w:p w:rsidR="00000000" w:rsidRPr="00DD07A0" w:rsidP="00DD07A0">
            <w:pPr>
              <w:pStyle w:val="ListBullet2"/>
            </w:pPr>
            <w:r w:rsidRPr="00DD07A0">
              <w:t>access to an appropriate range of relevant operational situations in the workplace</w:t>
            </w:r>
          </w:p>
          <w:p w:rsidR="00000000" w:rsidRPr="00DD07A0" w:rsidP="00DD07A0">
            <w:pPr>
              <w:pStyle w:val="ListBullet"/>
            </w:pPr>
            <w:r w:rsidRPr="00DD07A0">
              <w:t>In both real and simulated environments, access is required to:</w:t>
            </w:r>
          </w:p>
          <w:p w:rsidR="00000000" w:rsidRPr="00DD07A0" w:rsidP="00DD07A0">
            <w:pPr>
              <w:pStyle w:val="ListBullet2"/>
            </w:pPr>
            <w:r w:rsidRPr="00DD07A0">
              <w:t>relevant and appropriate materials and equipment, and</w:t>
            </w:r>
          </w:p>
          <w:p w:rsidR="00000000" w:rsidP="00DD07A0">
            <w:pPr>
              <w:pStyle w:val="ListBullet2"/>
              <w:rPr>
                <w:lang w:val="en-NZ"/>
              </w:rPr>
            </w:pPr>
            <w:r w:rsidRPr="00DD07A0">
              <w:t>applicable documentation including workplace procedur</w:t>
            </w:r>
            <w:r w:rsidRPr="00DD07A0">
              <w:t>es, regulations, codes of practice and operation manuals</w:t>
            </w:r>
          </w:p>
        </w:tc>
      </w:tr>
      <w:tr w:rsidTr="00545370">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DD07A0">
            <w:pPr>
              <w:pStyle w:val="BodyText"/>
              <w:rPr>
                <w:lang w:val="en-NZ"/>
              </w:rPr>
            </w:pPr>
            <w:r w:rsidRPr="00DD07A0">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DD07A0" w:rsidP="00DD07A0">
            <w:pPr>
              <w:pStyle w:val="ListBullet"/>
            </w:pPr>
            <w:r w:rsidRPr="00DD07A0">
              <w:t>Assessment of this unit must be undertaken by a registered training organisation</w:t>
            </w:r>
          </w:p>
          <w:p w:rsidR="00000000" w:rsidRPr="00DD07A0" w:rsidP="00DD07A0">
            <w:pPr>
              <w:pStyle w:val="ListBullet"/>
            </w:pPr>
            <w:r w:rsidRPr="00DD07A0">
              <w:t>As a minimum, assessment of knowledge must be conducted through appropriate written/oral tests</w:t>
            </w:r>
          </w:p>
          <w:p w:rsidR="00000000" w:rsidRPr="00DD07A0" w:rsidP="00DD07A0">
            <w:pPr>
              <w:pStyle w:val="ListBullet"/>
            </w:pPr>
            <w:r w:rsidRPr="00DD07A0">
              <w:t>Practical assessment must occur:</w:t>
            </w:r>
          </w:p>
          <w:p w:rsidR="00000000" w:rsidRPr="00DD07A0" w:rsidP="00DD07A0">
            <w:pPr>
              <w:pStyle w:val="ListBullet2"/>
            </w:pPr>
            <w:r w:rsidRPr="00DD07A0">
              <w:t>through activities in an appropriately simulated environment at the registered training organisation, and/or</w:t>
            </w:r>
          </w:p>
          <w:p w:rsidR="00000000" w:rsidRPr="00DD07A0" w:rsidP="00DD07A0">
            <w:pPr>
              <w:pStyle w:val="ListBullet2"/>
            </w:pPr>
            <w:r w:rsidRPr="00DD07A0">
              <w:t>in an appropriate range of situations in the workplace</w:t>
            </w:r>
          </w:p>
        </w:tc>
      </w:tr>
    </w:tbl>
    <w:p w:rsidR="00545370" w:rsidP="00DD07A0">
      <w:pPr>
        <w:pStyle w:val="BodyText"/>
      </w:pPr>
    </w:p>
    <w:p w:rsidR="00545370" w:rsidP="00DD07A0">
      <w:pPr>
        <w:pStyle w:val="BodyText"/>
      </w:pPr>
    </w:p>
    <w:p w:rsidR="00000000" w:rsidRPr="00DD07A0" w:rsidP="00DD07A0">
      <w:pPr>
        <w:pStyle w:val="Heading1"/>
      </w:pPr>
      <w:bookmarkStart w:id="11" w:name="O_254995"/>
      <w:bookmarkEnd w:id="11"/>
      <w:r w:rsidRPr="00DD07A0">
        <w:t>Range Statement</w:t>
      </w:r>
    </w:p>
    <w:tbl>
      <w:tblPr>
        <w:tblW w:w="9640" w:type="dxa"/>
        <w:tblLayout w:type="fixed"/>
        <w:tblCellMar>
          <w:left w:w="62" w:type="dxa"/>
          <w:right w:w="62" w:type="dxa"/>
        </w:tblCellMar>
        <w:tblLook w:val="0000"/>
      </w:tblPr>
      <w:tblGrid>
        <w:gridCol w:w="3486"/>
        <w:gridCol w:w="6154"/>
      </w:tblGrid>
      <w:tr w:rsidTr="00545370">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DD07A0">
            <w:pPr>
              <w:pStyle w:val="BodyText"/>
              <w:rPr>
                <w:lang w:val="en-NZ"/>
              </w:rPr>
            </w:pPr>
            <w:r w:rsidRPr="00DD07A0">
              <w:rPr>
                <w:rStyle w:val="SpecialBold"/>
              </w:rPr>
              <w:t>RANGE STATEMENT</w:t>
            </w:r>
            <w:r w:rsidRPr="00DD07A0">
              <w:t xml:space="preserve"> </w:t>
            </w:r>
          </w:p>
        </w:tc>
      </w:tr>
      <w:tr w:rsidTr="00545370">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DD07A0">
            <w:pPr>
              <w:pStyle w:val="BodyText"/>
              <w:rPr>
                <w:lang w:val="en-NZ"/>
              </w:rPr>
            </w:pPr>
            <w:r w:rsidRPr="00DD07A0">
              <w:t>The range statement relates to the unit of competency as a whole. It allows for different work environments and situations that may affect performance.</w:t>
            </w:r>
          </w:p>
        </w:tc>
      </w:tr>
      <w:tr w:rsidTr="00545370">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DD07A0">
            <w:pPr>
              <w:pStyle w:val="BodyText"/>
              <w:rPr>
                <w:lang w:val="en-NZ"/>
              </w:rPr>
            </w:pPr>
            <w:r w:rsidRPr="00DD07A0">
              <w:t>Categories or groups of products or stock may include:</w:t>
            </w:r>
          </w:p>
        </w:tc>
        <w:tc>
          <w:tcPr>
            <w:tcW w:w="6154" w:type="dxa"/>
            <w:tcBorders>
              <w:top w:val="nil"/>
              <w:left w:val="nil"/>
              <w:bottom w:val="nil"/>
              <w:right w:val="nil"/>
            </w:tcBorders>
            <w:tcMar>
              <w:top w:w="0" w:type="dxa"/>
              <w:left w:w="62" w:type="dxa"/>
              <w:bottom w:w="0" w:type="dxa"/>
              <w:right w:w="62" w:type="dxa"/>
            </w:tcMar>
          </w:tcPr>
          <w:p w:rsidR="00000000" w:rsidRPr="00DD07A0" w:rsidP="00DD07A0">
            <w:pPr>
              <w:pStyle w:val="ListBullet"/>
            </w:pPr>
            <w:r w:rsidRPr="00DD07A0">
              <w:t>small parts</w:t>
            </w:r>
          </w:p>
          <w:p w:rsidR="00000000" w:rsidRPr="00DD07A0" w:rsidP="00DD07A0">
            <w:pPr>
              <w:pStyle w:val="ListBullet"/>
            </w:pPr>
            <w:r w:rsidRPr="00DD07A0">
              <w:t>perishable goods</w:t>
            </w:r>
          </w:p>
          <w:p w:rsidR="00000000" w:rsidRPr="00DD07A0" w:rsidP="00DD07A0">
            <w:pPr>
              <w:pStyle w:val="ListBullet"/>
            </w:pPr>
            <w:r w:rsidRPr="00DD07A0">
              <w:t>goods for overseas export</w:t>
            </w:r>
          </w:p>
          <w:p w:rsidR="00000000" w:rsidRPr="00DD07A0" w:rsidP="00DD07A0">
            <w:pPr>
              <w:pStyle w:val="ListBullet"/>
            </w:pPr>
            <w:r w:rsidRPr="00DD07A0">
              <w:t>dangerous goods</w:t>
            </w:r>
          </w:p>
          <w:p w:rsidR="00000000" w:rsidRPr="00DD07A0" w:rsidP="00DD07A0">
            <w:pPr>
              <w:pStyle w:val="ListBullet"/>
            </w:pPr>
            <w:r w:rsidRPr="00DD07A0">
              <w:t>temperature controlled stock</w:t>
            </w:r>
          </w:p>
          <w:p w:rsidR="00000000" w:rsidP="00DD07A0">
            <w:pPr>
              <w:pStyle w:val="ListBullet"/>
              <w:rPr>
                <w:lang w:val="en-NZ"/>
              </w:rPr>
            </w:pPr>
            <w:r w:rsidRPr="00DD07A0">
              <w:t>fragile goods</w:t>
            </w:r>
          </w:p>
        </w:tc>
      </w:tr>
      <w:tr w:rsidTr="00545370">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DD07A0">
            <w:pPr>
              <w:pStyle w:val="BodyText"/>
              <w:rPr>
                <w:lang w:val="en-NZ"/>
              </w:rPr>
            </w:pPr>
            <w:r w:rsidRPr="00DD07A0">
              <w:t>Communication in the work area may include:</w:t>
            </w:r>
          </w:p>
        </w:tc>
        <w:tc>
          <w:tcPr>
            <w:tcW w:w="6154" w:type="dxa"/>
            <w:tcBorders>
              <w:top w:val="nil"/>
              <w:left w:val="nil"/>
              <w:bottom w:val="nil"/>
              <w:right w:val="nil"/>
            </w:tcBorders>
            <w:tcMar>
              <w:top w:w="0" w:type="dxa"/>
              <w:left w:w="62" w:type="dxa"/>
              <w:bottom w:w="0" w:type="dxa"/>
              <w:right w:w="62" w:type="dxa"/>
            </w:tcMar>
          </w:tcPr>
          <w:p w:rsidR="00000000" w:rsidRPr="00DD07A0" w:rsidP="00DD07A0">
            <w:pPr>
              <w:pStyle w:val="ListBullet"/>
            </w:pPr>
            <w:r w:rsidRPr="00DD07A0">
              <w:t>phone</w:t>
            </w:r>
          </w:p>
          <w:p w:rsidR="00000000" w:rsidRPr="00DD07A0" w:rsidP="00DD07A0">
            <w:pPr>
              <w:pStyle w:val="ListBullet"/>
            </w:pPr>
            <w:r w:rsidRPr="00DD07A0">
              <w:t>electronic data interchange (EDI)</w:t>
            </w:r>
          </w:p>
          <w:p w:rsidR="00000000" w:rsidRPr="00DD07A0" w:rsidP="00DD07A0">
            <w:pPr>
              <w:pStyle w:val="ListBullet"/>
            </w:pPr>
            <w:r w:rsidRPr="00DD07A0">
              <w:t>fax</w:t>
            </w:r>
          </w:p>
          <w:p w:rsidR="00000000" w:rsidRPr="00DD07A0" w:rsidP="00DD07A0">
            <w:pPr>
              <w:pStyle w:val="ListBullet"/>
            </w:pPr>
            <w:r w:rsidRPr="00DD07A0">
              <w:t>email</w:t>
            </w:r>
          </w:p>
          <w:p w:rsidR="00000000" w:rsidRPr="00DD07A0" w:rsidP="00DD07A0">
            <w:pPr>
              <w:pStyle w:val="ListBullet"/>
            </w:pPr>
            <w:r w:rsidRPr="00DD07A0">
              <w:t>internet</w:t>
            </w:r>
          </w:p>
          <w:p w:rsidR="00000000" w:rsidRPr="00DD07A0" w:rsidP="00DD07A0">
            <w:pPr>
              <w:pStyle w:val="ListBullet"/>
            </w:pPr>
            <w:r w:rsidRPr="00DD07A0">
              <w:t>RF systems</w:t>
            </w:r>
          </w:p>
          <w:p w:rsidR="00000000" w:rsidP="00DD07A0">
            <w:pPr>
              <w:pStyle w:val="ListBullet"/>
              <w:rPr>
                <w:lang w:val="en-NZ"/>
              </w:rPr>
            </w:pPr>
            <w:r w:rsidRPr="00DD07A0">
              <w:t>oral, aural or signed communications</w:t>
            </w:r>
          </w:p>
        </w:tc>
      </w:tr>
      <w:tr w:rsidTr="00545370">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DD07A0">
            <w:pPr>
              <w:pStyle w:val="BodyText"/>
              <w:rPr>
                <w:lang w:val="en-NZ"/>
              </w:rPr>
            </w:pPr>
            <w:r w:rsidRPr="00DD07A0">
              <w:t>Documentation and records may include:</w:t>
            </w:r>
          </w:p>
        </w:tc>
        <w:tc>
          <w:tcPr>
            <w:tcW w:w="6154" w:type="dxa"/>
            <w:tcBorders>
              <w:top w:val="nil"/>
              <w:left w:val="nil"/>
              <w:bottom w:val="nil"/>
              <w:right w:val="nil"/>
            </w:tcBorders>
            <w:tcMar>
              <w:top w:w="0" w:type="dxa"/>
              <w:left w:w="62" w:type="dxa"/>
              <w:bottom w:w="0" w:type="dxa"/>
              <w:right w:w="62" w:type="dxa"/>
            </w:tcMar>
          </w:tcPr>
          <w:p w:rsidR="00000000" w:rsidRPr="00DD07A0" w:rsidP="00DD07A0">
            <w:pPr>
              <w:pStyle w:val="ListBullet"/>
            </w:pPr>
            <w:r w:rsidRPr="00DD07A0">
              <w:t>policy and procedures for receipt and despatch of goods</w:t>
            </w:r>
          </w:p>
          <w:p w:rsidR="00000000" w:rsidRPr="00DD07A0" w:rsidP="00DD07A0">
            <w:pPr>
              <w:pStyle w:val="ListBullet"/>
            </w:pPr>
            <w:r w:rsidRPr="00DD07A0">
              <w:t>procedures for stocktake</w:t>
            </w:r>
          </w:p>
          <w:p w:rsidR="00000000" w:rsidRPr="00DD07A0" w:rsidP="00DD07A0">
            <w:pPr>
              <w:pStyle w:val="ListBullet"/>
            </w:pPr>
            <w:r w:rsidRPr="00DD07A0">
              <w:t>manufacturers specifications and/or supplier handling and storage advice</w:t>
            </w:r>
          </w:p>
          <w:p w:rsidR="00000000" w:rsidRPr="00DD07A0" w:rsidP="00DD07A0">
            <w:pPr>
              <w:pStyle w:val="ListBullet"/>
            </w:pPr>
            <w:r w:rsidRPr="00DD07A0">
              <w:t>material safety data sheets</w:t>
            </w:r>
          </w:p>
          <w:p w:rsidR="00000000" w:rsidRPr="00DD07A0" w:rsidP="00DD07A0">
            <w:pPr>
              <w:pStyle w:val="ListBullet"/>
            </w:pPr>
            <w:r w:rsidRPr="00DD07A0">
              <w:t>industry codes of practice</w:t>
            </w:r>
          </w:p>
          <w:p w:rsidR="00000000" w:rsidRPr="00DD07A0" w:rsidP="00DD07A0">
            <w:pPr>
              <w:pStyle w:val="ListBullet"/>
            </w:pPr>
            <w:r w:rsidRPr="00DD07A0">
              <w:t>legisla</w:t>
            </w:r>
            <w:r w:rsidRPr="00DD07A0">
              <w:t>tion and statutory requirements</w:t>
            </w:r>
          </w:p>
          <w:p w:rsidR="00000000" w:rsidRPr="00DD07A0" w:rsidP="00DD07A0">
            <w:pPr>
              <w:pStyle w:val="ListBullet"/>
            </w:pPr>
            <w:r w:rsidRPr="00DD07A0">
              <w:t>regulations and codes of practice relevant to ADG code, including safeworking and local authority regulations and procedures</w:t>
            </w:r>
          </w:p>
          <w:p w:rsidR="00000000" w:rsidRPr="00DD07A0" w:rsidP="00DD07A0">
            <w:pPr>
              <w:pStyle w:val="ListBullet"/>
            </w:pPr>
            <w:r w:rsidRPr="00DD07A0">
              <w:t>relevant OH&amp;S and environmental protection regulations</w:t>
            </w:r>
          </w:p>
          <w:p w:rsidR="00000000" w:rsidRPr="00DD07A0" w:rsidP="00DD07A0">
            <w:pPr>
              <w:pStyle w:val="ListBullet"/>
            </w:pPr>
            <w:r w:rsidRPr="00DD07A0">
              <w:t>quality assurance procedures</w:t>
            </w:r>
          </w:p>
          <w:p w:rsidR="00000000" w:rsidP="00DD07A0">
            <w:pPr>
              <w:pStyle w:val="ListBullet"/>
              <w:rPr>
                <w:lang w:val="en-NZ"/>
              </w:rPr>
            </w:pPr>
            <w:r w:rsidRPr="00DD07A0">
              <w:t>dangerous goods declarations and material safety data sheets, where applicable</w:t>
            </w:r>
          </w:p>
        </w:tc>
      </w:tr>
      <w:tr w:rsidTr="00545370">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DD07A0">
            <w:pPr>
              <w:pStyle w:val="BodyText"/>
              <w:rPr>
                <w:lang w:val="en-NZ"/>
              </w:rPr>
            </w:pPr>
            <w:r w:rsidRPr="00DD07A0">
              <w:t>Applicable legislation and regulations may include:</w:t>
            </w:r>
          </w:p>
        </w:tc>
        <w:tc>
          <w:tcPr>
            <w:tcW w:w="6154" w:type="dxa"/>
            <w:tcBorders>
              <w:top w:val="nil"/>
              <w:left w:val="nil"/>
              <w:bottom w:val="nil"/>
              <w:right w:val="nil"/>
            </w:tcBorders>
            <w:tcMar>
              <w:top w:w="0" w:type="dxa"/>
              <w:left w:w="62" w:type="dxa"/>
              <w:bottom w:w="0" w:type="dxa"/>
              <w:right w:w="62" w:type="dxa"/>
            </w:tcMar>
          </w:tcPr>
          <w:p w:rsidR="00000000" w:rsidRPr="00DD07A0" w:rsidP="00DD07A0">
            <w:pPr>
              <w:pStyle w:val="ListBullet"/>
            </w:pPr>
            <w:r w:rsidRPr="00DD07A0">
              <w:t>relevant regulations, codes and safeworking systems for the use and checking of stock</w:t>
            </w:r>
          </w:p>
          <w:p w:rsidR="00000000" w:rsidRPr="00DD07A0" w:rsidP="00DD07A0">
            <w:pPr>
              <w:pStyle w:val="ListBullet"/>
            </w:pPr>
            <w:r w:rsidRPr="00DD07A0">
              <w:t>Australian and international regulati</w:t>
            </w:r>
            <w:r w:rsidRPr="00DD07A0">
              <w:t>ons and codes of practice for the transport of dangerous goods and hazardous substances</w:t>
            </w:r>
          </w:p>
          <w:p w:rsidR="00000000" w:rsidRPr="00DD07A0" w:rsidP="00DD07A0">
            <w:pPr>
              <w:pStyle w:val="ListBullet"/>
            </w:pPr>
            <w:r w:rsidRPr="00DD07A0">
              <w:t>relevant state/territory OH&amp;S and environmental protection legislation</w:t>
            </w:r>
          </w:p>
          <w:p w:rsidR="00000000" w:rsidRPr="00DD07A0" w:rsidP="00DD07A0">
            <w:pPr>
              <w:pStyle w:val="ListBullet"/>
            </w:pPr>
            <w:r w:rsidRPr="00DD07A0">
              <w:t>workplace relations regulations</w:t>
            </w:r>
          </w:p>
          <w:p w:rsidR="00000000" w:rsidRPr="00DD07A0" w:rsidP="00DD07A0">
            <w:pPr>
              <w:pStyle w:val="ListBullet"/>
            </w:pPr>
            <w:r w:rsidRPr="00DD07A0">
              <w:t>safe disposal of out-of-date stocks</w:t>
            </w:r>
          </w:p>
        </w:tc>
      </w:tr>
    </w:tbl>
    <w:p w:rsidR="00545370" w:rsidP="00DD07A0">
      <w:pPr>
        <w:pStyle w:val="BodyText"/>
      </w:pPr>
    </w:p>
    <w:p w:rsidR="00545370" w:rsidP="00DD07A0">
      <w:pPr>
        <w:pStyle w:val="BodyText"/>
      </w:pPr>
    </w:p>
    <w:p w:rsidR="00000000" w:rsidRPr="00DD07A0" w:rsidP="00DD07A0">
      <w:pPr>
        <w:pStyle w:val="Heading1"/>
      </w:pPr>
      <w:bookmarkStart w:id="12" w:name="O_296008"/>
      <w:bookmarkEnd w:id="12"/>
      <w:r w:rsidRPr="00DD07A0">
        <w:t>Unit Sector(s)</w:t>
      </w:r>
    </w:p>
    <w:p w:rsidR="00000000" w:rsidRPr="00DD07A0" w:rsidP="00DD07A0">
      <w:pPr>
        <w:pStyle w:val="BodyText"/>
      </w:pPr>
      <w:r w:rsidRPr="00DD07A0">
        <w:t>Not Applicable</w:t>
      </w:r>
    </w:p>
    <w:p w:rsidR="00000000" w:rsidRPr="00DD07A0" w:rsidP="00DD07A0">
      <w:pPr>
        <w:pStyle w:val="AllowPageBreak"/>
      </w:pPr>
    </w:p>
    <w:p w:rsidR="00000000" w:rsidRPr="00DD07A0" w:rsidP="00DD07A0">
      <w:pPr>
        <w:pStyle w:val="Heading1"/>
      </w:pPr>
      <w:bookmarkStart w:id="13" w:name="O_224321"/>
      <w:bookmarkEnd w:id="13"/>
      <w:r w:rsidRPr="00DD07A0">
        <w:t>Competency Field</w:t>
      </w:r>
    </w:p>
    <w:tbl>
      <w:tblPr>
        <w:tblW w:w="9640" w:type="dxa"/>
        <w:tblLayout w:type="fixed"/>
        <w:tblCellMar>
          <w:left w:w="62" w:type="dxa"/>
          <w:right w:w="62" w:type="dxa"/>
        </w:tblCellMar>
        <w:tblLook w:val="0000"/>
      </w:tblPr>
      <w:tblGrid>
        <w:gridCol w:w="2978"/>
        <w:gridCol w:w="6662"/>
      </w:tblGrid>
      <w:tr w:rsidTr="00545370">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DD07A0">
            <w:pPr>
              <w:pStyle w:val="BodyText"/>
              <w:rPr>
                <w:lang w:val="en-NZ"/>
              </w:rPr>
            </w:pPr>
            <w:r w:rsidRPr="00DD07A0">
              <w:rPr>
                <w:rStyle w:val="SpecialBold"/>
              </w:rPr>
              <w:t>Competency Field</w:t>
            </w:r>
            <w:r w:rsidRPr="00DD07A0">
              <w:t xml:space="preserve"> </w:t>
            </w:r>
          </w:p>
        </w:tc>
        <w:tc>
          <w:tcPr>
            <w:tcW w:w="6662" w:type="dxa"/>
            <w:tcBorders>
              <w:top w:val="nil"/>
              <w:left w:val="nil"/>
              <w:bottom w:val="nil"/>
              <w:right w:val="nil"/>
            </w:tcBorders>
            <w:tcMar>
              <w:top w:w="0" w:type="dxa"/>
              <w:left w:w="62" w:type="dxa"/>
              <w:bottom w:w="0" w:type="dxa"/>
              <w:right w:w="62" w:type="dxa"/>
            </w:tcMar>
          </w:tcPr>
          <w:p w:rsidR="00000000" w:rsidRPr="00DD07A0" w:rsidP="00DD07A0">
            <w:pPr>
              <w:pStyle w:val="BodyText"/>
            </w:pPr>
            <w:r w:rsidRPr="00DD07A0">
              <w:t>R - Contract Procurement</w:t>
            </w:r>
          </w:p>
        </w:tc>
      </w:tr>
    </w:tbl>
    <w:p w:rsidR="00545370" w:rsidP="00DD07A0">
      <w:pPr>
        <w:pStyle w:val="BodyText"/>
      </w:pPr>
    </w:p>
    <w:p w:rsidR="00545370" w:rsidP="00DD07A0">
      <w:pPr>
        <w:pStyle w:val="BodyText"/>
      </w:pPr>
    </w:p>
    <w:p w:rsidR="00000000" w:rsidRPr="00DD07A0" w:rsidP="00DD07A0"/>
    <w:sectPr w:rsidSect="00DD07A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07A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45370" w:rsidP="0054537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07A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5370" w:rsidP="00DD07A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545370" w:rsidP="00DD07A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545370" w:rsidP="00DD07A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07A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45370" w:rsidP="0054537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07A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5370" w:rsidP="00DD07A0">
    <w:pPr>
      <w:pStyle w:val="Header"/>
      <w:framePr w:wrap="around"/>
    </w:pPr>
    <w:r>
      <w:fldChar w:fldCharType="begin"/>
    </w:r>
    <w:r>
      <w:instrText xml:space="preserve"> TITLE   \* MERGEFORMAT </w:instrText>
    </w:r>
    <w:r>
      <w:fldChar w:fldCharType="separate"/>
    </w:r>
    <w:r>
      <w:t>TLIR4008A Implement and supervise stocktaking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45370" w:rsidP="00DD07A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E60BF6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B1AA38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BC6D80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D07A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D07A0"/>
    <w:pPr>
      <w:spacing w:before="360" w:after="60"/>
      <w:outlineLvl w:val="0"/>
    </w:pPr>
    <w:rPr>
      <w:sz w:val="32"/>
    </w:rPr>
  </w:style>
  <w:style w:type="paragraph" w:styleId="Heading2">
    <w:name w:val="heading 2"/>
    <w:basedOn w:val="HeadingBase"/>
    <w:next w:val="BodyText"/>
    <w:link w:val="Heading2Char"/>
    <w:qFormat/>
    <w:rsid w:val="00DD07A0"/>
    <w:pPr>
      <w:keepLines/>
      <w:spacing w:before="240" w:after="120"/>
      <w:outlineLvl w:val="1"/>
    </w:pPr>
    <w:rPr>
      <w:sz w:val="28"/>
      <w:szCs w:val="40"/>
    </w:rPr>
  </w:style>
  <w:style w:type="paragraph" w:styleId="Heading3">
    <w:name w:val="heading 3"/>
    <w:basedOn w:val="HeadingBase"/>
    <w:next w:val="BodyText"/>
    <w:link w:val="Heading3Char"/>
    <w:qFormat/>
    <w:rsid w:val="00DD07A0"/>
    <w:pPr>
      <w:spacing w:before="180" w:after="120"/>
      <w:outlineLvl w:val="2"/>
    </w:pPr>
    <w:rPr>
      <w:spacing w:val="-10"/>
      <w:kern w:val="32"/>
    </w:rPr>
  </w:style>
  <w:style w:type="paragraph" w:styleId="Heading4">
    <w:name w:val="heading 4"/>
    <w:basedOn w:val="HeadingBase"/>
    <w:next w:val="BodyText"/>
    <w:link w:val="Heading4Char"/>
    <w:qFormat/>
    <w:rsid w:val="00DD07A0"/>
    <w:pPr>
      <w:spacing w:before="160" w:after="120"/>
      <w:outlineLvl w:val="3"/>
    </w:pPr>
    <w:rPr>
      <w:sz w:val="22"/>
    </w:rPr>
  </w:style>
  <w:style w:type="paragraph" w:styleId="Heading5">
    <w:name w:val="heading 5"/>
    <w:basedOn w:val="HeadingBase"/>
    <w:next w:val="Normal"/>
    <w:link w:val="Heading5Char"/>
    <w:qFormat/>
    <w:rsid w:val="00DD07A0"/>
    <w:pPr>
      <w:spacing w:before="80"/>
      <w:outlineLvl w:val="4"/>
    </w:pPr>
    <w:rPr>
      <w:color w:val="918585"/>
      <w:sz w:val="20"/>
    </w:rPr>
  </w:style>
  <w:style w:type="paragraph" w:styleId="Heading6">
    <w:name w:val="heading 6"/>
    <w:basedOn w:val="HeadingBase"/>
    <w:next w:val="Normal"/>
    <w:link w:val="Heading6Char"/>
    <w:qFormat/>
    <w:rsid w:val="00DD07A0"/>
    <w:pPr>
      <w:spacing w:before="60"/>
      <w:outlineLvl w:val="5"/>
    </w:pPr>
    <w:rPr>
      <w:color w:val="918585"/>
      <w:sz w:val="20"/>
    </w:rPr>
  </w:style>
  <w:style w:type="paragraph" w:styleId="Heading7">
    <w:name w:val="heading 7"/>
    <w:basedOn w:val="Normal"/>
    <w:next w:val="Normal"/>
    <w:link w:val="Heading7Char"/>
    <w:qFormat/>
    <w:rsid w:val="00DD07A0"/>
    <w:pPr>
      <w:ind w:left="720"/>
      <w:outlineLvl w:val="6"/>
    </w:pPr>
    <w:rPr>
      <w:i/>
    </w:rPr>
  </w:style>
  <w:style w:type="paragraph" w:styleId="Heading8">
    <w:name w:val="heading 8"/>
    <w:basedOn w:val="Normal"/>
    <w:next w:val="Normal"/>
    <w:link w:val="Heading8Char"/>
    <w:qFormat/>
    <w:rsid w:val="00DD07A0"/>
    <w:pPr>
      <w:ind w:left="720"/>
      <w:outlineLvl w:val="7"/>
    </w:pPr>
    <w:rPr>
      <w:i/>
    </w:rPr>
  </w:style>
  <w:style w:type="paragraph" w:styleId="Heading9">
    <w:name w:val="heading 9"/>
    <w:basedOn w:val="Normal"/>
    <w:next w:val="Normal"/>
    <w:link w:val="Heading9Char"/>
    <w:qFormat/>
    <w:rsid w:val="00DD07A0"/>
    <w:pPr>
      <w:ind w:left="720"/>
      <w:outlineLvl w:val="8"/>
    </w:pPr>
    <w:rPr>
      <w:i/>
    </w:rPr>
  </w:style>
  <w:style w:type="character" w:default="1" w:styleId="DefaultParagraphFont">
    <w:name w:val="Default Paragraph Font"/>
    <w:uiPriority w:val="1"/>
    <w:unhideWhenUsed/>
    <w:rsid w:val="00DD07A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D07A0"/>
  </w:style>
  <w:style w:type="character" w:customStyle="1" w:styleId="Heading1Char">
    <w:name w:val="Heading 1 Char"/>
    <w:basedOn w:val="DefaultParagraphFont"/>
    <w:link w:val="Heading1"/>
    <w:rsid w:val="00DD07A0"/>
    <w:rPr>
      <w:rFonts w:ascii="Times New Roman" w:eastAsia="Times New Roman" w:hAnsi="Times New Roman" w:cs="Times New Roman"/>
      <w:b/>
      <w:sz w:val="32"/>
      <w:szCs w:val="20"/>
      <w:lang w:eastAsia="en-US"/>
    </w:rPr>
  </w:style>
  <w:style w:type="paragraph" w:styleId="BodyText">
    <w:name w:val="Body Text"/>
    <w:basedOn w:val="Normal"/>
    <w:link w:val="BodyTextChar"/>
    <w:rsid w:val="00DD07A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D07A0"/>
    <w:rPr>
      <w:rFonts w:ascii="Times New Roman" w:eastAsia="Times New Roman" w:hAnsi="Times New Roman" w:cs="Times New Roman"/>
      <w:sz w:val="24"/>
      <w:lang w:val="en-US" w:eastAsia="en-US"/>
    </w:rPr>
  </w:style>
  <w:style w:type="paragraph" w:styleId="Footer">
    <w:name w:val="footer"/>
    <w:basedOn w:val="Normal"/>
    <w:link w:val="FooterChar"/>
    <w:rsid w:val="00DD07A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D07A0"/>
    <w:rPr>
      <w:rFonts w:ascii="Times New Roman" w:eastAsia="Times New Roman" w:hAnsi="Times New Roman" w:cs="Times New Roman"/>
      <w:sz w:val="16"/>
      <w:lang w:val="en-US" w:eastAsia="en-US"/>
    </w:rPr>
  </w:style>
  <w:style w:type="paragraph" w:styleId="List">
    <w:name w:val="List"/>
    <w:basedOn w:val="BodyText"/>
    <w:next w:val="BodyText"/>
    <w:rsid w:val="00DD07A0"/>
    <w:pPr>
      <w:tabs>
        <w:tab w:val="left" w:pos="340"/>
      </w:tabs>
      <w:spacing w:before="60" w:after="60"/>
      <w:ind w:left="340" w:hanging="340"/>
    </w:pPr>
  </w:style>
  <w:style w:type="paragraph" w:styleId="ListBullet">
    <w:name w:val="List Bullet"/>
    <w:basedOn w:val="List"/>
    <w:rsid w:val="00DD07A0"/>
    <w:pPr>
      <w:numPr>
        <w:numId w:val="13"/>
      </w:numPr>
      <w:tabs>
        <w:tab w:val="clear" w:pos="340"/>
      </w:tabs>
      <w:spacing w:before="40" w:after="40"/>
    </w:pPr>
  </w:style>
  <w:style w:type="character" w:customStyle="1" w:styleId="SpecialBold">
    <w:name w:val="Special Bold"/>
    <w:basedOn w:val="DefaultParagraphFont"/>
    <w:rsid w:val="00DD07A0"/>
    <w:rPr>
      <w:b/>
      <w:spacing w:val="0"/>
    </w:rPr>
  </w:style>
  <w:style w:type="paragraph" w:styleId="ListBullet2">
    <w:name w:val="List Bullet 2"/>
    <w:basedOn w:val="List2"/>
    <w:rsid w:val="00DD07A0"/>
    <w:pPr>
      <w:numPr>
        <w:numId w:val="14"/>
      </w:numPr>
      <w:tabs>
        <w:tab w:val="clear" w:pos="680"/>
      </w:tabs>
    </w:pPr>
  </w:style>
  <w:style w:type="paragraph" w:styleId="Header">
    <w:name w:val="header"/>
    <w:basedOn w:val="Normal"/>
    <w:link w:val="HeaderChar"/>
    <w:rsid w:val="00DD07A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D07A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D07A0"/>
    <w:pPr>
      <w:spacing w:before="240" w:after="120"/>
      <w:outlineLvl w:val="0"/>
    </w:pPr>
    <w:rPr>
      <w:rFonts w:ascii="Times New Roman" w:hAnsi="Times New Roman"/>
      <w:b/>
      <w:sz w:val="28"/>
    </w:rPr>
  </w:style>
  <w:style w:type="paragraph" w:customStyle="1" w:styleId="AllowPageBreak">
    <w:name w:val="AllowPageBreak"/>
    <w:rsid w:val="00DD07A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D07A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D07A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D07A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D07A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D07A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D07A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D07A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D07A0"/>
    <w:rPr>
      <w:rFonts w:ascii="Courier New" w:eastAsia="Times New Roman" w:hAnsi="Courier New" w:cs="Times New Roman"/>
      <w:i/>
      <w:szCs w:val="20"/>
      <w:lang w:val="en-US" w:eastAsia="en-US"/>
    </w:rPr>
  </w:style>
  <w:style w:type="paragraph" w:customStyle="1" w:styleId="HeadingBase">
    <w:name w:val="Heading Base"/>
    <w:rsid w:val="00DD07A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D07A0"/>
    <w:pPr>
      <w:tabs>
        <w:tab w:val="right" w:leader="dot" w:pos="9072"/>
      </w:tabs>
      <w:ind w:left="567"/>
    </w:pPr>
    <w:rPr>
      <w:szCs w:val="22"/>
    </w:rPr>
  </w:style>
  <w:style w:type="paragraph" w:customStyle="1" w:styleId="TOCBase">
    <w:name w:val="TOC Base"/>
    <w:rsid w:val="00DD07A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D07A0"/>
    <w:pPr>
      <w:tabs>
        <w:tab w:val="right" w:leader="dot" w:pos="9072"/>
      </w:tabs>
      <w:spacing w:before="40" w:after="40"/>
      <w:ind w:left="284"/>
    </w:pPr>
    <w:rPr>
      <w:rFonts w:ascii="Times New Roman" w:hAnsi="Times New Roman"/>
    </w:rPr>
  </w:style>
  <w:style w:type="paragraph" w:styleId="TOC1">
    <w:name w:val="toc 1"/>
    <w:basedOn w:val="TOCBase"/>
    <w:next w:val="Normal"/>
    <w:rsid w:val="00DD07A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D07A0"/>
    <w:pPr>
      <w:spacing w:before="5040"/>
      <w:jc w:val="center"/>
    </w:pPr>
    <w:rPr>
      <w:sz w:val="48"/>
      <w:szCs w:val="72"/>
      <w:lang w:val="en-US"/>
    </w:rPr>
  </w:style>
  <w:style w:type="character" w:customStyle="1" w:styleId="TitleChar">
    <w:name w:val="Title Char"/>
    <w:basedOn w:val="DefaultParagraphFont"/>
    <w:link w:val="Title"/>
    <w:rsid w:val="00DD07A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D07A0"/>
    <w:pPr>
      <w:tabs>
        <w:tab w:val="left" w:pos="3600"/>
        <w:tab w:val="left" w:pos="3958"/>
      </w:tabs>
    </w:pPr>
  </w:style>
  <w:style w:type="paragraph" w:customStyle="1" w:styleId="Note">
    <w:name w:val="Note"/>
    <w:basedOn w:val="BodyText"/>
    <w:rsid w:val="00DD07A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D07A0"/>
    <w:pPr>
      <w:framePr w:wrap="auto" w:hAnchor="text" w:y="6049"/>
    </w:pPr>
    <w:rPr>
      <w:color w:val="000000"/>
      <w:sz w:val="40"/>
    </w:rPr>
  </w:style>
  <w:style w:type="paragraph" w:customStyle="1" w:styleId="TOCTitle">
    <w:name w:val="TOCTitle"/>
    <w:basedOn w:val="Heading1"/>
    <w:rsid w:val="00DD07A0"/>
    <w:pPr>
      <w:spacing w:after="240"/>
      <w:jc w:val="center"/>
      <w:outlineLvl w:val="9"/>
    </w:pPr>
    <w:rPr>
      <w:caps/>
    </w:rPr>
  </w:style>
  <w:style w:type="paragraph" w:customStyle="1" w:styleId="Version">
    <w:name w:val="Version"/>
    <w:rsid w:val="00DD07A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D07A0"/>
    <w:pPr>
      <w:keepNext w:val="0"/>
      <w:tabs>
        <w:tab w:val="right" w:pos="4176"/>
      </w:tabs>
      <w:ind w:left="198" w:hanging="198"/>
    </w:pPr>
    <w:rPr>
      <w:rFonts w:ascii="Garamond" w:hAnsi="Garamond"/>
    </w:rPr>
  </w:style>
  <w:style w:type="paragraph" w:styleId="IndexHeading">
    <w:name w:val="index heading"/>
    <w:basedOn w:val="Normal"/>
    <w:next w:val="Index1"/>
    <w:semiHidden/>
    <w:rsid w:val="00DD07A0"/>
    <w:pPr>
      <w:spacing w:before="120" w:after="120"/>
    </w:pPr>
    <w:rPr>
      <w:rFonts w:ascii="Arial" w:hAnsi="Arial"/>
      <w:b/>
      <w:color w:val="918585"/>
      <w:sz w:val="24"/>
    </w:rPr>
  </w:style>
  <w:style w:type="paragraph" w:customStyle="1" w:styleId="Chapter">
    <w:name w:val="Chapter"/>
    <w:basedOn w:val="Normal"/>
    <w:rsid w:val="00DD07A0"/>
    <w:pPr>
      <w:spacing w:before="240"/>
    </w:pPr>
    <w:rPr>
      <w:rFonts w:ascii="Times New Roman" w:hAnsi="Times New Roman"/>
      <w:smallCaps/>
      <w:spacing w:val="80"/>
      <w:sz w:val="28"/>
    </w:rPr>
  </w:style>
  <w:style w:type="paragraph" w:customStyle="1" w:styleId="InChapter">
    <w:name w:val="InChapter"/>
    <w:basedOn w:val="Heading3"/>
    <w:rsid w:val="00DD07A0"/>
    <w:pPr>
      <w:spacing w:after="240"/>
      <w:outlineLvl w:val="9"/>
    </w:pPr>
    <w:rPr>
      <w:noProof/>
    </w:rPr>
  </w:style>
  <w:style w:type="paragraph" w:styleId="Index2">
    <w:name w:val="index 2"/>
    <w:basedOn w:val="Normal"/>
    <w:next w:val="Normal"/>
    <w:semiHidden/>
    <w:rsid w:val="00DD07A0"/>
    <w:pPr>
      <w:tabs>
        <w:tab w:val="right" w:pos="4176"/>
      </w:tabs>
      <w:ind w:left="568" w:hanging="284"/>
    </w:pPr>
    <w:rPr>
      <w:rFonts w:ascii="Garamond" w:hAnsi="Garamond"/>
    </w:rPr>
  </w:style>
  <w:style w:type="paragraph" w:customStyle="1" w:styleId="Byline">
    <w:name w:val="Byline"/>
    <w:rsid w:val="00DD07A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D07A0"/>
    <w:pPr>
      <w:tabs>
        <w:tab w:val="clear" w:pos="3600"/>
        <w:tab w:val="clear" w:pos="3958"/>
      </w:tabs>
      <w:jc w:val="right"/>
    </w:pPr>
  </w:style>
  <w:style w:type="character" w:styleId="Emphasis">
    <w:name w:val="Emphasis"/>
    <w:basedOn w:val="DefaultParagraphFont"/>
    <w:qFormat/>
    <w:rsid w:val="00DD07A0"/>
    <w:rPr>
      <w:i/>
    </w:rPr>
  </w:style>
  <w:style w:type="paragraph" w:styleId="Caption">
    <w:name w:val="caption"/>
    <w:basedOn w:val="BodyText"/>
    <w:next w:val="Normal"/>
    <w:qFormat/>
    <w:rsid w:val="00DD07A0"/>
    <w:pPr>
      <w:framePr w:w="2268" w:hSpace="181" w:vSpace="181" w:wrap="around" w:vAnchor="text" w:hAnchor="page" w:x="1135" w:y="285" w:anchorLock="1"/>
    </w:pPr>
    <w:rPr>
      <w:i/>
    </w:rPr>
  </w:style>
  <w:style w:type="paragraph" w:customStyle="1" w:styleId="MiniTOCTitle">
    <w:name w:val="MiniTOCTitle"/>
    <w:basedOn w:val="Heading4"/>
    <w:rsid w:val="00DD07A0"/>
    <w:pPr>
      <w:spacing w:before="240"/>
      <w:outlineLvl w:val="9"/>
    </w:pPr>
    <w:rPr>
      <w:noProof/>
      <w:sz w:val="24"/>
    </w:rPr>
  </w:style>
  <w:style w:type="paragraph" w:customStyle="1" w:styleId="MiniTOCItem">
    <w:name w:val="MiniTOCItem"/>
    <w:basedOn w:val="ListBullet"/>
    <w:rsid w:val="00DD07A0"/>
    <w:pPr>
      <w:numPr>
        <w:numId w:val="0"/>
      </w:numPr>
      <w:tabs>
        <w:tab w:val="right" w:leader="dot" w:pos="6521"/>
      </w:tabs>
      <w:spacing w:before="0" w:after="0"/>
    </w:pPr>
  </w:style>
  <w:style w:type="paragraph" w:customStyle="1" w:styleId="TOFTitle">
    <w:name w:val="TOFTitle"/>
    <w:basedOn w:val="TOCTitle"/>
    <w:rsid w:val="00DD07A0"/>
  </w:style>
  <w:style w:type="paragraph" w:styleId="TableofFigures">
    <w:name w:val="table of figures"/>
    <w:basedOn w:val="Normal"/>
    <w:next w:val="Normal"/>
    <w:semiHidden/>
    <w:rsid w:val="00DD07A0"/>
    <w:pPr>
      <w:tabs>
        <w:tab w:val="right" w:leader="dot" w:pos="9072"/>
      </w:tabs>
      <w:ind w:left="970" w:hanging="403"/>
    </w:pPr>
    <w:rPr>
      <w:rFonts w:ascii="Times New Roman" w:hAnsi="Times New Roman"/>
      <w:b/>
    </w:rPr>
  </w:style>
  <w:style w:type="paragraph" w:styleId="ListNumber">
    <w:name w:val="List Number"/>
    <w:basedOn w:val="List"/>
    <w:rsid w:val="00DD07A0"/>
    <w:pPr>
      <w:numPr>
        <w:numId w:val="11"/>
      </w:numPr>
    </w:pPr>
  </w:style>
  <w:style w:type="character" w:customStyle="1" w:styleId="WingdingSymbols">
    <w:name w:val="Wingding Symbols"/>
    <w:rsid w:val="00DD07A0"/>
    <w:rPr>
      <w:rFonts w:ascii="Wingdings" w:hAnsi="Wingdings"/>
    </w:rPr>
  </w:style>
  <w:style w:type="paragraph" w:customStyle="1" w:styleId="TableHeading">
    <w:name w:val="Table Heading"/>
    <w:basedOn w:val="HeadingBase"/>
    <w:rsid w:val="00DD07A0"/>
    <w:pPr>
      <w:keepLines/>
      <w:pBdr>
        <w:bottom w:val="single" w:sz="6" w:space="1" w:color="918585"/>
      </w:pBdr>
      <w:spacing w:before="240"/>
    </w:pPr>
  </w:style>
  <w:style w:type="character" w:customStyle="1" w:styleId="HotSpot">
    <w:name w:val="HotSpot"/>
    <w:rsid w:val="00DD07A0"/>
    <w:rPr>
      <w:color w:val="0033CC"/>
      <w:u w:val="none"/>
    </w:rPr>
  </w:style>
  <w:style w:type="paragraph" w:customStyle="1" w:styleId="BodyTextRight">
    <w:name w:val="Body Text Right"/>
    <w:basedOn w:val="BodyText"/>
    <w:rsid w:val="00DD07A0"/>
    <w:pPr>
      <w:spacing w:before="0" w:after="0"/>
      <w:jc w:val="right"/>
    </w:pPr>
  </w:style>
  <w:style w:type="paragraph" w:styleId="Index3">
    <w:name w:val="index 3"/>
    <w:basedOn w:val="ListNumber2"/>
    <w:next w:val="Normal"/>
    <w:semiHidden/>
    <w:rsid w:val="00DD07A0"/>
    <w:pPr>
      <w:numPr>
        <w:numId w:val="0"/>
      </w:numPr>
      <w:tabs>
        <w:tab w:val="right" w:leader="dot" w:pos="4176"/>
      </w:tabs>
    </w:pPr>
  </w:style>
  <w:style w:type="paragraph" w:styleId="ListNumber2">
    <w:name w:val="List Number 2"/>
    <w:basedOn w:val="List2"/>
    <w:rsid w:val="00DD07A0"/>
    <w:pPr>
      <w:numPr>
        <w:numId w:val="10"/>
      </w:numPr>
      <w:tabs>
        <w:tab w:val="clear" w:pos="1060"/>
      </w:tabs>
    </w:pPr>
  </w:style>
  <w:style w:type="paragraph" w:customStyle="1" w:styleId="MarginNote">
    <w:name w:val="Margin Note"/>
    <w:basedOn w:val="BodyText"/>
    <w:rsid w:val="00DD07A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D07A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D07A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D07A0"/>
    <w:rPr>
      <w:sz w:val="32"/>
    </w:rPr>
  </w:style>
  <w:style w:type="paragraph" w:customStyle="1" w:styleId="HeadingProcedure">
    <w:name w:val="Heading Procedure"/>
    <w:basedOn w:val="HeadingBase"/>
    <w:next w:val="Normal"/>
    <w:rsid w:val="00DD07A0"/>
    <w:pPr>
      <w:tabs>
        <w:tab w:val="left" w:pos="0"/>
      </w:tabs>
      <w:spacing w:before="120" w:after="60"/>
    </w:pPr>
    <w:rPr>
      <w:i/>
      <w:color w:val="918585"/>
      <w:sz w:val="22"/>
    </w:rPr>
  </w:style>
  <w:style w:type="paragraph" w:customStyle="1" w:styleId="TableBodyText">
    <w:name w:val="Table Body Text"/>
    <w:basedOn w:val="BodyText"/>
    <w:rsid w:val="00DD07A0"/>
    <w:pPr>
      <w:spacing w:before="60" w:after="60"/>
    </w:pPr>
  </w:style>
  <w:style w:type="paragraph" w:styleId="ListContinue">
    <w:name w:val="List Continue"/>
    <w:basedOn w:val="List"/>
    <w:rsid w:val="00DD07A0"/>
    <w:pPr>
      <w:ind w:firstLine="0"/>
    </w:pPr>
  </w:style>
  <w:style w:type="paragraph" w:customStyle="1" w:styleId="ListNote">
    <w:name w:val="List Note"/>
    <w:basedOn w:val="List"/>
    <w:rsid w:val="00DD07A0"/>
    <w:pPr>
      <w:pBdr>
        <w:top w:val="single" w:sz="6" w:space="2" w:color="918585"/>
        <w:bottom w:val="single" w:sz="6" w:space="2" w:color="918585"/>
      </w:pBdr>
      <w:tabs>
        <w:tab w:val="left" w:pos="1021"/>
      </w:tabs>
      <w:ind w:firstLine="0"/>
    </w:pPr>
  </w:style>
  <w:style w:type="paragraph" w:customStyle="1" w:styleId="Warning">
    <w:name w:val="Warning"/>
    <w:basedOn w:val="BodyText"/>
    <w:rsid w:val="00DD07A0"/>
    <w:pPr>
      <w:shd w:val="clear" w:color="auto" w:fill="D9D9D9"/>
      <w:tabs>
        <w:tab w:val="left" w:pos="992"/>
      </w:tabs>
      <w:ind w:left="119" w:right="119"/>
    </w:pPr>
    <w:rPr>
      <w:sz w:val="20"/>
    </w:rPr>
  </w:style>
  <w:style w:type="paragraph" w:customStyle="1" w:styleId="MarginIcons">
    <w:name w:val="Margin Icons"/>
    <w:basedOn w:val="BodyText"/>
    <w:rsid w:val="00DD07A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D07A0"/>
    <w:rPr>
      <w:rFonts w:ascii="Courier New" w:hAnsi="Courier New"/>
    </w:rPr>
  </w:style>
  <w:style w:type="paragraph" w:customStyle="1" w:styleId="NoteBullet">
    <w:name w:val="Note Bullet"/>
    <w:basedOn w:val="Note"/>
    <w:rsid w:val="00DD07A0"/>
    <w:pPr>
      <w:tabs>
        <w:tab w:val="clear" w:pos="680"/>
      </w:tabs>
      <w:spacing w:before="60" w:after="60"/>
    </w:pPr>
  </w:style>
  <w:style w:type="paragraph" w:customStyle="1" w:styleId="SubHeading2">
    <w:name w:val="SubHeading2"/>
    <w:basedOn w:val="HeadingBase"/>
    <w:rsid w:val="00DD07A0"/>
    <w:pPr>
      <w:spacing w:before="240" w:after="60"/>
    </w:pPr>
    <w:rPr>
      <w:sz w:val="20"/>
    </w:rPr>
  </w:style>
  <w:style w:type="paragraph" w:customStyle="1" w:styleId="SubHeading1">
    <w:name w:val="SubHeading1"/>
    <w:basedOn w:val="HeadingBase"/>
    <w:rsid w:val="00DD07A0"/>
    <w:pPr>
      <w:spacing w:before="240" w:after="60"/>
    </w:pPr>
    <w:rPr>
      <w:color w:val="918585"/>
      <w:sz w:val="22"/>
    </w:rPr>
  </w:style>
  <w:style w:type="paragraph" w:customStyle="1" w:styleId="SideHeading">
    <w:name w:val="Side Heading"/>
    <w:basedOn w:val="HeadingBase"/>
    <w:rsid w:val="00DD07A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D07A0"/>
    <w:pPr>
      <w:numPr>
        <w:numId w:val="12"/>
      </w:numPr>
    </w:pPr>
  </w:style>
  <w:style w:type="paragraph" w:styleId="PlainText">
    <w:name w:val="Plain Text"/>
    <w:basedOn w:val="Normal"/>
    <w:link w:val="PlainTextChar"/>
    <w:rsid w:val="00DD07A0"/>
    <w:rPr>
      <w:sz w:val="20"/>
    </w:rPr>
  </w:style>
  <w:style w:type="character" w:customStyle="1" w:styleId="PlainTextChar">
    <w:name w:val="Plain Text Char"/>
    <w:basedOn w:val="DefaultParagraphFont"/>
    <w:link w:val="PlainText"/>
    <w:rsid w:val="00DD07A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D07A0"/>
    <w:rPr>
      <w:b/>
      <w:smallCaps/>
    </w:rPr>
  </w:style>
  <w:style w:type="paragraph" w:customStyle="1" w:styleId="TableListNumber">
    <w:name w:val="Table List Number"/>
    <w:basedOn w:val="ListNumber"/>
    <w:rsid w:val="00DD07A0"/>
    <w:pPr>
      <w:numPr>
        <w:numId w:val="0"/>
      </w:numPr>
    </w:pPr>
  </w:style>
  <w:style w:type="paragraph" w:styleId="TOC4">
    <w:name w:val="toc 4"/>
    <w:basedOn w:val="TOCBase"/>
    <w:next w:val="Normal"/>
    <w:semiHidden/>
    <w:rsid w:val="00DD07A0"/>
    <w:pPr>
      <w:tabs>
        <w:tab w:val="right" w:leader="dot" w:pos="9071"/>
      </w:tabs>
      <w:ind w:left="1701"/>
    </w:pPr>
  </w:style>
  <w:style w:type="paragraph" w:customStyle="1" w:styleId="ListAlpha">
    <w:name w:val="List Alpha"/>
    <w:basedOn w:val="List"/>
    <w:rsid w:val="00DD07A0"/>
    <w:pPr>
      <w:numPr>
        <w:numId w:val="9"/>
      </w:numPr>
    </w:pPr>
  </w:style>
  <w:style w:type="paragraph" w:customStyle="1" w:styleId="ListAlpha2">
    <w:name w:val="List Alpha 2"/>
    <w:basedOn w:val="List2"/>
    <w:rsid w:val="00DD07A0"/>
    <w:pPr>
      <w:numPr>
        <w:numId w:val="8"/>
      </w:numPr>
    </w:pPr>
  </w:style>
  <w:style w:type="paragraph" w:styleId="List2">
    <w:name w:val="List 2"/>
    <w:basedOn w:val="BodyText"/>
    <w:rsid w:val="00DD07A0"/>
    <w:pPr>
      <w:tabs>
        <w:tab w:val="left" w:pos="680"/>
      </w:tabs>
      <w:spacing w:before="60" w:after="60"/>
      <w:ind w:left="680" w:hanging="340"/>
    </w:pPr>
  </w:style>
  <w:style w:type="paragraph" w:styleId="List3">
    <w:name w:val="List 3"/>
    <w:basedOn w:val="BodyText"/>
    <w:rsid w:val="00DD07A0"/>
    <w:pPr>
      <w:tabs>
        <w:tab w:val="left" w:pos="1021"/>
      </w:tabs>
      <w:spacing w:before="60" w:after="60"/>
      <w:ind w:left="1020" w:hanging="340"/>
    </w:pPr>
  </w:style>
  <w:style w:type="paragraph" w:styleId="List4">
    <w:name w:val="List 4"/>
    <w:basedOn w:val="BodyText"/>
    <w:rsid w:val="00DD07A0"/>
    <w:pPr>
      <w:tabs>
        <w:tab w:val="left" w:pos="1361"/>
      </w:tabs>
      <w:spacing w:before="60" w:after="60"/>
      <w:ind w:left="1361" w:hanging="340"/>
    </w:pPr>
  </w:style>
  <w:style w:type="paragraph" w:styleId="List5">
    <w:name w:val="List 5"/>
    <w:basedOn w:val="BodyText"/>
    <w:rsid w:val="00DD07A0"/>
    <w:pPr>
      <w:tabs>
        <w:tab w:val="left" w:pos="1701"/>
      </w:tabs>
      <w:spacing w:before="60" w:after="60"/>
      <w:ind w:left="1701" w:hanging="340"/>
    </w:pPr>
  </w:style>
  <w:style w:type="paragraph" w:styleId="ListBullet3">
    <w:name w:val="List Bullet 3"/>
    <w:basedOn w:val="List3"/>
    <w:rsid w:val="00DD07A0"/>
    <w:pPr>
      <w:numPr>
        <w:numId w:val="15"/>
      </w:numPr>
      <w:tabs>
        <w:tab w:val="clear" w:pos="1021"/>
      </w:tabs>
      <w:ind w:left="1037" w:hanging="357"/>
    </w:pPr>
  </w:style>
  <w:style w:type="paragraph" w:styleId="ListBullet4">
    <w:name w:val="List Bullet 4"/>
    <w:basedOn w:val="List4"/>
    <w:rsid w:val="00DD07A0"/>
    <w:pPr>
      <w:numPr>
        <w:numId w:val="3"/>
      </w:numPr>
    </w:pPr>
  </w:style>
  <w:style w:type="paragraph" w:styleId="ListBullet5">
    <w:name w:val="List Bullet 5"/>
    <w:basedOn w:val="List5"/>
    <w:rsid w:val="00DD07A0"/>
    <w:pPr>
      <w:numPr>
        <w:numId w:val="4"/>
      </w:numPr>
    </w:pPr>
  </w:style>
  <w:style w:type="paragraph" w:styleId="ListContinue2">
    <w:name w:val="List Continue 2"/>
    <w:basedOn w:val="List2"/>
    <w:rsid w:val="00DD07A0"/>
    <w:pPr>
      <w:ind w:firstLine="0"/>
    </w:pPr>
  </w:style>
  <w:style w:type="paragraph" w:styleId="ListContinue3">
    <w:name w:val="List Continue 3"/>
    <w:basedOn w:val="List3"/>
    <w:rsid w:val="00DD07A0"/>
    <w:pPr>
      <w:ind w:left="1021" w:firstLine="0"/>
    </w:pPr>
  </w:style>
  <w:style w:type="paragraph" w:styleId="ListContinue4">
    <w:name w:val="List Continue 4"/>
    <w:basedOn w:val="List4"/>
    <w:rsid w:val="00DD07A0"/>
    <w:pPr>
      <w:ind w:firstLine="0"/>
    </w:pPr>
  </w:style>
  <w:style w:type="paragraph" w:styleId="ListContinue5">
    <w:name w:val="List Continue 5"/>
    <w:basedOn w:val="List5"/>
    <w:rsid w:val="00DD07A0"/>
    <w:pPr>
      <w:ind w:firstLine="0"/>
    </w:pPr>
  </w:style>
  <w:style w:type="paragraph" w:styleId="ListNumber3">
    <w:name w:val="List Number 3"/>
    <w:basedOn w:val="List3"/>
    <w:rsid w:val="00DD07A0"/>
    <w:pPr>
      <w:numPr>
        <w:numId w:val="5"/>
      </w:numPr>
    </w:pPr>
  </w:style>
  <w:style w:type="paragraph" w:styleId="ListNumber4">
    <w:name w:val="List Number 4"/>
    <w:basedOn w:val="List4"/>
    <w:rsid w:val="00DD07A0"/>
    <w:pPr>
      <w:numPr>
        <w:numId w:val="6"/>
      </w:numPr>
    </w:pPr>
  </w:style>
  <w:style w:type="paragraph" w:styleId="ListNumber5">
    <w:name w:val="List Number 5"/>
    <w:basedOn w:val="List5"/>
    <w:rsid w:val="00DD07A0"/>
    <w:pPr>
      <w:numPr>
        <w:numId w:val="7"/>
      </w:numPr>
    </w:pPr>
  </w:style>
  <w:style w:type="paragraph" w:styleId="BlockText">
    <w:name w:val="Block Text"/>
    <w:basedOn w:val="Normal"/>
    <w:rsid w:val="00DD07A0"/>
    <w:pPr>
      <w:spacing w:after="120"/>
      <w:ind w:left="1440" w:right="1440"/>
    </w:pPr>
  </w:style>
  <w:style w:type="character" w:customStyle="1" w:styleId="Subscript">
    <w:name w:val="Subscript"/>
    <w:basedOn w:val="DefaultParagraphFont"/>
    <w:rsid w:val="00DD07A0"/>
    <w:rPr>
      <w:sz w:val="16"/>
      <w:vertAlign w:val="subscript"/>
    </w:rPr>
  </w:style>
  <w:style w:type="character" w:customStyle="1" w:styleId="Superscript">
    <w:name w:val="Superscript"/>
    <w:basedOn w:val="DefaultParagraphFont"/>
    <w:rsid w:val="00DD07A0"/>
    <w:rPr>
      <w:sz w:val="16"/>
      <w:vertAlign w:val="superscript"/>
    </w:rPr>
  </w:style>
  <w:style w:type="character" w:customStyle="1" w:styleId="Symbols">
    <w:name w:val="Symbols"/>
    <w:basedOn w:val="DefaultParagraphFont"/>
    <w:rsid w:val="00DD07A0"/>
    <w:rPr>
      <w:rFonts w:ascii="Symbol" w:hAnsi="Symbol"/>
    </w:rPr>
  </w:style>
  <w:style w:type="character" w:customStyle="1" w:styleId="MenuOptions">
    <w:name w:val="Menu Options"/>
    <w:basedOn w:val="DefaultParagraphFont"/>
    <w:rsid w:val="00DD07A0"/>
    <w:rPr>
      <w:rFonts w:ascii="Arial Narrow" w:hAnsi="Arial Narrow"/>
      <w:smallCaps/>
    </w:rPr>
  </w:style>
  <w:style w:type="character" w:customStyle="1" w:styleId="Buttons">
    <w:name w:val="Buttons"/>
    <w:basedOn w:val="DefaultParagraphFont"/>
    <w:rsid w:val="00DD07A0"/>
    <w:rPr>
      <w:b/>
    </w:rPr>
  </w:style>
  <w:style w:type="character" w:customStyle="1" w:styleId="Underlined">
    <w:name w:val="Underlined"/>
    <w:basedOn w:val="DefaultParagraphFont"/>
    <w:rsid w:val="00DD07A0"/>
    <w:rPr>
      <w:u w:val="single"/>
    </w:rPr>
  </w:style>
  <w:style w:type="paragraph" w:customStyle="1" w:styleId="TableBodyTextRight">
    <w:name w:val="Table Body Text Right"/>
    <w:basedOn w:val="TableBodyText"/>
    <w:rsid w:val="00DD07A0"/>
    <w:pPr>
      <w:widowControl w:val="0"/>
      <w:autoSpaceDE w:val="0"/>
      <w:autoSpaceDN w:val="0"/>
      <w:adjustRightInd w:val="0"/>
      <w:jc w:val="right"/>
    </w:pPr>
    <w:rPr>
      <w:rFonts w:cs="Arial"/>
      <w:szCs w:val="18"/>
    </w:rPr>
  </w:style>
  <w:style w:type="paragraph" w:customStyle="1" w:styleId="CopyrightText">
    <w:name w:val="Copyright Text"/>
    <w:basedOn w:val="BodyText"/>
    <w:rsid w:val="00DD07A0"/>
    <w:rPr>
      <w:sz w:val="18"/>
    </w:rPr>
  </w:style>
  <w:style w:type="paragraph" w:customStyle="1" w:styleId="BodySmallRight">
    <w:name w:val="Body Small Right"/>
    <w:basedOn w:val="BodyTextRight"/>
    <w:rsid w:val="00DD07A0"/>
    <w:rPr>
      <w:sz w:val="18"/>
      <w:szCs w:val="18"/>
    </w:rPr>
  </w:style>
  <w:style w:type="paragraph" w:customStyle="1" w:styleId="MarginEdition">
    <w:name w:val="Margin Edition"/>
    <w:basedOn w:val="MarginNote"/>
    <w:rsid w:val="00DD07A0"/>
    <w:pPr>
      <w:spacing w:before="0" w:after="0"/>
    </w:pPr>
    <w:rPr>
      <w:rFonts w:ascii="Times New Roman" w:hAnsi="Times New Roman"/>
      <w:color w:val="999999"/>
    </w:rPr>
  </w:style>
  <w:style w:type="paragraph" w:customStyle="1" w:styleId="Spacer">
    <w:name w:val="Spacer"/>
    <w:basedOn w:val="Normal"/>
    <w:rsid w:val="00DD07A0"/>
    <w:rPr>
      <w:sz w:val="2"/>
      <w:szCs w:val="2"/>
    </w:rPr>
  </w:style>
  <w:style w:type="character" w:customStyle="1" w:styleId="Small">
    <w:name w:val="Small"/>
    <w:basedOn w:val="DefaultParagraphFont"/>
    <w:rsid w:val="00DD07A0"/>
    <w:rPr>
      <w:sz w:val="16"/>
    </w:rPr>
  </w:style>
  <w:style w:type="paragraph" w:customStyle="1" w:styleId="WideTable">
    <w:name w:val="Wide Table"/>
    <w:basedOn w:val="Normal"/>
    <w:rsid w:val="00DD07A0"/>
    <w:pPr>
      <w:ind w:left="-1418"/>
    </w:pPr>
    <w:rPr>
      <w:sz w:val="2"/>
      <w:szCs w:val="2"/>
    </w:rPr>
  </w:style>
  <w:style w:type="character" w:styleId="PageNumber">
    <w:name w:val="page number"/>
    <w:basedOn w:val="DefaultParagraphFont"/>
    <w:rsid w:val="00DD07A0"/>
  </w:style>
  <w:style w:type="paragraph" w:styleId="Quote">
    <w:name w:val="Quote"/>
    <w:basedOn w:val="Heading1"/>
    <w:link w:val="QuoteChar"/>
    <w:qFormat/>
    <w:rsid w:val="00DD07A0"/>
    <w:rPr>
      <w:b w:val="0"/>
      <w:sz w:val="72"/>
      <w:szCs w:val="72"/>
      <w:lang w:val="en-NZ"/>
    </w:rPr>
  </w:style>
  <w:style w:type="character" w:customStyle="1" w:styleId="QuoteChar">
    <w:name w:val="Quote Char"/>
    <w:basedOn w:val="DefaultParagraphFont"/>
    <w:link w:val="Quote"/>
    <w:rsid w:val="00DD07A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D07A0"/>
    <w:pPr>
      <w:pageBreakBefore/>
    </w:pPr>
  </w:style>
  <w:style w:type="paragraph" w:customStyle="1" w:styleId="Border">
    <w:name w:val="Border"/>
    <w:basedOn w:val="Normal"/>
    <w:qFormat/>
    <w:rsid w:val="00DD07A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D07A0"/>
    <w:rPr>
      <w:b/>
      <w:bCs/>
      <w:i/>
      <w:iCs/>
      <w:color w:val="auto"/>
    </w:rPr>
  </w:style>
  <w:style w:type="paragraph" w:styleId="IntenseQuote">
    <w:name w:val="Intense Quote"/>
    <w:basedOn w:val="Normal"/>
    <w:next w:val="Normal"/>
    <w:link w:val="IntenseQuoteChar"/>
    <w:uiPriority w:val="30"/>
    <w:qFormat/>
    <w:rsid w:val="00DD07A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D07A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D07A0"/>
    <w:rPr>
      <w:smallCaps/>
      <w:color w:val="auto"/>
      <w:u w:val="single"/>
    </w:rPr>
  </w:style>
  <w:style w:type="character" w:styleId="IntenseReference">
    <w:name w:val="Intense Reference"/>
    <w:basedOn w:val="DefaultParagraphFont"/>
    <w:uiPriority w:val="32"/>
    <w:qFormat/>
    <w:rsid w:val="00DD07A0"/>
    <w:rPr>
      <w:b/>
      <w:bCs/>
      <w:smallCaps/>
      <w:color w:val="auto"/>
      <w:spacing w:val="5"/>
      <w:u w:val="single"/>
    </w:rPr>
  </w:style>
  <w:style w:type="paragraph" w:customStyle="1" w:styleId="2ColumnHeading">
    <w:name w:val="2Column Heading"/>
    <w:basedOn w:val="BodyText"/>
    <w:qFormat/>
    <w:rsid w:val="00DD07A0"/>
    <w:pPr>
      <w:spacing w:after="60"/>
      <w:ind w:left="-2268"/>
    </w:pPr>
    <w:rPr>
      <w:b/>
    </w:rPr>
  </w:style>
  <w:style w:type="paragraph" w:customStyle="1" w:styleId="Heading1TOC">
    <w:name w:val="Heading1 TOC"/>
    <w:basedOn w:val="Normal"/>
    <w:qFormat/>
    <w:rsid w:val="00DD07A0"/>
    <w:pPr>
      <w:spacing w:before="240" w:after="120"/>
    </w:pPr>
    <w:rPr>
      <w:rFonts w:ascii="Times New Roman" w:hAnsi="Times New Roman"/>
      <w:b/>
      <w:sz w:val="32"/>
    </w:rPr>
  </w:style>
  <w:style w:type="paragraph" w:customStyle="1" w:styleId="Heading2TOC">
    <w:name w:val="Heading2 TOC"/>
    <w:basedOn w:val="Normal"/>
    <w:qFormat/>
    <w:rsid w:val="00DD07A0"/>
    <w:pPr>
      <w:spacing w:before="240" w:after="60"/>
    </w:pPr>
    <w:rPr>
      <w:rFonts w:ascii="Times New Roman" w:hAnsi="Times New Roman"/>
      <w:b/>
      <w:sz w:val="28"/>
    </w:rPr>
  </w:style>
  <w:style w:type="character" w:customStyle="1" w:styleId="Underline">
    <w:name w:val="Underline"/>
    <w:basedOn w:val="DefaultParagraphFont"/>
    <w:qFormat/>
    <w:rsid w:val="00DD07A0"/>
    <w:rPr>
      <w:u w:val="single"/>
    </w:rPr>
  </w:style>
  <w:style w:type="character" w:customStyle="1" w:styleId="BoldandItalics">
    <w:name w:val="Bold and Italics"/>
    <w:qFormat/>
    <w:rsid w:val="00DD07A0"/>
    <w:rPr>
      <w:b/>
      <w:i/>
      <w:u w:val="none"/>
    </w:rPr>
  </w:style>
  <w:style w:type="paragraph" w:styleId="BalloonText">
    <w:name w:val="Balloon Text"/>
    <w:basedOn w:val="Normal"/>
    <w:link w:val="BalloonTextChar"/>
    <w:rsid w:val="00DD07A0"/>
    <w:rPr>
      <w:rFonts w:ascii="Tahoma" w:hAnsi="Tahoma" w:cs="Tahoma"/>
      <w:sz w:val="16"/>
      <w:szCs w:val="16"/>
    </w:rPr>
  </w:style>
  <w:style w:type="character" w:customStyle="1" w:styleId="BalloonTextChar">
    <w:name w:val="Balloon Text Char"/>
    <w:basedOn w:val="DefaultParagraphFont"/>
    <w:link w:val="BalloonText"/>
    <w:rsid w:val="00DD07A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D07A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D07A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939</Words>
  <Characters>6101</Characters>
  <Application>Microsoft Office Word</Application>
  <DocSecurity>0</DocSecurity>
  <Lines>207</Lines>
  <Paragraphs>124</Paragraphs>
  <ScaleCrop>false</ScaleCrop>
  <Company>Author-it Software Corporation Ltd.</Company>
  <LinksUpToDate>false</LinksUpToDate>
  <CharactersWithSpaces>6978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TLIR4008A Implement and supervise stocktaking procedures</dc:title>
  <dc:subject>Approved</dc:subject>
  <dc:creator>Transport &amp; Logistics Industry Skills Council</dc:creator>
  <cp:keywords>Release: 1</cp:keywords>
  <dc:description>Copyright © 1996-2007 Author-it Software Corporation Ltd., all rights reserved.</dc:description>
  <cp:lastModifiedBy>Peter Giorgilli</cp:lastModifiedBy>
  <cp:revision>3</cp:revision>
  <dcterms:created xsi:type="dcterms:W3CDTF">2012-05-27T04:05:00Z</dcterms:created>
  <dcterms:modified xsi:type="dcterms:W3CDTF">2012-05-27T04:05:00Z</dcterms:modified>
</cp:coreProperties>
</file>