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205" w:rsidP="000C4205">
      <w:pPr>
        <w:pStyle w:val="Title"/>
      </w:pPr>
      <w:r>
        <w:fldChar w:fldCharType="begin"/>
      </w:r>
      <w:r>
        <w:instrText xml:space="preserve"> TITLE   \* MERGEFORMAT </w:instrText>
      </w:r>
      <w:r>
        <w:fldChar w:fldCharType="separate"/>
      </w:r>
      <w:r>
        <w:t>TLIP4040A Monitor warehouse operations</w:t>
      </w:r>
      <w:r>
        <w:fldChar w:fldCharType="end"/>
      </w:r>
    </w:p>
    <w:p w:rsidR="000C4205" w:rsidP="000C4205">
      <w:pPr>
        <w:pStyle w:val="Version"/>
        <w:sectPr w:rsidSect="000417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7EC" w:rsidP="000417EC">
      <w:pPr>
        <w:pStyle w:val="SuperHeading"/>
      </w:pPr>
      <w:r w:rsidRPr="000417EC">
        <w:t>TLIP4040A Monitor warehouse operations</w:t>
      </w:r>
    </w:p>
    <w:p w:rsidR="00000000" w:rsidRPr="000417EC" w:rsidP="000417EC">
      <w:pPr>
        <w:pStyle w:val="Heading1"/>
      </w:pPr>
      <w:bookmarkStart w:id="1" w:name="O_274297"/>
      <w:bookmarkEnd w:id="1"/>
      <w:r w:rsidRPr="000417EC">
        <w:t>Modification History</w:t>
      </w:r>
    </w:p>
    <w:p w:rsidR="00000000" w:rsidRPr="000417EC" w:rsidP="000417EC">
      <w:pPr>
        <w:pStyle w:val="BodyText"/>
      </w:pPr>
      <w:r w:rsidRPr="000417EC">
        <w:t>Not Applicable</w:t>
      </w:r>
    </w:p>
    <w:p w:rsidR="00000000" w:rsidRPr="000417EC" w:rsidP="000417EC">
      <w:pPr>
        <w:pStyle w:val="AllowPageBreak"/>
      </w:pPr>
    </w:p>
    <w:p w:rsidR="00000000" w:rsidRPr="000417EC" w:rsidP="000417EC">
      <w:pPr>
        <w:pStyle w:val="Heading1"/>
      </w:pPr>
      <w:bookmarkStart w:id="2" w:name="O_224250"/>
      <w:bookmarkEnd w:id="2"/>
      <w:r w:rsidRPr="000417EC">
        <w:t>Unit Descriptor</w:t>
      </w:r>
    </w:p>
    <w:tbl>
      <w:tblPr>
        <w:tblW w:w="9640" w:type="dxa"/>
        <w:tblLayout w:type="fixed"/>
        <w:tblCellMar>
          <w:left w:w="62" w:type="dxa"/>
          <w:right w:w="62" w:type="dxa"/>
        </w:tblCellMar>
        <w:tblLook w:val="0000"/>
      </w:tblPr>
      <w:tblGrid>
        <w:gridCol w:w="2978"/>
        <w:gridCol w:w="6662"/>
      </w:tblGrid>
      <w:tr w:rsidTr="000C42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417EC" w:rsidP="000417EC">
            <w:pPr>
              <w:pStyle w:val="BodyText"/>
            </w:pPr>
            <w:r w:rsidRPr="000417EC">
              <w:t>This unit involves the skills and knowledge required to monitor warehouse operations and identify and report iss</w:t>
            </w:r>
            <w:r w:rsidRPr="000417EC">
              <w:t>ues and possible improvements. It requires knowledge of different types of warehouses and their functions and organisational requirements. This includes the use of warehouse equipment, inventory and stock control processes, information technology and commu</w:t>
            </w:r>
            <w:r w:rsidRPr="000417EC">
              <w:t>nication systems, warehouse security arrangements and the application of engineered standards. There are no specific licensing or certification requirements applicable to this unit.</w:t>
            </w:r>
          </w:p>
        </w:tc>
      </w:tr>
    </w:tbl>
    <w:p w:rsidR="000C4205" w:rsidP="000417EC">
      <w:pPr>
        <w:pStyle w:val="BodyText"/>
      </w:pPr>
    </w:p>
    <w:p w:rsidR="000C4205" w:rsidP="000417EC">
      <w:pPr>
        <w:pStyle w:val="BodyText"/>
      </w:pPr>
    </w:p>
    <w:p w:rsidR="00000000" w:rsidRPr="000417EC" w:rsidP="000417EC">
      <w:pPr>
        <w:pStyle w:val="Heading1"/>
      </w:pPr>
      <w:bookmarkStart w:id="3" w:name="O_224252"/>
      <w:bookmarkEnd w:id="3"/>
      <w:r w:rsidRPr="000417EC">
        <w:t>Application of the Unit</w:t>
      </w:r>
    </w:p>
    <w:tbl>
      <w:tblPr>
        <w:tblW w:w="9640" w:type="dxa"/>
        <w:tblLayout w:type="fixed"/>
        <w:tblCellMar>
          <w:left w:w="62" w:type="dxa"/>
          <w:right w:w="62" w:type="dxa"/>
        </w:tblCellMar>
        <w:tblLook w:val="0000"/>
      </w:tblPr>
      <w:tblGrid>
        <w:gridCol w:w="2978"/>
        <w:gridCol w:w="6662"/>
      </w:tblGrid>
      <w:tr w:rsidTr="000C42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417EC" w:rsidP="000417EC">
            <w:pPr>
              <w:pStyle w:val="BodyText"/>
            </w:pPr>
            <w:r w:rsidRPr="000417EC">
              <w:t>Work may be undertaken in various contexts within the transport and logistics industry.</w:t>
            </w:r>
          </w:p>
          <w:p w:rsidR="00000000" w:rsidRPr="000417EC" w:rsidP="000417EC">
            <w:pPr>
              <w:pStyle w:val="BodyText"/>
            </w:pPr>
            <w:r w:rsidRPr="000417EC">
              <w:t>Work involves the responsibility for the monitoring of warehouse operations. Individuals must demonstrate the ability to work independently or as part of a team under d</w:t>
            </w:r>
            <w:r w:rsidRPr="000417EC">
              <w:t>irect and/or indirect supervision, use discretion and judgement, and take responsibility for the quality of their outputs. All activities are carried out in accordance with relevant organisational policy and procedures.</w:t>
            </w:r>
          </w:p>
        </w:tc>
      </w:tr>
    </w:tbl>
    <w:p w:rsidR="000C4205" w:rsidP="000417EC">
      <w:pPr>
        <w:pStyle w:val="BodyText"/>
      </w:pPr>
    </w:p>
    <w:p w:rsidR="000C4205" w:rsidP="000417EC">
      <w:pPr>
        <w:pStyle w:val="BodyText"/>
      </w:pPr>
    </w:p>
    <w:p w:rsidR="00000000" w:rsidRPr="000417EC" w:rsidP="000417EC">
      <w:pPr>
        <w:pStyle w:val="Heading1"/>
      </w:pPr>
      <w:bookmarkStart w:id="4" w:name="O_282557"/>
      <w:bookmarkEnd w:id="4"/>
      <w:r w:rsidRPr="000417EC">
        <w:t>Licensing/Regula</w:t>
      </w:r>
      <w:r w:rsidRPr="000417EC">
        <w:t>tory Information</w:t>
      </w:r>
    </w:p>
    <w:p w:rsidR="00000000" w:rsidRPr="000417EC" w:rsidP="000417EC">
      <w:pPr>
        <w:pStyle w:val="BodyText"/>
      </w:pPr>
      <w:r w:rsidRPr="000417EC">
        <w:t>Refer to Unit Descriptor</w:t>
      </w:r>
    </w:p>
    <w:p w:rsidR="00000000" w:rsidRPr="000417EC" w:rsidP="000417EC">
      <w:pPr>
        <w:pStyle w:val="AllowPageBreak"/>
      </w:pPr>
    </w:p>
    <w:p w:rsidR="00000000" w:rsidRPr="000417EC" w:rsidP="000417EC">
      <w:pPr>
        <w:pStyle w:val="Heading1"/>
      </w:pPr>
      <w:bookmarkStart w:id="5" w:name="O_285007"/>
      <w:bookmarkEnd w:id="5"/>
      <w:r w:rsidRPr="000417EC">
        <w:t>Pre-Requisites</w:t>
      </w:r>
    </w:p>
    <w:p w:rsidR="00000000" w:rsidRPr="000417EC" w:rsidP="000417EC">
      <w:pPr>
        <w:pStyle w:val="BodyText"/>
      </w:pPr>
      <w:r w:rsidRPr="000417EC">
        <w:t>Not Applicable</w:t>
      </w:r>
    </w:p>
    <w:p w:rsidR="00000000" w:rsidRPr="000417EC" w:rsidP="000417EC">
      <w:pPr>
        <w:pStyle w:val="AllowPageBreak"/>
      </w:pPr>
    </w:p>
    <w:p w:rsidR="00000000" w:rsidRPr="000417EC" w:rsidP="000417EC">
      <w:pPr>
        <w:pStyle w:val="Heading1"/>
      </w:pPr>
      <w:bookmarkStart w:id="6" w:name="O_224251"/>
      <w:bookmarkEnd w:id="6"/>
      <w:r w:rsidRPr="000417EC">
        <w:t>Employability Skills Information</w:t>
      </w:r>
    </w:p>
    <w:tbl>
      <w:tblPr>
        <w:tblW w:w="9640" w:type="dxa"/>
        <w:tblLayout w:type="fixed"/>
        <w:tblCellMar>
          <w:left w:w="62" w:type="dxa"/>
          <w:right w:w="62" w:type="dxa"/>
        </w:tblCellMar>
        <w:tblLook w:val="0000"/>
      </w:tblPr>
      <w:tblGrid>
        <w:gridCol w:w="2978"/>
        <w:gridCol w:w="6662"/>
      </w:tblGrid>
      <w:tr w:rsidTr="000C420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417EC" w:rsidP="000417EC">
            <w:pPr>
              <w:pStyle w:val="BodyText"/>
            </w:pPr>
            <w:r w:rsidRPr="000417EC">
              <w:t>This unit contains employability skills.</w:t>
            </w:r>
          </w:p>
        </w:tc>
      </w:tr>
    </w:tbl>
    <w:p w:rsidR="000C4205" w:rsidP="000417EC">
      <w:pPr>
        <w:pStyle w:val="BodyText"/>
      </w:pPr>
    </w:p>
    <w:p w:rsidR="000C4205" w:rsidP="000417EC">
      <w:pPr>
        <w:pStyle w:val="BodyText"/>
      </w:pPr>
    </w:p>
    <w:p w:rsidR="00000000" w:rsidRPr="000417EC" w:rsidP="000417EC">
      <w:pPr>
        <w:pStyle w:val="Heading1"/>
      </w:pPr>
      <w:bookmarkStart w:id="7" w:name="O_292343"/>
      <w:bookmarkEnd w:id="7"/>
      <w:r w:rsidRPr="000417EC">
        <w:t>Elements and Performance Criteria Pre-Content</w:t>
      </w:r>
    </w:p>
    <w:tbl>
      <w:tblPr>
        <w:tblW w:w="9640" w:type="dxa"/>
        <w:tblLayout w:type="fixed"/>
        <w:tblCellMar>
          <w:left w:w="62" w:type="dxa"/>
          <w:right w:w="62" w:type="dxa"/>
        </w:tblCellMar>
        <w:tblLook w:val="0000"/>
      </w:tblPr>
      <w:tblGrid>
        <w:gridCol w:w="2978"/>
        <w:gridCol w:w="6662"/>
      </w:tblGrid>
      <w:tr w:rsidTr="000C42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417EC" w:rsidP="000417EC">
            <w:pPr>
              <w:pStyle w:val="BodyText"/>
            </w:pPr>
            <w:r w:rsidRPr="000417EC">
              <w:t>Performance criteria describe the required performance needed to demonstrate achievement of the element. Assessment of performance is to be cons</w:t>
            </w:r>
            <w:r w:rsidRPr="000417EC">
              <w:t>istent with the evidence guide.</w:t>
            </w:r>
          </w:p>
        </w:tc>
      </w:tr>
    </w:tbl>
    <w:p w:rsidR="00000000" w:rsidRPr="000417EC" w:rsidP="000417EC">
      <w:pPr>
        <w:pStyle w:val="BodyText"/>
      </w:pPr>
    </w:p>
    <w:p w:rsidR="00000000" w:rsidRPr="000417EC" w:rsidP="000417EC">
      <w:pPr>
        <w:pStyle w:val="AllowPageBreak"/>
      </w:pPr>
    </w:p>
    <w:p w:rsidR="00000000" w:rsidRPr="000417EC" w:rsidP="000417EC">
      <w:pPr>
        <w:pStyle w:val="Heading1"/>
      </w:pPr>
      <w:bookmarkStart w:id="8" w:name="O_239011"/>
      <w:bookmarkEnd w:id="8"/>
      <w:r w:rsidRPr="000417EC">
        <w:t>Elements and Performance Criteria</w:t>
      </w:r>
    </w:p>
    <w:tbl>
      <w:tblPr>
        <w:tblW w:w="9640" w:type="dxa"/>
        <w:tblLayout w:type="fixed"/>
        <w:tblCellMar>
          <w:left w:w="62" w:type="dxa"/>
          <w:right w:w="62" w:type="dxa"/>
        </w:tblCellMar>
        <w:tblLook w:val="0000"/>
      </w:tblPr>
      <w:tblGrid>
        <w:gridCol w:w="2978"/>
        <w:gridCol w:w="6662"/>
      </w:tblGrid>
      <w:tr w:rsidTr="000C420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417EC" w:rsidP="000417EC">
            <w:pPr>
              <w:pStyle w:val="List"/>
            </w:pPr>
            <w:r w:rsidRPr="000417E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417EC">
            <w:pPr>
              <w:pStyle w:val="List"/>
              <w:rPr>
                <w:lang w:val="en-NZ"/>
              </w:rPr>
            </w:pPr>
            <w:r w:rsidRPr="000417EC">
              <w:rPr>
                <w:rStyle w:val="SpecialBold"/>
              </w:rPr>
              <w:t>PERFORMANCE CRITERIA</w:t>
            </w:r>
          </w:p>
        </w:tc>
      </w:tr>
      <w:tr w:rsidTr="000C42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7EC">
            <w:pPr>
              <w:pStyle w:val="List"/>
              <w:rPr>
                <w:lang w:val="en-NZ"/>
              </w:rPr>
            </w:pPr>
            <w:r w:rsidRPr="000417EC">
              <w:rPr>
                <w:rStyle w:val="SpecialBold"/>
              </w:rPr>
              <w:t>1</w:t>
            </w:r>
            <w:r w:rsidRPr="000417EC">
              <w:tab/>
            </w:r>
            <w:r w:rsidRPr="000417EC">
              <w:rPr>
                <w:rStyle w:val="SpecialBold"/>
              </w:rPr>
              <w:t>Determine warehouse operational requirements</w:t>
            </w:r>
          </w:p>
        </w:tc>
        <w:tc>
          <w:tcPr>
            <w:tcW w:w="6662" w:type="dxa"/>
            <w:tcBorders>
              <w:top w:val="nil"/>
              <w:left w:val="nil"/>
              <w:bottom w:val="nil"/>
              <w:right w:val="nil"/>
            </w:tcBorders>
            <w:tcMar>
              <w:top w:w="0" w:type="dxa"/>
              <w:left w:w="62" w:type="dxa"/>
              <w:bottom w:w="0" w:type="dxa"/>
              <w:right w:w="62" w:type="dxa"/>
            </w:tcMar>
          </w:tcPr>
          <w:p w:rsidR="00000000" w:rsidRPr="000417EC" w:rsidP="000417EC">
            <w:pPr>
              <w:pStyle w:val="List"/>
            </w:pPr>
            <w:r w:rsidRPr="000417EC">
              <w:t>1.1</w:t>
            </w:r>
            <w:r w:rsidRPr="000417EC">
              <w:tab/>
              <w:t>Standard operating procedures for warehouse operations are accessed</w:t>
            </w:r>
          </w:p>
          <w:p w:rsidR="00000000" w:rsidRPr="000417EC" w:rsidP="000417EC">
            <w:pPr>
              <w:pStyle w:val="List"/>
            </w:pPr>
            <w:r w:rsidRPr="000417EC">
              <w:t>1.2</w:t>
            </w:r>
            <w:r w:rsidRPr="000417EC">
              <w:tab/>
            </w:r>
            <w:r w:rsidRPr="000417EC">
              <w:t>Own areas of responsibility and reporting lines for issues outside own scope of authority are determined</w:t>
            </w:r>
          </w:p>
          <w:p w:rsidR="00000000" w:rsidP="000417EC">
            <w:pPr>
              <w:pStyle w:val="List"/>
              <w:rPr>
                <w:lang w:val="en-NZ"/>
              </w:rPr>
            </w:pPr>
            <w:r w:rsidRPr="000417EC">
              <w:t>1.3</w:t>
            </w:r>
            <w:r w:rsidRPr="000417EC">
              <w:tab/>
              <w:t>Applicable legislative requirements are identified</w:t>
            </w:r>
          </w:p>
        </w:tc>
      </w:tr>
      <w:tr w:rsidTr="000C42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7EC">
            <w:pPr>
              <w:pStyle w:val="List"/>
              <w:rPr>
                <w:lang w:val="en-NZ"/>
              </w:rPr>
            </w:pPr>
            <w:r w:rsidRPr="000417EC">
              <w:rPr>
                <w:rStyle w:val="SpecialBold"/>
              </w:rPr>
              <w:t>2</w:t>
            </w:r>
            <w:r w:rsidRPr="000417EC">
              <w:tab/>
            </w:r>
            <w:r w:rsidRPr="000417EC">
              <w:rPr>
                <w:rStyle w:val="SpecialBold"/>
              </w:rPr>
              <w:t>Identify the different types of warehouses</w:t>
            </w:r>
          </w:p>
        </w:tc>
        <w:tc>
          <w:tcPr>
            <w:tcW w:w="6662" w:type="dxa"/>
            <w:tcBorders>
              <w:top w:val="nil"/>
              <w:left w:val="nil"/>
              <w:bottom w:val="nil"/>
              <w:right w:val="nil"/>
            </w:tcBorders>
            <w:tcMar>
              <w:top w:w="0" w:type="dxa"/>
              <w:left w:w="62" w:type="dxa"/>
              <w:bottom w:w="0" w:type="dxa"/>
              <w:right w:w="62" w:type="dxa"/>
            </w:tcMar>
          </w:tcPr>
          <w:p w:rsidR="00000000" w:rsidRPr="000417EC" w:rsidP="000417EC">
            <w:pPr>
              <w:pStyle w:val="List"/>
            </w:pPr>
            <w:r w:rsidRPr="000417EC">
              <w:t>2.1</w:t>
            </w:r>
            <w:r w:rsidRPr="000417EC">
              <w:tab/>
              <w:t>Different types of warehouses and their functi</w:t>
            </w:r>
            <w:r w:rsidRPr="000417EC">
              <w:t>ons are analysed</w:t>
            </w:r>
          </w:p>
          <w:p w:rsidR="00000000" w:rsidRPr="000417EC" w:rsidP="000417EC">
            <w:pPr>
              <w:pStyle w:val="List"/>
            </w:pPr>
            <w:r w:rsidRPr="000417EC">
              <w:t>2.2</w:t>
            </w:r>
            <w:r w:rsidRPr="000417EC">
              <w:tab/>
              <w:t>The range of products/goods stored within various types of warehouses is identified</w:t>
            </w:r>
          </w:p>
          <w:p w:rsidR="00000000" w:rsidP="000417EC">
            <w:pPr>
              <w:pStyle w:val="List"/>
              <w:rPr>
                <w:lang w:val="en-NZ"/>
              </w:rPr>
            </w:pPr>
            <w:r w:rsidRPr="000417EC">
              <w:t>2.3</w:t>
            </w:r>
            <w:r w:rsidRPr="000417EC">
              <w:tab/>
              <w:t>Storage plan for a range of inventory is developed, in accordance with enterprise procedures (including materials handling equipment) and legislati</w:t>
            </w:r>
            <w:r w:rsidRPr="000417EC">
              <w:t>ve requirements</w:t>
            </w:r>
          </w:p>
        </w:tc>
      </w:tr>
      <w:tr w:rsidTr="000C42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7EC">
            <w:pPr>
              <w:pStyle w:val="List"/>
              <w:rPr>
                <w:lang w:val="en-NZ"/>
              </w:rPr>
            </w:pPr>
            <w:r w:rsidRPr="000417EC">
              <w:rPr>
                <w:rStyle w:val="SpecialBold"/>
              </w:rPr>
              <w:t>3</w:t>
            </w:r>
            <w:r w:rsidRPr="000417EC">
              <w:tab/>
            </w:r>
            <w:r w:rsidRPr="000417EC">
              <w:rPr>
                <w:rStyle w:val="SpecialBold"/>
              </w:rPr>
              <w:t>Identify functions of warehouse operations</w:t>
            </w:r>
          </w:p>
        </w:tc>
        <w:tc>
          <w:tcPr>
            <w:tcW w:w="6662" w:type="dxa"/>
            <w:tcBorders>
              <w:top w:val="nil"/>
              <w:left w:val="nil"/>
              <w:bottom w:val="nil"/>
              <w:right w:val="nil"/>
            </w:tcBorders>
            <w:tcMar>
              <w:top w:w="0" w:type="dxa"/>
              <w:left w:w="62" w:type="dxa"/>
              <w:bottom w:w="0" w:type="dxa"/>
              <w:right w:w="62" w:type="dxa"/>
            </w:tcMar>
          </w:tcPr>
          <w:p w:rsidR="00000000" w:rsidRPr="000417EC" w:rsidP="000417EC">
            <w:pPr>
              <w:pStyle w:val="List"/>
            </w:pPr>
            <w:r w:rsidRPr="000417EC">
              <w:t>3.1</w:t>
            </w:r>
            <w:r w:rsidRPr="000417EC">
              <w:tab/>
              <w:t>Warehouse operations of receiving, order picking and packing, despatch, stocktaking and replenishment are confirmed</w:t>
            </w:r>
          </w:p>
          <w:p w:rsidR="00000000" w:rsidRPr="000417EC" w:rsidP="000417EC">
            <w:pPr>
              <w:pStyle w:val="List"/>
            </w:pPr>
            <w:r w:rsidRPr="000417EC">
              <w:t>3.2</w:t>
            </w:r>
            <w:r w:rsidRPr="000417EC">
              <w:tab/>
              <w:t>Different types of documentation required for warehouse operations are</w:t>
            </w:r>
            <w:r w:rsidRPr="000417EC">
              <w:t xml:space="preserve"> used and interpreted</w:t>
            </w:r>
          </w:p>
          <w:p w:rsidR="00000000" w:rsidRPr="000417EC" w:rsidP="000417EC">
            <w:pPr>
              <w:pStyle w:val="List"/>
            </w:pPr>
            <w:r w:rsidRPr="000417EC">
              <w:t>3.3</w:t>
            </w:r>
            <w:r w:rsidRPr="000417EC">
              <w:tab/>
              <w:t>Flow of goods through the warehouse from the receiving area to despatch is identified</w:t>
            </w:r>
          </w:p>
          <w:p w:rsidR="00000000" w:rsidP="000417EC">
            <w:pPr>
              <w:pStyle w:val="List"/>
              <w:rPr>
                <w:lang w:val="en-NZ"/>
              </w:rPr>
            </w:pPr>
            <w:r w:rsidRPr="000417EC">
              <w:t>3.4</w:t>
            </w:r>
            <w:r w:rsidRPr="000417EC">
              <w:tab/>
              <w:t>Characteristics of goods which may have an impact on storage/handling methods and requirements are investigated</w:t>
            </w:r>
          </w:p>
        </w:tc>
      </w:tr>
      <w:tr w:rsidTr="000C42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7EC">
            <w:pPr>
              <w:pStyle w:val="List"/>
              <w:rPr>
                <w:lang w:val="en-NZ"/>
              </w:rPr>
            </w:pPr>
            <w:r w:rsidRPr="000417EC">
              <w:rPr>
                <w:rStyle w:val="SpecialBold"/>
              </w:rPr>
              <w:t>4</w:t>
            </w:r>
            <w:r w:rsidRPr="000417EC">
              <w:tab/>
            </w:r>
            <w:r w:rsidRPr="000417EC">
              <w:rPr>
                <w:rStyle w:val="SpecialBold"/>
              </w:rPr>
              <w:t>Use warehouse equipment</w:t>
            </w:r>
          </w:p>
        </w:tc>
        <w:tc>
          <w:tcPr>
            <w:tcW w:w="6662" w:type="dxa"/>
            <w:tcBorders>
              <w:top w:val="nil"/>
              <w:left w:val="nil"/>
              <w:bottom w:val="nil"/>
              <w:right w:val="nil"/>
            </w:tcBorders>
            <w:tcMar>
              <w:top w:w="0" w:type="dxa"/>
              <w:left w:w="62" w:type="dxa"/>
              <w:bottom w:w="0" w:type="dxa"/>
              <w:right w:w="62" w:type="dxa"/>
            </w:tcMar>
          </w:tcPr>
          <w:p w:rsidR="00000000" w:rsidRPr="000417EC" w:rsidP="000417EC">
            <w:pPr>
              <w:pStyle w:val="List"/>
            </w:pPr>
            <w:r w:rsidRPr="000417EC">
              <w:t>4.1</w:t>
            </w:r>
            <w:r w:rsidRPr="000417EC">
              <w:tab/>
              <w:t>Purpose and types of materials handling equipment commonly used in warehouses are confirmed</w:t>
            </w:r>
          </w:p>
          <w:p w:rsidR="00000000" w:rsidRPr="000417EC" w:rsidP="000417EC">
            <w:pPr>
              <w:pStyle w:val="List"/>
            </w:pPr>
            <w:r w:rsidRPr="000417EC">
              <w:t>4.2</w:t>
            </w:r>
            <w:r w:rsidRPr="000417EC">
              <w:tab/>
              <w:t>Storage systems commonly used in warehouses, and their functions, are identified</w:t>
            </w:r>
          </w:p>
          <w:p w:rsidR="00000000" w:rsidRPr="000417EC" w:rsidP="000417EC">
            <w:pPr>
              <w:pStyle w:val="List"/>
            </w:pPr>
            <w:r w:rsidRPr="000417EC">
              <w:t>4.3</w:t>
            </w:r>
            <w:r w:rsidRPr="000417EC">
              <w:tab/>
              <w:t>Correct use and load capacity of storage systems are determined, accord</w:t>
            </w:r>
            <w:r w:rsidRPr="000417EC">
              <w:t>ing to manufacturers specifications and organisational policies and procedures</w:t>
            </w:r>
          </w:p>
          <w:p w:rsidR="00000000" w:rsidP="000417EC">
            <w:pPr>
              <w:pStyle w:val="List"/>
              <w:rPr>
                <w:lang w:val="en-NZ"/>
              </w:rPr>
            </w:pPr>
            <w:r w:rsidRPr="000417EC">
              <w:t>4.4</w:t>
            </w:r>
            <w:r w:rsidRPr="000417EC">
              <w:tab/>
              <w:t>Manually operated materials handling equipment is used correctly, and according to legislative and regulatory requirements and organisational policies and procedures</w:t>
            </w:r>
          </w:p>
        </w:tc>
      </w:tr>
      <w:tr w:rsidTr="000C42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7EC">
            <w:pPr>
              <w:pStyle w:val="List"/>
              <w:rPr>
                <w:lang w:val="en-NZ"/>
              </w:rPr>
            </w:pPr>
            <w:r w:rsidRPr="000417EC">
              <w:rPr>
                <w:rStyle w:val="SpecialBold"/>
              </w:rPr>
              <w:t>5</w:t>
            </w:r>
            <w:r w:rsidRPr="000417EC">
              <w:tab/>
            </w:r>
            <w:r w:rsidRPr="000417EC">
              <w:rPr>
                <w:rStyle w:val="SpecialBold"/>
              </w:rPr>
              <w:t xml:space="preserve">Use </w:t>
            </w:r>
            <w:r w:rsidRPr="000417EC">
              <w:rPr>
                <w:rStyle w:val="SpecialBold"/>
              </w:rPr>
              <w:t>a range of information technologies employed in a warehouse</w:t>
            </w:r>
          </w:p>
        </w:tc>
        <w:tc>
          <w:tcPr>
            <w:tcW w:w="6662" w:type="dxa"/>
            <w:tcBorders>
              <w:top w:val="nil"/>
              <w:left w:val="nil"/>
              <w:bottom w:val="nil"/>
              <w:right w:val="nil"/>
            </w:tcBorders>
            <w:tcMar>
              <w:top w:w="0" w:type="dxa"/>
              <w:left w:w="62" w:type="dxa"/>
              <w:bottom w:w="0" w:type="dxa"/>
              <w:right w:w="62" w:type="dxa"/>
            </w:tcMar>
          </w:tcPr>
          <w:p w:rsidR="00000000" w:rsidRPr="000417EC" w:rsidP="000417EC">
            <w:pPr>
              <w:pStyle w:val="List"/>
            </w:pPr>
            <w:r w:rsidRPr="000417EC">
              <w:t>5.1</w:t>
            </w:r>
            <w:r w:rsidRPr="000417EC">
              <w:tab/>
              <w:t>Information technological systems used in the warehouse operations are identified</w:t>
            </w:r>
          </w:p>
          <w:p w:rsidR="00000000" w:rsidRPr="000417EC" w:rsidP="000417EC">
            <w:pPr>
              <w:pStyle w:val="List"/>
            </w:pPr>
            <w:r w:rsidRPr="000417EC">
              <w:t>5.2</w:t>
            </w:r>
            <w:r w:rsidRPr="000417EC">
              <w:tab/>
              <w:t>Use and impact of data capturing systems used within warehouse operations is analysed</w:t>
            </w:r>
          </w:p>
          <w:p w:rsidR="00000000" w:rsidRPr="000417EC" w:rsidP="000417EC">
            <w:pPr>
              <w:pStyle w:val="List"/>
            </w:pPr>
            <w:r w:rsidRPr="000417EC">
              <w:t>5.3</w:t>
            </w:r>
            <w:r w:rsidRPr="000417EC">
              <w:tab/>
              <w:t>Data capturing d</w:t>
            </w:r>
            <w:r w:rsidRPr="000417EC">
              <w:t>evices are used to record inventory in a warehouse operation</w:t>
            </w:r>
          </w:p>
          <w:p w:rsidR="00000000" w:rsidRPr="000417EC" w:rsidP="000417EC">
            <w:pPr>
              <w:pStyle w:val="List"/>
            </w:pPr>
            <w:r w:rsidRPr="000417EC">
              <w:t>5.4</w:t>
            </w:r>
            <w:r w:rsidRPr="000417EC">
              <w:tab/>
              <w:t>The impact of information technology and communication systems used in the warehouse is identified</w:t>
            </w:r>
          </w:p>
          <w:p w:rsidR="00000000" w:rsidRPr="000417EC" w:rsidP="000417EC">
            <w:pPr>
              <w:pStyle w:val="List"/>
            </w:pPr>
            <w:r w:rsidRPr="000417EC">
              <w:t>5.5</w:t>
            </w:r>
            <w:r w:rsidRPr="000417EC">
              <w:tab/>
              <w:t>Communication system is used to monitor goods and products in a warehouse operation</w:t>
            </w:r>
          </w:p>
          <w:p w:rsidR="00000000" w:rsidP="000417EC">
            <w:pPr>
              <w:pStyle w:val="List"/>
              <w:rPr>
                <w:lang w:val="en-NZ"/>
              </w:rPr>
            </w:pPr>
            <w:r w:rsidRPr="000417EC">
              <w:t>5.6</w:t>
            </w:r>
            <w:r w:rsidRPr="000417EC">
              <w:tab/>
            </w:r>
            <w:r w:rsidRPr="000417EC">
              <w:t>Warehouse management systems are used to monitor the flow of inventory in warehouse operations</w:t>
            </w:r>
          </w:p>
        </w:tc>
      </w:tr>
      <w:tr w:rsidTr="000C42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7EC">
            <w:pPr>
              <w:pStyle w:val="List"/>
              <w:rPr>
                <w:lang w:val="en-NZ"/>
              </w:rPr>
            </w:pPr>
            <w:r w:rsidRPr="000417EC">
              <w:rPr>
                <w:rStyle w:val="SpecialBold"/>
              </w:rPr>
              <w:t>6</w:t>
            </w:r>
            <w:r w:rsidRPr="000417EC">
              <w:tab/>
            </w:r>
            <w:r w:rsidRPr="000417EC">
              <w:rPr>
                <w:rStyle w:val="SpecialBold"/>
              </w:rPr>
              <w:t>Participate in inventory</w:t>
            </w:r>
            <w:r w:rsidRPr="000417EC">
              <w:t>/</w:t>
            </w:r>
            <w:r w:rsidRPr="000417EC">
              <w:rPr>
                <w:rStyle w:val="SpecialBold"/>
              </w:rPr>
              <w:t>stock control procedures</w:t>
            </w:r>
          </w:p>
        </w:tc>
        <w:tc>
          <w:tcPr>
            <w:tcW w:w="6662" w:type="dxa"/>
            <w:tcBorders>
              <w:top w:val="nil"/>
              <w:left w:val="nil"/>
              <w:bottom w:val="nil"/>
              <w:right w:val="nil"/>
            </w:tcBorders>
            <w:tcMar>
              <w:top w:w="0" w:type="dxa"/>
              <w:left w:w="62" w:type="dxa"/>
              <w:bottom w:w="0" w:type="dxa"/>
              <w:right w:w="62" w:type="dxa"/>
            </w:tcMar>
          </w:tcPr>
          <w:p w:rsidR="00000000" w:rsidRPr="000417EC" w:rsidP="000417EC">
            <w:pPr>
              <w:pStyle w:val="List"/>
            </w:pPr>
            <w:r w:rsidRPr="000417EC">
              <w:t>6.1</w:t>
            </w:r>
            <w:r w:rsidRPr="000417EC">
              <w:tab/>
              <w:t>Inventory and stock control principles are identified</w:t>
            </w:r>
          </w:p>
          <w:p w:rsidR="00000000" w:rsidRPr="000417EC" w:rsidP="000417EC">
            <w:pPr>
              <w:pStyle w:val="List"/>
            </w:pPr>
            <w:r w:rsidRPr="000417EC">
              <w:t>6.2</w:t>
            </w:r>
            <w:r w:rsidRPr="000417EC">
              <w:tab/>
              <w:t>Methods and processes are utilised for determi</w:t>
            </w:r>
            <w:r w:rsidRPr="000417EC">
              <w:t>ning stock, replenishment and reordering levels</w:t>
            </w:r>
          </w:p>
          <w:p w:rsidR="00000000" w:rsidRPr="000417EC" w:rsidP="000417EC">
            <w:pPr>
              <w:pStyle w:val="List"/>
            </w:pPr>
            <w:r w:rsidRPr="000417EC">
              <w:t>6.3</w:t>
            </w:r>
            <w:r w:rsidRPr="000417EC">
              <w:tab/>
              <w:t>A range of reordering methods are implemented</w:t>
            </w:r>
          </w:p>
          <w:p w:rsidR="00000000" w:rsidRPr="000417EC" w:rsidP="000417EC">
            <w:pPr>
              <w:pStyle w:val="List"/>
            </w:pPr>
            <w:r w:rsidRPr="000417EC">
              <w:t>6.4</w:t>
            </w:r>
            <w:r w:rsidRPr="000417EC">
              <w:tab/>
              <w:t>Factors that impact on reordering and stock control levels are identified</w:t>
            </w:r>
          </w:p>
          <w:p w:rsidR="00000000" w:rsidP="000417EC">
            <w:pPr>
              <w:pStyle w:val="List"/>
              <w:rPr>
                <w:lang w:val="en-NZ"/>
              </w:rPr>
            </w:pPr>
            <w:r w:rsidRPr="000417EC">
              <w:t>6.5</w:t>
            </w:r>
            <w:r w:rsidRPr="000417EC">
              <w:tab/>
              <w:t xml:space="preserve">Inventory count of a stock item is performed, the need for replenishment is </w:t>
            </w:r>
            <w:r w:rsidRPr="000417EC">
              <w:t>determined and a stock item is reordered if required</w:t>
            </w:r>
          </w:p>
        </w:tc>
      </w:tr>
      <w:tr w:rsidTr="000C42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7EC">
            <w:pPr>
              <w:pStyle w:val="List"/>
              <w:rPr>
                <w:lang w:val="en-NZ"/>
              </w:rPr>
            </w:pPr>
            <w:r w:rsidRPr="000417EC">
              <w:rPr>
                <w:rStyle w:val="SpecialBold"/>
              </w:rPr>
              <w:t>7</w:t>
            </w:r>
            <w:r w:rsidRPr="000417EC">
              <w:tab/>
            </w:r>
            <w:r w:rsidRPr="000417EC">
              <w:rPr>
                <w:rStyle w:val="SpecialBold"/>
              </w:rPr>
              <w:t>Apply engineered standards to warehouse operations</w:t>
            </w:r>
          </w:p>
        </w:tc>
        <w:tc>
          <w:tcPr>
            <w:tcW w:w="6662" w:type="dxa"/>
            <w:tcBorders>
              <w:top w:val="nil"/>
              <w:left w:val="nil"/>
              <w:bottom w:val="nil"/>
              <w:right w:val="nil"/>
            </w:tcBorders>
            <w:tcMar>
              <w:top w:w="0" w:type="dxa"/>
              <w:left w:w="62" w:type="dxa"/>
              <w:bottom w:w="0" w:type="dxa"/>
              <w:right w:w="62" w:type="dxa"/>
            </w:tcMar>
          </w:tcPr>
          <w:p w:rsidR="00000000" w:rsidRPr="000417EC" w:rsidP="000417EC">
            <w:pPr>
              <w:pStyle w:val="List"/>
            </w:pPr>
            <w:r w:rsidRPr="000417EC">
              <w:t>7.1</w:t>
            </w:r>
            <w:r w:rsidRPr="000417EC">
              <w:tab/>
              <w:t>The general principle of engineered standards is identified</w:t>
            </w:r>
          </w:p>
          <w:p w:rsidR="00000000" w:rsidRPr="000417EC" w:rsidP="000417EC">
            <w:pPr>
              <w:pStyle w:val="List"/>
            </w:pPr>
            <w:r w:rsidRPr="000417EC">
              <w:t>7.2</w:t>
            </w:r>
            <w:r w:rsidRPr="000417EC">
              <w:tab/>
            </w:r>
            <w:r w:rsidRPr="000417EC">
              <w:t>The main measurements and collection methods required to support engineered standards are used</w:t>
            </w:r>
          </w:p>
          <w:p w:rsidR="00000000" w:rsidP="000417EC">
            <w:pPr>
              <w:pStyle w:val="List"/>
              <w:rPr>
                <w:lang w:val="en-NZ"/>
              </w:rPr>
            </w:pPr>
            <w:r w:rsidRPr="000417EC">
              <w:t>7.3</w:t>
            </w:r>
            <w:r w:rsidRPr="000417EC">
              <w:tab/>
              <w:t>Application of engineered standards to various warehousing tasks is determined</w:t>
            </w:r>
          </w:p>
        </w:tc>
      </w:tr>
      <w:tr w:rsidTr="000C420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7EC">
            <w:pPr>
              <w:pStyle w:val="List"/>
              <w:rPr>
                <w:lang w:val="en-NZ"/>
              </w:rPr>
            </w:pPr>
            <w:r w:rsidRPr="000417EC">
              <w:rPr>
                <w:rStyle w:val="SpecialBold"/>
              </w:rPr>
              <w:t>8</w:t>
            </w:r>
            <w:r w:rsidRPr="000417EC">
              <w:tab/>
            </w:r>
            <w:r w:rsidRPr="000417EC">
              <w:rPr>
                <w:rStyle w:val="SpecialBold"/>
              </w:rPr>
              <w:t>Report on warehouse security</w:t>
            </w:r>
          </w:p>
        </w:tc>
        <w:tc>
          <w:tcPr>
            <w:tcW w:w="6662" w:type="dxa"/>
            <w:tcBorders>
              <w:top w:val="nil"/>
              <w:left w:val="nil"/>
              <w:bottom w:val="nil"/>
              <w:right w:val="nil"/>
            </w:tcBorders>
            <w:tcMar>
              <w:top w:w="0" w:type="dxa"/>
              <w:left w:w="62" w:type="dxa"/>
              <w:bottom w:w="0" w:type="dxa"/>
              <w:right w:w="62" w:type="dxa"/>
            </w:tcMar>
          </w:tcPr>
          <w:p w:rsidR="00000000" w:rsidRPr="000417EC" w:rsidP="000417EC">
            <w:pPr>
              <w:pStyle w:val="List"/>
            </w:pPr>
            <w:r w:rsidRPr="000417EC">
              <w:t>8.1</w:t>
            </w:r>
            <w:r w:rsidRPr="000417EC">
              <w:tab/>
              <w:t>Warehouse security arrangements are compli</w:t>
            </w:r>
            <w:r w:rsidRPr="000417EC">
              <w:t>ed with</w:t>
            </w:r>
          </w:p>
          <w:p w:rsidR="00000000" w:rsidRPr="000417EC" w:rsidP="000417EC">
            <w:pPr>
              <w:pStyle w:val="List"/>
            </w:pPr>
            <w:r w:rsidRPr="000417EC">
              <w:t>8.2</w:t>
            </w:r>
            <w:r w:rsidRPr="000417EC">
              <w:tab/>
              <w:t>Security objectives are determined</w:t>
            </w:r>
          </w:p>
          <w:p w:rsidR="00000000" w:rsidRPr="000417EC" w:rsidP="000417EC">
            <w:pPr>
              <w:pStyle w:val="List"/>
            </w:pPr>
            <w:r w:rsidRPr="000417EC">
              <w:t>8.3</w:t>
            </w:r>
            <w:r w:rsidRPr="000417EC">
              <w:tab/>
              <w:t>Internal and external security threats and exposures as they relate to warehouses are evaluated</w:t>
            </w:r>
          </w:p>
          <w:p w:rsidR="00000000" w:rsidRPr="000417EC" w:rsidP="000417EC">
            <w:pPr>
              <w:pStyle w:val="List"/>
            </w:pPr>
            <w:r w:rsidRPr="000417EC">
              <w:t>8.4</w:t>
            </w:r>
            <w:r w:rsidRPr="000417EC">
              <w:tab/>
              <w:t>Measures to improve security arrangements are reported</w:t>
            </w:r>
          </w:p>
        </w:tc>
      </w:tr>
    </w:tbl>
    <w:p w:rsidR="000C4205" w:rsidP="000417EC">
      <w:pPr>
        <w:pStyle w:val="BodyText"/>
      </w:pPr>
    </w:p>
    <w:p w:rsidR="000C4205" w:rsidP="000417EC">
      <w:pPr>
        <w:pStyle w:val="BodyText"/>
      </w:pPr>
    </w:p>
    <w:p w:rsidR="00000000" w:rsidRPr="000417EC" w:rsidP="000417EC">
      <w:pPr>
        <w:pStyle w:val="Heading1"/>
      </w:pPr>
      <w:bookmarkStart w:id="9" w:name="O_262802"/>
      <w:bookmarkEnd w:id="9"/>
      <w:r w:rsidRPr="000417EC">
        <w:t>Required Skills and Knowledg</w:t>
      </w:r>
      <w:r w:rsidRPr="000417EC">
        <w:t>e</w:t>
      </w:r>
    </w:p>
    <w:tbl>
      <w:tblPr>
        <w:tblW w:w="9640" w:type="dxa"/>
        <w:tblLayout w:type="fixed"/>
        <w:tblCellMar>
          <w:left w:w="62" w:type="dxa"/>
          <w:right w:w="62" w:type="dxa"/>
        </w:tblCellMar>
        <w:tblLook w:val="0000"/>
      </w:tblPr>
      <w:tblGrid>
        <w:gridCol w:w="9640"/>
      </w:tblGrid>
      <w:tr w:rsidTr="000C420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rPr>
                <w:rStyle w:val="SpecialBold"/>
              </w:rPr>
              <w:t>REQUIRED KNOWLEDGE AND SKILLS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t>This describes the essential knowledge and skills and their level required for this unit.</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rPr>
                <w:rStyle w:val="SpecialBold"/>
              </w:rPr>
              <w:t>Required knowledge</w:t>
            </w:r>
            <w:r w:rsidRPr="000417EC">
              <w:t>:</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 xml:space="preserve">Relevant sections of national and state or territory legislation, regulatory requirements, </w:t>
            </w:r>
            <w:r w:rsidRPr="000417EC">
              <w:t>and codes of practice/or guidelines as they relate to the level and type of warehouse operations, including inventory storage</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Relevant OH&amp;S and environmental procedures and guidelines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Organisational policies and procedures, including those pertaining t</w:t>
            </w:r>
            <w:r w:rsidRPr="000417EC">
              <w:t>o effective monitoring and reporting of warehouse operations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Principles of operation and functions of inventory systems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 xml:space="preserve">Different types of inventory systems and stock management approaches applicable </w:t>
            </w:r>
            <w:r w:rsidRPr="000417EC">
              <w:t>to a range of warehouse styles and sizes to enable the control of stock</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Workplace processes for records management and the production of inventory reports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Computer records/documentation requirements for stock control, including forms, checklists and in</w:t>
            </w:r>
            <w:r w:rsidRPr="000417EC">
              <w:t>ventory reports applicable to the workplace</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Housekeeping standards procedures required in the workplace</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Range of different warehouse structures/types and applications/functions of warehouse to enable the storage of a range of products and goods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 xml:space="preserve">Role </w:t>
            </w:r>
            <w:r w:rsidRPr="000417EC">
              <w:t>and impact of information technology, including record systems, in warehouse operations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Impact of engineered standards on warehouse operations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 xml:space="preserve">Warehouse security processes to enable identifying and reporting measures to improve </w:t>
            </w:r>
            <w:r w:rsidRPr="000417EC">
              <w:t>security in the workplace</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417EC" w:rsidP="000417EC">
            <w:pPr>
              <w:pStyle w:val="ListBullet"/>
            </w:pPr>
            <w:r w:rsidRPr="000417EC">
              <w:t>Software applications commonly used in warehouse operations</w:t>
            </w:r>
          </w:p>
        </w:tc>
      </w:tr>
    </w:tbl>
    <w:p w:rsidR="00000000" w:rsidRPr="000417EC" w:rsidP="000417EC">
      <w:pPr>
        <w:pStyle w:val="BodyText"/>
      </w:pPr>
    </w:p>
    <w:tbl>
      <w:tblPr>
        <w:tblW w:w="9640" w:type="dxa"/>
        <w:tblLayout w:type="fixed"/>
        <w:tblCellMar>
          <w:left w:w="62" w:type="dxa"/>
          <w:right w:w="62" w:type="dxa"/>
        </w:tblCellMar>
        <w:tblLook w:val="0000"/>
      </w:tblPr>
      <w:tblGrid>
        <w:gridCol w:w="9640"/>
      </w:tblGrid>
      <w:tr w:rsidTr="000C420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rPr>
                <w:rStyle w:val="SpecialBold"/>
              </w:rPr>
              <w:t>Required skills</w:t>
            </w:r>
            <w:r w:rsidRPr="000417EC">
              <w:t>:</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Communicate effectively with others when monitoring warehouse operations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Report and record non-compliance issues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Advise recommendations regarding possible improvements to warehouse operations, including measures to improve security arrangements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Read and interpret relevant work requirements, policies, procedures and other information relevant to monitoring warehouse</w:t>
            </w:r>
            <w:r w:rsidRPr="000417EC">
              <w:t xml:space="preserve"> operations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Complete documentation and provide reports related to monitoring warehouse operations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Use numeracy skills relevant to warehouse operations, including inventory and stock control</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Work collaboratively with others, and adapt appropriately to</w:t>
            </w:r>
            <w:r w:rsidRPr="000417EC">
              <w:t xml:space="preserve"> cultural differences in the workplace</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Promptly report and/or rectify any identified problems that may occur when monitoring warehouse operations in accordance with applicable regulatory requirements and workplace procedures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Monitor and anticipate oper</w:t>
            </w:r>
            <w:r w:rsidRPr="000417EC">
              <w:t>ational problems, hazards and risks, including security breaches, and take appropriate action</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Modify activities dependent on differing workplace contingencies, situations and environments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Monitor work activities in terms of planned schedule</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Interpret and apply relevant regulations and instructions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Adapt own competence in response to any changes in activities when monitoring warehouse operations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Correctly and safely operate relevant equipment, including use of manually operated materials h</w:t>
            </w:r>
            <w:r w:rsidRPr="000417EC">
              <w:t>andling equipment, when monitoring warehouse operations</w:t>
            </w:r>
          </w:p>
        </w:tc>
      </w:tr>
      <w:tr w:rsidTr="000C420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417EC" w:rsidP="000417EC">
            <w:pPr>
              <w:pStyle w:val="ListBullet"/>
            </w:pPr>
            <w:r w:rsidRPr="000417EC">
              <w:t>Use appropriate technology, including software and communication systems, to enable the monitoring of goods and products in the workplace</w:t>
            </w:r>
          </w:p>
        </w:tc>
      </w:tr>
    </w:tbl>
    <w:p w:rsidR="000C4205" w:rsidP="000417EC">
      <w:pPr>
        <w:pStyle w:val="BodyText"/>
      </w:pPr>
    </w:p>
    <w:p w:rsidR="000C4205" w:rsidP="000417EC">
      <w:pPr>
        <w:pStyle w:val="BodyText"/>
      </w:pPr>
    </w:p>
    <w:p w:rsidR="00000000" w:rsidRPr="000417EC" w:rsidP="000417EC">
      <w:pPr>
        <w:pStyle w:val="Heading1"/>
      </w:pPr>
      <w:bookmarkStart w:id="10" w:name="O_246995"/>
      <w:bookmarkEnd w:id="10"/>
      <w:r w:rsidRPr="000417EC">
        <w:t>Evidence Guide</w:t>
      </w:r>
    </w:p>
    <w:tbl>
      <w:tblPr>
        <w:tblW w:w="9499" w:type="dxa"/>
        <w:tblLayout w:type="fixed"/>
        <w:tblCellMar>
          <w:left w:w="62" w:type="dxa"/>
          <w:right w:w="62" w:type="dxa"/>
        </w:tblCellMar>
        <w:tblLook w:val="0000"/>
      </w:tblPr>
      <w:tblGrid>
        <w:gridCol w:w="3524"/>
        <w:gridCol w:w="5975"/>
      </w:tblGrid>
      <w:tr w:rsidTr="000C420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rPr>
                <w:rStyle w:val="SpecialBold"/>
              </w:rPr>
              <w:t>EVIDENCE GUIDE</w:t>
            </w:r>
          </w:p>
        </w:tc>
      </w:tr>
      <w:tr w:rsidTr="000C420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t>The evidence guide provides advice on assessment and must be read in conjunction with the performance criteria, required knowledge and skills, the range statement and the assessment guidelines for this Training Package.</w:t>
            </w:r>
          </w:p>
        </w:tc>
      </w:tr>
      <w:tr w:rsidTr="000C420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rPr>
                <w:rStyle w:val="SpecialBold"/>
              </w:rPr>
              <w:t>Critical aspects for assessment an</w:t>
            </w:r>
            <w:r w:rsidRPr="000417E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P="000417EC">
            <w:pPr>
              <w:pStyle w:val="ListBullet"/>
              <w:rPr>
                <w:lang w:val="en-NZ"/>
              </w:rPr>
            </w:pPr>
            <w:r w:rsidRPr="000417EC">
              <w:t>The evidence required to demonstrate competency in this unit must be relevant to and satisfy all of the requirements of the elements and performance criteria of this unit</w:t>
            </w:r>
          </w:p>
        </w:tc>
      </w:tr>
      <w:tr w:rsidTr="000C420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417EC" w:rsidP="000417EC">
            <w:pPr>
              <w:pStyle w:val="ListBullet"/>
            </w:pPr>
            <w:r w:rsidRPr="000417EC">
              <w:t>Competency should be demonstrated on at least one occasion covering the scope of the unit of competence</w:t>
            </w:r>
          </w:p>
          <w:p w:rsidR="00000000" w:rsidRPr="000417EC" w:rsidP="000417EC">
            <w:pPr>
              <w:pStyle w:val="ListBullet"/>
            </w:pPr>
            <w:r w:rsidRPr="000417EC">
              <w:t>Resources for assessment include:</w:t>
            </w:r>
          </w:p>
          <w:p w:rsidR="00000000" w:rsidRPr="000417EC" w:rsidP="000417EC">
            <w:pPr>
              <w:pStyle w:val="ListBullet2"/>
            </w:pPr>
            <w:r w:rsidRPr="000417EC">
              <w:t xml:space="preserve">a range of relevant exercises, case studies and/or other simulated </w:t>
            </w:r>
            <w:r w:rsidRPr="000417EC">
              <w:t>practical and knowledge assessment, and/or</w:t>
            </w:r>
          </w:p>
          <w:p w:rsidR="00000000" w:rsidRPr="000417EC" w:rsidP="000417EC">
            <w:pPr>
              <w:pStyle w:val="ListBullet2"/>
            </w:pPr>
            <w:r w:rsidRPr="000417EC">
              <w:t>access to an appropriate range of relevant operational situations in the workplace</w:t>
            </w:r>
          </w:p>
          <w:p w:rsidR="00000000" w:rsidRPr="000417EC" w:rsidP="000417EC">
            <w:pPr>
              <w:pStyle w:val="ListBullet"/>
            </w:pPr>
            <w:r w:rsidRPr="000417EC">
              <w:t>In both real and simulated environments, access is required to:</w:t>
            </w:r>
          </w:p>
          <w:p w:rsidR="00000000" w:rsidRPr="000417EC" w:rsidP="000417EC">
            <w:pPr>
              <w:pStyle w:val="ListBullet2"/>
            </w:pPr>
            <w:r w:rsidRPr="000417EC">
              <w:t>relevant and appropriate materials and equipment, and</w:t>
            </w:r>
          </w:p>
          <w:p w:rsidR="00000000" w:rsidP="000417EC">
            <w:pPr>
              <w:pStyle w:val="ListBullet2"/>
              <w:rPr>
                <w:lang w:val="en-NZ"/>
              </w:rPr>
            </w:pPr>
            <w:r w:rsidRPr="000417EC">
              <w:t>applicable documentation including workplace procedures, regulations, codes of practice and operation manuals</w:t>
            </w:r>
          </w:p>
        </w:tc>
      </w:tr>
      <w:tr w:rsidTr="000C420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417EC" w:rsidP="000417EC">
            <w:pPr>
              <w:pStyle w:val="ListBullet"/>
            </w:pPr>
            <w:r w:rsidRPr="000417EC">
              <w:t>Assessment of this unit must be undertaken by a registered training organisation</w:t>
            </w:r>
          </w:p>
          <w:p w:rsidR="00000000" w:rsidRPr="000417EC" w:rsidP="000417EC">
            <w:pPr>
              <w:pStyle w:val="ListBullet"/>
            </w:pPr>
            <w:r w:rsidRPr="000417EC">
              <w:t>As a minimum, assessment of knowledge must be conducted through appropriate written/oral tests</w:t>
            </w:r>
          </w:p>
          <w:p w:rsidR="00000000" w:rsidRPr="000417EC" w:rsidP="000417EC">
            <w:pPr>
              <w:pStyle w:val="ListBullet"/>
            </w:pPr>
            <w:r w:rsidRPr="000417EC">
              <w:t>Practical assessment must occur:</w:t>
            </w:r>
          </w:p>
          <w:p w:rsidR="00000000" w:rsidRPr="000417EC" w:rsidP="000417EC">
            <w:pPr>
              <w:pStyle w:val="ListBullet2"/>
            </w:pPr>
            <w:r w:rsidRPr="000417EC">
              <w:t>through activities in an appropriately simulated environment, and/or</w:t>
            </w:r>
          </w:p>
          <w:p w:rsidR="00000000" w:rsidRPr="000417EC" w:rsidP="000417EC">
            <w:pPr>
              <w:pStyle w:val="ListBullet2"/>
            </w:pPr>
            <w:r w:rsidRPr="000417EC">
              <w:t>in an appropriate range of situations in the workplace</w:t>
            </w:r>
          </w:p>
        </w:tc>
      </w:tr>
    </w:tbl>
    <w:p w:rsidR="000C4205" w:rsidP="000417EC">
      <w:pPr>
        <w:pStyle w:val="BodyText"/>
      </w:pPr>
    </w:p>
    <w:p w:rsidR="000C4205" w:rsidP="000417EC">
      <w:pPr>
        <w:pStyle w:val="BodyText"/>
      </w:pPr>
    </w:p>
    <w:p w:rsidR="00000000" w:rsidRPr="000417EC" w:rsidP="000417EC">
      <w:pPr>
        <w:pStyle w:val="Heading1"/>
      </w:pPr>
      <w:bookmarkStart w:id="11" w:name="O_254978"/>
      <w:bookmarkEnd w:id="11"/>
      <w:r w:rsidRPr="000417EC">
        <w:t>Range Statement</w:t>
      </w:r>
    </w:p>
    <w:tbl>
      <w:tblPr>
        <w:tblW w:w="9640" w:type="dxa"/>
        <w:tblLayout w:type="fixed"/>
        <w:tblCellMar>
          <w:left w:w="62" w:type="dxa"/>
          <w:right w:w="62" w:type="dxa"/>
        </w:tblCellMar>
        <w:tblLook w:val="0000"/>
      </w:tblPr>
      <w:tblGrid>
        <w:gridCol w:w="3486"/>
        <w:gridCol w:w="6154"/>
      </w:tblGrid>
      <w:tr w:rsidTr="000C420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rPr>
                <w:rStyle w:val="SpecialBold"/>
              </w:rPr>
              <w:t>RANGE STATEMENT</w:t>
            </w:r>
            <w:r w:rsidRPr="000417EC">
              <w:t xml:space="preserve"> </w:t>
            </w:r>
          </w:p>
        </w:tc>
      </w:tr>
      <w:tr w:rsidTr="000C420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t>The range statement relates to the unit of competency as a whole. It allows for different work environments and situations that may affect performance.</w:t>
            </w:r>
          </w:p>
        </w:tc>
      </w:tr>
      <w:tr w:rsidTr="000C42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t>Applicable legislation and regulations may includ</w:t>
            </w:r>
            <w:r w:rsidRPr="000417EC">
              <w:t>e:</w:t>
            </w:r>
          </w:p>
        </w:tc>
        <w:tc>
          <w:tcPr>
            <w:tcW w:w="6154" w:type="dxa"/>
            <w:tcBorders>
              <w:top w:val="nil"/>
              <w:left w:val="nil"/>
              <w:bottom w:val="nil"/>
              <w:right w:val="nil"/>
            </w:tcBorders>
            <w:tcMar>
              <w:top w:w="0" w:type="dxa"/>
              <w:left w:w="62" w:type="dxa"/>
              <w:bottom w:w="0" w:type="dxa"/>
              <w:right w:w="62" w:type="dxa"/>
            </w:tcMar>
          </w:tcPr>
          <w:p w:rsidR="00000000" w:rsidRPr="000417EC" w:rsidP="000417EC">
            <w:pPr>
              <w:pStyle w:val="ListBullet"/>
            </w:pPr>
            <w:r w:rsidRPr="000417EC">
              <w:t>licensing</w:t>
            </w:r>
          </w:p>
          <w:p w:rsidR="00000000" w:rsidRPr="000417EC" w:rsidP="000417EC">
            <w:pPr>
              <w:pStyle w:val="ListBullet"/>
            </w:pPr>
            <w:r w:rsidRPr="000417EC">
              <w:t>OH&amp;S</w:t>
            </w:r>
          </w:p>
          <w:p w:rsidR="00000000" w:rsidRPr="000417EC" w:rsidP="000417EC">
            <w:pPr>
              <w:pStyle w:val="ListBullet"/>
            </w:pPr>
            <w:r w:rsidRPr="000417EC">
              <w:t>environmental sustainability</w:t>
            </w:r>
          </w:p>
          <w:p w:rsidR="00000000" w:rsidRPr="000417EC" w:rsidP="000417EC">
            <w:pPr>
              <w:pStyle w:val="ListBullet"/>
            </w:pPr>
            <w:r w:rsidRPr="000417EC">
              <w:t>permits</w:t>
            </w:r>
          </w:p>
          <w:p w:rsidR="00000000" w:rsidP="000417EC">
            <w:pPr>
              <w:pStyle w:val="ListBullet"/>
              <w:rPr>
                <w:lang w:val="en-NZ"/>
              </w:rPr>
            </w:pPr>
            <w:r w:rsidRPr="000417EC">
              <w:t>dangerous goods and hazardous substances storage and identification</w:t>
            </w:r>
          </w:p>
        </w:tc>
      </w:tr>
      <w:tr w:rsidTr="000C42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t>Types of warehouses and their functions may include:</w:t>
            </w:r>
          </w:p>
        </w:tc>
        <w:tc>
          <w:tcPr>
            <w:tcW w:w="6154" w:type="dxa"/>
            <w:tcBorders>
              <w:top w:val="nil"/>
              <w:left w:val="nil"/>
              <w:bottom w:val="nil"/>
              <w:right w:val="nil"/>
            </w:tcBorders>
            <w:tcMar>
              <w:top w:w="0" w:type="dxa"/>
              <w:left w:w="62" w:type="dxa"/>
              <w:bottom w:w="0" w:type="dxa"/>
              <w:right w:w="62" w:type="dxa"/>
            </w:tcMar>
          </w:tcPr>
          <w:p w:rsidR="00000000" w:rsidRPr="000417EC" w:rsidP="000417EC">
            <w:pPr>
              <w:pStyle w:val="ListBullet"/>
            </w:pPr>
            <w:r w:rsidRPr="000417EC">
              <w:t>size and height</w:t>
            </w:r>
          </w:p>
          <w:p w:rsidR="00000000" w:rsidRPr="000417EC" w:rsidP="000417EC">
            <w:pPr>
              <w:pStyle w:val="ListBullet"/>
            </w:pPr>
            <w:r w:rsidRPr="000417EC">
              <w:t>capital outlays/cost</w:t>
            </w:r>
          </w:p>
          <w:p w:rsidR="00000000" w:rsidRPr="000417EC" w:rsidP="000417EC">
            <w:pPr>
              <w:pStyle w:val="ListBullet"/>
            </w:pPr>
            <w:r w:rsidRPr="000417EC">
              <w:t>facility layout and support systems</w:t>
            </w:r>
          </w:p>
          <w:p w:rsidR="00000000" w:rsidRPr="000417EC" w:rsidP="000417EC">
            <w:pPr>
              <w:pStyle w:val="ListBullet"/>
            </w:pPr>
            <w:r w:rsidRPr="000417EC">
              <w:t>temperature controlled</w:t>
            </w:r>
          </w:p>
          <w:p w:rsidR="00000000" w:rsidRPr="000417EC" w:rsidP="000417EC">
            <w:pPr>
              <w:pStyle w:val="ListBullet"/>
            </w:pPr>
            <w:r w:rsidRPr="000417EC">
              <w:t>cold storage</w:t>
            </w:r>
          </w:p>
          <w:p w:rsidR="00000000" w:rsidRPr="000417EC" w:rsidP="000417EC">
            <w:pPr>
              <w:pStyle w:val="ListBullet"/>
            </w:pPr>
            <w:r w:rsidRPr="000417EC">
              <w:t>process layouts for various products</w:t>
            </w:r>
          </w:p>
          <w:p w:rsidR="00000000" w:rsidRPr="000417EC" w:rsidP="000417EC">
            <w:pPr>
              <w:pStyle w:val="ListBullet"/>
            </w:pPr>
            <w:r w:rsidRPr="000417EC">
              <w:t>bulk</w:t>
            </w:r>
          </w:p>
          <w:p w:rsidR="00000000" w:rsidRPr="000417EC" w:rsidP="000417EC">
            <w:pPr>
              <w:pStyle w:val="ListBullet"/>
            </w:pPr>
            <w:r w:rsidRPr="000417EC">
              <w:t>distribution centres</w:t>
            </w:r>
          </w:p>
          <w:p w:rsidR="00000000" w:rsidRPr="000417EC" w:rsidP="000417EC">
            <w:pPr>
              <w:pStyle w:val="ListBullet"/>
            </w:pPr>
            <w:r w:rsidRPr="000417EC">
              <w:t>high security</w:t>
            </w:r>
          </w:p>
          <w:p w:rsidR="00000000" w:rsidRPr="000417EC" w:rsidP="000417EC">
            <w:pPr>
              <w:pStyle w:val="ListBullet"/>
            </w:pPr>
            <w:r w:rsidRPr="000417EC">
              <w:t>automated</w:t>
            </w:r>
          </w:p>
          <w:p w:rsidR="00000000" w:rsidRPr="000417EC" w:rsidP="000417EC">
            <w:pPr>
              <w:pStyle w:val="ListBullet"/>
            </w:pPr>
            <w:r w:rsidRPr="000417EC">
              <w:t>manual</w:t>
            </w:r>
          </w:p>
          <w:p w:rsidR="00000000" w:rsidRPr="000417EC" w:rsidP="000417EC">
            <w:pPr>
              <w:pStyle w:val="ListBullet"/>
            </w:pPr>
            <w:r w:rsidRPr="000417EC">
              <w:t>private</w:t>
            </w:r>
          </w:p>
          <w:p w:rsidR="00000000" w:rsidP="000417EC">
            <w:pPr>
              <w:pStyle w:val="ListBullet"/>
              <w:rPr>
                <w:lang w:val="en-NZ"/>
              </w:rPr>
            </w:pPr>
            <w:r w:rsidRPr="000417EC">
              <w:t>leased</w:t>
            </w:r>
          </w:p>
        </w:tc>
      </w:tr>
      <w:tr w:rsidTr="000C42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t>Warehouse management systems may include:</w:t>
            </w:r>
          </w:p>
        </w:tc>
        <w:tc>
          <w:tcPr>
            <w:tcW w:w="6154" w:type="dxa"/>
            <w:tcBorders>
              <w:top w:val="nil"/>
              <w:left w:val="nil"/>
              <w:bottom w:val="nil"/>
              <w:right w:val="nil"/>
            </w:tcBorders>
            <w:tcMar>
              <w:top w:w="0" w:type="dxa"/>
              <w:left w:w="62" w:type="dxa"/>
              <w:bottom w:w="0" w:type="dxa"/>
              <w:right w:w="62" w:type="dxa"/>
            </w:tcMar>
          </w:tcPr>
          <w:p w:rsidR="00000000" w:rsidRPr="000417EC" w:rsidP="000417EC">
            <w:pPr>
              <w:pStyle w:val="ListBullet"/>
            </w:pPr>
            <w:r w:rsidRPr="000417EC">
              <w:t>IRSPS Inventory, receiving, storing, picking and shipping</w:t>
            </w:r>
          </w:p>
          <w:p w:rsidR="00000000" w:rsidRPr="000417EC" w:rsidP="000417EC">
            <w:pPr>
              <w:pStyle w:val="ListBullet"/>
            </w:pPr>
            <w:r w:rsidRPr="000417EC">
              <w:t>warehouse inventory tracking solution</w:t>
            </w:r>
          </w:p>
          <w:p w:rsidR="00000000" w:rsidRPr="000417EC" w:rsidP="000417EC">
            <w:pPr>
              <w:pStyle w:val="ListBullet"/>
            </w:pPr>
            <w:r w:rsidRPr="000417EC">
              <w:t>Radio Frequency IDentification (RFID) and bar code</w:t>
            </w:r>
          </w:p>
          <w:p w:rsidR="00000000" w:rsidRPr="000417EC" w:rsidP="000417EC">
            <w:pPr>
              <w:pStyle w:val="ListBullet"/>
            </w:pPr>
            <w:r w:rsidRPr="000417EC">
              <w:t>forklift truck mounted devices with bar code readers</w:t>
            </w:r>
          </w:p>
          <w:p w:rsidR="00000000" w:rsidP="000417EC">
            <w:pPr>
              <w:pStyle w:val="ListBullet"/>
              <w:rPr>
                <w:lang w:val="en-NZ"/>
              </w:rPr>
            </w:pPr>
            <w:r w:rsidRPr="000417EC">
              <w:t>Inventory Controller</w:t>
            </w:r>
          </w:p>
        </w:tc>
      </w:tr>
      <w:tr w:rsidTr="000C42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t>Materials handling equipment may include:</w:t>
            </w:r>
          </w:p>
        </w:tc>
        <w:tc>
          <w:tcPr>
            <w:tcW w:w="6154" w:type="dxa"/>
            <w:tcBorders>
              <w:top w:val="nil"/>
              <w:left w:val="nil"/>
              <w:bottom w:val="nil"/>
              <w:right w:val="nil"/>
            </w:tcBorders>
            <w:tcMar>
              <w:top w:w="0" w:type="dxa"/>
              <w:left w:w="62" w:type="dxa"/>
              <w:bottom w:w="0" w:type="dxa"/>
              <w:right w:w="62" w:type="dxa"/>
            </w:tcMar>
          </w:tcPr>
          <w:p w:rsidR="00000000" w:rsidRPr="000417EC" w:rsidP="000417EC">
            <w:pPr>
              <w:pStyle w:val="ListBullet"/>
            </w:pPr>
            <w:r w:rsidRPr="000417EC">
              <w:t>fork lifts</w:t>
            </w:r>
          </w:p>
          <w:p w:rsidR="00000000" w:rsidRPr="000417EC" w:rsidP="000417EC">
            <w:pPr>
              <w:pStyle w:val="ListBullet"/>
            </w:pPr>
            <w:r w:rsidRPr="000417EC">
              <w:t>high rise stackers</w:t>
            </w:r>
          </w:p>
          <w:p w:rsidR="00000000" w:rsidRPr="000417EC" w:rsidP="000417EC">
            <w:pPr>
              <w:pStyle w:val="ListBullet"/>
            </w:pPr>
            <w:r w:rsidRPr="000417EC">
              <w:t>mobile/fixed</w:t>
            </w:r>
          </w:p>
          <w:p w:rsidR="00000000" w:rsidRPr="000417EC" w:rsidP="000417EC">
            <w:pPr>
              <w:pStyle w:val="ListBullet"/>
            </w:pPr>
            <w:r w:rsidRPr="000417EC">
              <w:t>conveyors</w:t>
            </w:r>
          </w:p>
          <w:p w:rsidR="00000000" w:rsidRPr="000417EC" w:rsidP="000417EC">
            <w:pPr>
              <w:pStyle w:val="ListBullet"/>
            </w:pPr>
            <w:r w:rsidRPr="000417EC">
              <w:t>cranes/mobile hoists</w:t>
            </w:r>
          </w:p>
          <w:p w:rsidR="00000000" w:rsidRPr="000417EC" w:rsidP="000417EC">
            <w:pPr>
              <w:pStyle w:val="ListBullet"/>
            </w:pPr>
            <w:r w:rsidRPr="000417EC">
              <w:t>manually operated equipment</w:t>
            </w:r>
          </w:p>
          <w:p w:rsidR="00000000" w:rsidP="000417EC">
            <w:pPr>
              <w:pStyle w:val="ListBullet"/>
              <w:rPr>
                <w:lang w:val="en-NZ"/>
              </w:rPr>
            </w:pPr>
            <w:r w:rsidRPr="000417EC">
              <w:t>wrappers - sheet, shrink or tape</w:t>
            </w:r>
          </w:p>
        </w:tc>
      </w:tr>
      <w:tr w:rsidTr="000C42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t>Organisational policies and procedures may include:</w:t>
            </w:r>
          </w:p>
        </w:tc>
        <w:tc>
          <w:tcPr>
            <w:tcW w:w="6154" w:type="dxa"/>
            <w:tcBorders>
              <w:top w:val="nil"/>
              <w:left w:val="nil"/>
              <w:bottom w:val="nil"/>
              <w:right w:val="nil"/>
            </w:tcBorders>
            <w:tcMar>
              <w:top w:w="0" w:type="dxa"/>
              <w:left w:w="62" w:type="dxa"/>
              <w:bottom w:w="0" w:type="dxa"/>
              <w:right w:w="62" w:type="dxa"/>
            </w:tcMar>
          </w:tcPr>
          <w:p w:rsidR="00000000" w:rsidRPr="000417EC" w:rsidP="000417EC">
            <w:pPr>
              <w:pStyle w:val="ListBullet"/>
            </w:pPr>
            <w:r w:rsidRPr="000417EC">
              <w:t>OH&amp;S</w:t>
            </w:r>
          </w:p>
          <w:p w:rsidR="00000000" w:rsidRPr="000417EC" w:rsidP="000417EC">
            <w:pPr>
              <w:pStyle w:val="ListBullet"/>
            </w:pPr>
            <w:r w:rsidRPr="000417EC">
              <w:t>environmental sustainability</w:t>
            </w:r>
          </w:p>
          <w:p w:rsidR="00000000" w:rsidRPr="000417EC" w:rsidP="000417EC">
            <w:pPr>
              <w:pStyle w:val="ListBullet"/>
            </w:pPr>
            <w:r w:rsidRPr="000417EC">
              <w:t>standard operating procedures (SOP)</w:t>
            </w:r>
          </w:p>
          <w:p w:rsidR="00000000" w:rsidRPr="000417EC" w:rsidP="000417EC">
            <w:pPr>
              <w:pStyle w:val="ListBullet"/>
            </w:pPr>
            <w:r w:rsidRPr="000417EC">
              <w:t>safe work procedures (SWP)</w:t>
            </w:r>
          </w:p>
          <w:p w:rsidR="00000000" w:rsidRPr="000417EC" w:rsidP="000417EC">
            <w:pPr>
              <w:pStyle w:val="ListBullet"/>
            </w:pPr>
            <w:r w:rsidRPr="000417EC">
              <w:t>documentation</w:t>
            </w:r>
            <w:r w:rsidRPr="000417EC">
              <w:t xml:space="preserve"> requirements</w:t>
            </w:r>
          </w:p>
          <w:p w:rsidR="00000000" w:rsidRPr="000417EC" w:rsidP="000417EC">
            <w:pPr>
              <w:pStyle w:val="ListBullet"/>
            </w:pPr>
            <w:r w:rsidRPr="000417EC">
              <w:t>security procedures</w:t>
            </w:r>
          </w:p>
          <w:p w:rsidR="00000000" w:rsidRPr="000417EC" w:rsidP="000417EC">
            <w:pPr>
              <w:pStyle w:val="ListBullet"/>
            </w:pPr>
            <w:r w:rsidRPr="000417EC">
              <w:t>reporting procedures</w:t>
            </w:r>
          </w:p>
          <w:p w:rsidR="00000000" w:rsidRPr="000417EC" w:rsidP="000417EC">
            <w:pPr>
              <w:pStyle w:val="ListBullet"/>
            </w:pPr>
            <w:r w:rsidRPr="000417EC">
              <w:t>business operations/objectives and targets</w:t>
            </w:r>
          </w:p>
          <w:p w:rsidR="00000000" w:rsidP="000417EC">
            <w:pPr>
              <w:pStyle w:val="ListBullet"/>
              <w:rPr>
                <w:lang w:val="en-NZ"/>
              </w:rPr>
            </w:pPr>
            <w:r w:rsidRPr="000417EC">
              <w:t>service standards</w:t>
            </w:r>
          </w:p>
        </w:tc>
      </w:tr>
      <w:tr w:rsidTr="000C42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t>Receiving, order picking and packing, despatch, stocktaking and replenishment may include:</w:t>
            </w:r>
          </w:p>
        </w:tc>
        <w:tc>
          <w:tcPr>
            <w:tcW w:w="6154" w:type="dxa"/>
            <w:tcBorders>
              <w:top w:val="nil"/>
              <w:left w:val="nil"/>
              <w:bottom w:val="nil"/>
              <w:right w:val="nil"/>
            </w:tcBorders>
            <w:tcMar>
              <w:top w:w="0" w:type="dxa"/>
              <w:left w:w="62" w:type="dxa"/>
              <w:bottom w:w="0" w:type="dxa"/>
              <w:right w:w="62" w:type="dxa"/>
            </w:tcMar>
          </w:tcPr>
          <w:p w:rsidR="00000000" w:rsidRPr="000417EC" w:rsidP="000417EC">
            <w:pPr>
              <w:pStyle w:val="ListBullet"/>
            </w:pPr>
            <w:r w:rsidRPr="000417EC">
              <w:t>automated/semi-automated</w:t>
            </w:r>
          </w:p>
          <w:p w:rsidR="00000000" w:rsidRPr="000417EC" w:rsidP="000417EC">
            <w:pPr>
              <w:pStyle w:val="ListBullet"/>
            </w:pPr>
            <w:r w:rsidRPr="000417EC">
              <w:t>or</w:t>
            </w:r>
            <w:r w:rsidRPr="000417EC">
              <w:t>der picking/despatch processes</w:t>
            </w:r>
          </w:p>
          <w:p w:rsidR="00000000" w:rsidRPr="000417EC" w:rsidP="000417EC">
            <w:pPr>
              <w:pStyle w:val="ListBullet"/>
            </w:pPr>
            <w:r w:rsidRPr="000417EC">
              <w:t>conveyor belts</w:t>
            </w:r>
          </w:p>
          <w:p w:rsidR="00000000" w:rsidRPr="000417EC" w:rsidP="000417EC">
            <w:pPr>
              <w:pStyle w:val="ListBullet"/>
            </w:pPr>
            <w:r w:rsidRPr="000417EC">
              <w:t>inventory systems</w:t>
            </w:r>
          </w:p>
          <w:p w:rsidR="00000000" w:rsidRPr="000417EC" w:rsidP="000417EC">
            <w:pPr>
              <w:pStyle w:val="ListBullet"/>
            </w:pPr>
            <w:r w:rsidRPr="000417EC">
              <w:t>coding systems, including batch/bar codes/RFID</w:t>
            </w:r>
          </w:p>
          <w:p w:rsidR="00000000" w:rsidRPr="000417EC" w:rsidP="000417EC">
            <w:pPr>
              <w:pStyle w:val="ListBullet"/>
            </w:pPr>
            <w:r w:rsidRPr="000417EC">
              <w:t>technology, robotics, computers</w:t>
            </w:r>
          </w:p>
          <w:p w:rsidR="00000000" w:rsidRPr="000417EC" w:rsidP="000417EC">
            <w:pPr>
              <w:pStyle w:val="ListBullet"/>
            </w:pPr>
            <w:r w:rsidRPr="000417EC">
              <w:t>human/machine systems</w:t>
            </w:r>
          </w:p>
          <w:p w:rsidR="00000000" w:rsidRPr="000417EC" w:rsidP="000417EC">
            <w:pPr>
              <w:pStyle w:val="ListBullet"/>
            </w:pPr>
            <w:r w:rsidRPr="000417EC">
              <w:t>manual labour</w:t>
            </w:r>
          </w:p>
          <w:p w:rsidR="00000000" w:rsidRPr="000417EC" w:rsidP="000417EC">
            <w:pPr>
              <w:pStyle w:val="ListBullet"/>
            </w:pPr>
            <w:r w:rsidRPr="000417EC">
              <w:t>integrated systems - inventory</w:t>
            </w:r>
          </w:p>
          <w:p w:rsidR="00000000" w:rsidRPr="000417EC" w:rsidP="000417EC">
            <w:pPr>
              <w:pStyle w:val="ListBullet"/>
            </w:pPr>
            <w:r w:rsidRPr="000417EC">
              <w:t>management information systems</w:t>
            </w:r>
          </w:p>
          <w:p w:rsidR="00000000" w:rsidRPr="000417EC" w:rsidP="000417EC">
            <w:pPr>
              <w:pStyle w:val="ListBullet"/>
            </w:pPr>
            <w:r w:rsidRPr="000417EC">
              <w:t>bar coding/RFID</w:t>
            </w:r>
            <w:r w:rsidRPr="000417EC">
              <w:t xml:space="preserve"> readers</w:t>
            </w:r>
          </w:p>
          <w:p w:rsidR="00000000" w:rsidRPr="000417EC" w:rsidP="000417EC">
            <w:pPr>
              <w:pStyle w:val="ListBullet"/>
            </w:pPr>
            <w:r w:rsidRPr="000417EC">
              <w:t>cross docking</w:t>
            </w:r>
          </w:p>
          <w:p w:rsidR="00000000" w:rsidRPr="000417EC" w:rsidP="000417EC">
            <w:pPr>
              <w:pStyle w:val="ListBullet"/>
            </w:pPr>
            <w:r w:rsidRPr="000417EC">
              <w:t>temperature and humidity</w:t>
            </w:r>
          </w:p>
          <w:p w:rsidR="00000000" w:rsidP="000417EC">
            <w:pPr>
              <w:pStyle w:val="ListBullet"/>
              <w:rPr>
                <w:lang w:val="en-NZ"/>
              </w:rPr>
            </w:pPr>
            <w:r w:rsidRPr="000417EC">
              <w:t>controlled environments</w:t>
            </w:r>
          </w:p>
        </w:tc>
      </w:tr>
      <w:tr w:rsidTr="000C42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t>Inventory and stock control may include:</w:t>
            </w:r>
          </w:p>
        </w:tc>
        <w:tc>
          <w:tcPr>
            <w:tcW w:w="6154" w:type="dxa"/>
            <w:tcBorders>
              <w:top w:val="nil"/>
              <w:left w:val="nil"/>
              <w:bottom w:val="nil"/>
              <w:right w:val="nil"/>
            </w:tcBorders>
            <w:tcMar>
              <w:top w:w="0" w:type="dxa"/>
              <w:left w:w="62" w:type="dxa"/>
              <w:bottom w:w="0" w:type="dxa"/>
              <w:right w:w="62" w:type="dxa"/>
            </w:tcMar>
          </w:tcPr>
          <w:p w:rsidR="00000000" w:rsidRPr="000417EC" w:rsidP="000417EC">
            <w:pPr>
              <w:pStyle w:val="ListBullet"/>
            </w:pPr>
            <w:r w:rsidRPr="000417EC">
              <w:t>data management - inventory control</w:t>
            </w:r>
          </w:p>
          <w:p w:rsidR="00000000" w:rsidRPr="000417EC" w:rsidP="000417EC">
            <w:pPr>
              <w:pStyle w:val="ListBullet"/>
            </w:pPr>
            <w:r w:rsidRPr="000417EC">
              <w:t>materials handling</w:t>
            </w:r>
          </w:p>
          <w:p w:rsidR="00000000" w:rsidRPr="000417EC" w:rsidP="000417EC">
            <w:pPr>
              <w:pStyle w:val="ListBullet"/>
            </w:pPr>
            <w:r w:rsidRPr="000417EC">
              <w:t>product recognition/scanning</w:t>
            </w:r>
          </w:p>
          <w:p w:rsidR="00000000" w:rsidRPr="000417EC" w:rsidP="000417EC">
            <w:pPr>
              <w:pStyle w:val="ListBullet"/>
            </w:pPr>
            <w:r w:rsidRPr="000417EC">
              <w:t>stocktaking</w:t>
            </w:r>
          </w:p>
          <w:p w:rsidR="00000000" w:rsidRPr="000417EC" w:rsidP="000417EC">
            <w:pPr>
              <w:pStyle w:val="ListBullet"/>
            </w:pPr>
            <w:r w:rsidRPr="000417EC">
              <w:t>transporting systems</w:t>
            </w:r>
          </w:p>
          <w:p w:rsidR="00000000" w:rsidRPr="000417EC" w:rsidP="000417EC">
            <w:pPr>
              <w:pStyle w:val="ListBullet"/>
            </w:pPr>
            <w:r w:rsidRPr="000417EC">
              <w:t>computer controlled vehicles</w:t>
            </w:r>
          </w:p>
          <w:p w:rsidR="00000000" w:rsidP="000417EC">
            <w:pPr>
              <w:pStyle w:val="ListBullet"/>
              <w:rPr>
                <w:lang w:val="en-NZ"/>
              </w:rPr>
            </w:pPr>
            <w:r w:rsidRPr="000417EC">
              <w:t>order sorting storage systems</w:t>
            </w:r>
          </w:p>
        </w:tc>
      </w:tr>
      <w:tr w:rsidTr="000C42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t>Products/goods may include:</w:t>
            </w:r>
          </w:p>
        </w:tc>
        <w:tc>
          <w:tcPr>
            <w:tcW w:w="6154" w:type="dxa"/>
            <w:tcBorders>
              <w:top w:val="nil"/>
              <w:left w:val="nil"/>
              <w:bottom w:val="nil"/>
              <w:right w:val="nil"/>
            </w:tcBorders>
            <w:tcMar>
              <w:top w:w="0" w:type="dxa"/>
              <w:left w:w="62" w:type="dxa"/>
              <w:bottom w:w="0" w:type="dxa"/>
              <w:right w:w="62" w:type="dxa"/>
            </w:tcMar>
          </w:tcPr>
          <w:p w:rsidR="00000000" w:rsidRPr="000417EC" w:rsidP="000417EC">
            <w:pPr>
              <w:pStyle w:val="ListBullet"/>
            </w:pPr>
            <w:r w:rsidRPr="000417EC">
              <w:t>small parts</w:t>
            </w:r>
          </w:p>
          <w:p w:rsidR="00000000" w:rsidRPr="000417EC" w:rsidP="000417EC">
            <w:pPr>
              <w:pStyle w:val="ListBullet"/>
            </w:pPr>
            <w:r w:rsidRPr="000417EC">
              <w:t>perishable goods</w:t>
            </w:r>
          </w:p>
          <w:p w:rsidR="00000000" w:rsidRPr="000417EC" w:rsidP="000417EC">
            <w:pPr>
              <w:pStyle w:val="ListBullet"/>
            </w:pPr>
            <w:r w:rsidRPr="000417EC">
              <w:t>overseas export</w:t>
            </w:r>
          </w:p>
          <w:p w:rsidR="00000000" w:rsidRPr="000417EC" w:rsidP="000417EC">
            <w:pPr>
              <w:pStyle w:val="ListBullet"/>
            </w:pPr>
            <w:r w:rsidRPr="000417EC">
              <w:t>dangerous goods and hazardous substances</w:t>
            </w:r>
          </w:p>
          <w:p w:rsidR="00000000" w:rsidRPr="000417EC" w:rsidP="000417EC">
            <w:pPr>
              <w:pStyle w:val="ListBullet"/>
            </w:pPr>
            <w:r w:rsidRPr="000417EC">
              <w:t>refrigerated products</w:t>
            </w:r>
          </w:p>
          <w:p w:rsidR="00000000" w:rsidRPr="000417EC" w:rsidP="000417EC">
            <w:pPr>
              <w:pStyle w:val="ListBullet"/>
            </w:pPr>
            <w:r w:rsidRPr="000417EC">
              <w:t>temperature controlled stock</w:t>
            </w:r>
          </w:p>
          <w:p w:rsidR="00000000" w:rsidRPr="000417EC" w:rsidP="000417EC">
            <w:pPr>
              <w:pStyle w:val="ListBullet"/>
            </w:pPr>
            <w:r w:rsidRPr="000417EC">
              <w:t>fragile goods</w:t>
            </w:r>
          </w:p>
          <w:p w:rsidR="00000000" w:rsidRPr="000417EC" w:rsidP="000417EC">
            <w:pPr>
              <w:pStyle w:val="ListBullet"/>
            </w:pPr>
            <w:r w:rsidRPr="000417EC">
              <w:t>toxicity</w:t>
            </w:r>
          </w:p>
          <w:p w:rsidR="00000000" w:rsidRPr="000417EC" w:rsidP="000417EC">
            <w:pPr>
              <w:pStyle w:val="ListBullet"/>
            </w:pPr>
            <w:r w:rsidRPr="000417EC">
              <w:t>flammability</w:t>
            </w:r>
          </w:p>
          <w:p w:rsidR="00000000" w:rsidRPr="000417EC" w:rsidP="000417EC">
            <w:pPr>
              <w:pStyle w:val="ListBullet"/>
            </w:pPr>
            <w:r w:rsidRPr="000417EC">
              <w:t>form/shape</w:t>
            </w:r>
          </w:p>
          <w:p w:rsidR="00000000" w:rsidRPr="000417EC" w:rsidP="000417EC">
            <w:pPr>
              <w:pStyle w:val="ListBullet"/>
            </w:pPr>
            <w:r w:rsidRPr="000417EC">
              <w:t>weight</w:t>
            </w:r>
          </w:p>
          <w:p w:rsidR="00000000" w:rsidP="000417EC">
            <w:pPr>
              <w:pStyle w:val="ListBullet"/>
              <w:rPr>
                <w:lang w:val="en-NZ"/>
              </w:rPr>
            </w:pPr>
            <w:r w:rsidRPr="000417EC">
              <w:t>size</w:t>
            </w:r>
          </w:p>
        </w:tc>
      </w:tr>
      <w:tr w:rsidTr="000C42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t>Engineered standards may include:</w:t>
            </w:r>
          </w:p>
        </w:tc>
        <w:tc>
          <w:tcPr>
            <w:tcW w:w="6154" w:type="dxa"/>
            <w:tcBorders>
              <w:top w:val="nil"/>
              <w:left w:val="nil"/>
              <w:bottom w:val="nil"/>
              <w:right w:val="nil"/>
            </w:tcBorders>
            <w:tcMar>
              <w:top w:w="0" w:type="dxa"/>
              <w:left w:w="62" w:type="dxa"/>
              <w:bottom w:w="0" w:type="dxa"/>
              <w:right w:w="62" w:type="dxa"/>
            </w:tcMar>
          </w:tcPr>
          <w:p w:rsidR="00000000" w:rsidRPr="000417EC" w:rsidP="000417EC">
            <w:pPr>
              <w:pStyle w:val="ListBullet"/>
            </w:pPr>
            <w:r w:rsidRPr="000417EC">
              <w:t>definitions</w:t>
            </w:r>
          </w:p>
          <w:p w:rsidR="00000000" w:rsidRPr="000417EC" w:rsidP="000417EC">
            <w:pPr>
              <w:pStyle w:val="ListBullet"/>
            </w:pPr>
            <w:r w:rsidRPr="000417EC">
              <w:t>origins</w:t>
            </w:r>
          </w:p>
          <w:p w:rsidR="00000000" w:rsidRPr="000417EC" w:rsidP="000417EC">
            <w:pPr>
              <w:pStyle w:val="ListBullet"/>
            </w:pPr>
            <w:r w:rsidRPr="000417EC">
              <w:t>synthesis from data</w:t>
            </w:r>
          </w:p>
          <w:p w:rsidR="00000000" w:rsidRPr="000417EC" w:rsidP="000417EC">
            <w:pPr>
              <w:pStyle w:val="ListBullet"/>
            </w:pPr>
            <w:r w:rsidRPr="000417EC">
              <w:t>advantages/limitations</w:t>
            </w:r>
          </w:p>
          <w:p w:rsidR="00000000" w:rsidRPr="000417EC" w:rsidP="000417EC">
            <w:pPr>
              <w:pStyle w:val="ListBullet"/>
            </w:pPr>
            <w:r w:rsidRPr="000417EC">
              <w:t>ergonomic issues</w:t>
            </w:r>
          </w:p>
          <w:p w:rsidR="00000000" w:rsidP="000417EC">
            <w:pPr>
              <w:pStyle w:val="ListBullet"/>
              <w:rPr>
                <w:lang w:val="en-NZ"/>
              </w:rPr>
            </w:pPr>
            <w:r w:rsidRPr="000417EC">
              <w:t>time measurement units</w:t>
            </w:r>
          </w:p>
        </w:tc>
      </w:tr>
      <w:tr w:rsidTr="000C42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t>Warehouse security may include:</w:t>
            </w:r>
          </w:p>
        </w:tc>
        <w:tc>
          <w:tcPr>
            <w:tcW w:w="6154" w:type="dxa"/>
            <w:tcBorders>
              <w:top w:val="nil"/>
              <w:left w:val="nil"/>
              <w:bottom w:val="nil"/>
              <w:right w:val="nil"/>
            </w:tcBorders>
            <w:tcMar>
              <w:top w:w="0" w:type="dxa"/>
              <w:left w:w="62" w:type="dxa"/>
              <w:bottom w:w="0" w:type="dxa"/>
              <w:right w:w="62" w:type="dxa"/>
            </w:tcMar>
          </w:tcPr>
          <w:p w:rsidR="00000000" w:rsidRPr="000417EC" w:rsidP="000417EC">
            <w:pPr>
              <w:pStyle w:val="ListBullet"/>
            </w:pPr>
            <w:r w:rsidRPr="000417EC">
              <w:t>risk analysis</w:t>
            </w:r>
          </w:p>
          <w:p w:rsidR="00000000" w:rsidRPr="000417EC" w:rsidP="000417EC">
            <w:pPr>
              <w:pStyle w:val="ListBullet"/>
            </w:pPr>
            <w:r w:rsidRPr="000417EC">
              <w:t>type, location, quantity of stock</w:t>
            </w:r>
          </w:p>
          <w:p w:rsidR="00000000" w:rsidRPr="000417EC" w:rsidP="000417EC">
            <w:pPr>
              <w:pStyle w:val="ListBullet"/>
            </w:pPr>
            <w:r w:rsidRPr="000417EC">
              <w:t>pilferage</w:t>
            </w:r>
          </w:p>
          <w:p w:rsidR="00000000" w:rsidRPr="000417EC" w:rsidP="000417EC">
            <w:pPr>
              <w:pStyle w:val="ListBullet"/>
            </w:pPr>
            <w:r w:rsidRPr="000417EC">
              <w:t>surveillance systems/processes</w:t>
            </w:r>
          </w:p>
          <w:p w:rsidR="00000000" w:rsidRPr="000417EC" w:rsidP="000417EC">
            <w:pPr>
              <w:pStyle w:val="ListBullet"/>
            </w:pPr>
            <w:r w:rsidRPr="000417EC">
              <w:t>accident prevention</w:t>
            </w:r>
          </w:p>
          <w:p w:rsidR="00000000" w:rsidP="000417EC">
            <w:pPr>
              <w:pStyle w:val="ListBullet"/>
              <w:rPr>
                <w:lang w:val="en-NZ"/>
              </w:rPr>
            </w:pPr>
            <w:r w:rsidRPr="000417EC">
              <w:t>signage e.g. Hazchem</w:t>
            </w:r>
          </w:p>
        </w:tc>
      </w:tr>
      <w:tr w:rsidTr="000C420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t>Security threats may include:</w:t>
            </w:r>
          </w:p>
        </w:tc>
        <w:tc>
          <w:tcPr>
            <w:tcW w:w="6154" w:type="dxa"/>
            <w:tcBorders>
              <w:top w:val="nil"/>
              <w:left w:val="nil"/>
              <w:bottom w:val="nil"/>
              <w:right w:val="nil"/>
            </w:tcBorders>
            <w:tcMar>
              <w:top w:w="0" w:type="dxa"/>
              <w:left w:w="62" w:type="dxa"/>
              <w:bottom w:w="0" w:type="dxa"/>
              <w:right w:w="62" w:type="dxa"/>
            </w:tcMar>
          </w:tcPr>
          <w:p w:rsidR="00000000" w:rsidRPr="000417EC" w:rsidP="000417EC">
            <w:pPr>
              <w:pStyle w:val="ListBullet"/>
            </w:pPr>
            <w:r w:rsidRPr="000417EC">
              <w:t>specific commodity vulnerabilities</w:t>
            </w:r>
          </w:p>
          <w:p w:rsidR="00000000" w:rsidRPr="000417EC" w:rsidP="000417EC">
            <w:pPr>
              <w:pStyle w:val="ListBullet"/>
            </w:pPr>
            <w:r w:rsidRPr="000417EC">
              <w:t>special handling and safe storage</w:t>
            </w:r>
          </w:p>
          <w:p w:rsidR="00000000" w:rsidRPr="000417EC" w:rsidP="000417EC">
            <w:pPr>
              <w:pStyle w:val="ListBullet"/>
            </w:pPr>
            <w:r w:rsidRPr="000417EC">
              <w:t>pilferage</w:t>
            </w:r>
          </w:p>
          <w:p w:rsidR="00000000" w:rsidRPr="000417EC" w:rsidP="000417EC">
            <w:pPr>
              <w:pStyle w:val="ListBullet"/>
            </w:pPr>
            <w:r w:rsidRPr="000417EC">
              <w:t>break and entry</w:t>
            </w:r>
          </w:p>
          <w:p w:rsidR="00000000" w:rsidRPr="000417EC" w:rsidP="000417EC">
            <w:pPr>
              <w:pStyle w:val="ListBullet"/>
            </w:pPr>
            <w:r w:rsidRPr="000417EC">
              <w:t>contraband</w:t>
            </w:r>
          </w:p>
          <w:p w:rsidR="00000000" w:rsidRPr="000417EC" w:rsidP="000417EC">
            <w:pPr>
              <w:pStyle w:val="ListBullet"/>
            </w:pPr>
            <w:r w:rsidRPr="000417EC">
              <w:t>illegal import/export activity</w:t>
            </w:r>
          </w:p>
        </w:tc>
      </w:tr>
    </w:tbl>
    <w:p w:rsidR="000C4205" w:rsidP="000417EC">
      <w:pPr>
        <w:pStyle w:val="BodyText"/>
      </w:pPr>
    </w:p>
    <w:p w:rsidR="000C4205" w:rsidP="000417EC">
      <w:pPr>
        <w:pStyle w:val="BodyText"/>
      </w:pPr>
    </w:p>
    <w:p w:rsidR="00000000" w:rsidRPr="000417EC" w:rsidP="000417EC">
      <w:pPr>
        <w:pStyle w:val="Heading1"/>
      </w:pPr>
      <w:bookmarkStart w:id="12" w:name="O_295991"/>
      <w:bookmarkEnd w:id="12"/>
      <w:r w:rsidRPr="000417EC">
        <w:t>Unit Sector(s)</w:t>
      </w:r>
    </w:p>
    <w:p w:rsidR="00000000" w:rsidRPr="000417EC" w:rsidP="000417EC">
      <w:pPr>
        <w:pStyle w:val="BodyText"/>
      </w:pPr>
      <w:r w:rsidRPr="000417EC">
        <w:t>Not Applicable</w:t>
      </w:r>
    </w:p>
    <w:p w:rsidR="00000000" w:rsidRPr="000417EC" w:rsidP="000417EC">
      <w:pPr>
        <w:pStyle w:val="AllowPageBreak"/>
      </w:pPr>
    </w:p>
    <w:p w:rsidR="00000000" w:rsidRPr="000417EC" w:rsidP="000417EC">
      <w:pPr>
        <w:pStyle w:val="Heading1"/>
      </w:pPr>
      <w:bookmarkStart w:id="13" w:name="O_224253"/>
      <w:bookmarkEnd w:id="13"/>
      <w:r w:rsidRPr="000417EC">
        <w:t>Competency Field</w:t>
      </w:r>
    </w:p>
    <w:tbl>
      <w:tblPr>
        <w:tblW w:w="9640" w:type="dxa"/>
        <w:tblLayout w:type="fixed"/>
        <w:tblCellMar>
          <w:left w:w="62" w:type="dxa"/>
          <w:right w:w="62" w:type="dxa"/>
        </w:tblCellMar>
        <w:tblLook w:val="0000"/>
      </w:tblPr>
      <w:tblGrid>
        <w:gridCol w:w="2978"/>
        <w:gridCol w:w="6662"/>
      </w:tblGrid>
      <w:tr w:rsidTr="000C420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417EC">
            <w:pPr>
              <w:pStyle w:val="BodyText"/>
              <w:rPr>
                <w:lang w:val="en-NZ"/>
              </w:rPr>
            </w:pPr>
            <w:r w:rsidRPr="000417EC">
              <w:rPr>
                <w:rStyle w:val="SpecialBold"/>
              </w:rPr>
              <w:t>Competency Field</w:t>
            </w:r>
            <w:r w:rsidRPr="000417EC">
              <w:t xml:space="preserve"> </w:t>
            </w:r>
          </w:p>
        </w:tc>
        <w:tc>
          <w:tcPr>
            <w:tcW w:w="6662" w:type="dxa"/>
            <w:tcBorders>
              <w:top w:val="nil"/>
              <w:left w:val="nil"/>
              <w:bottom w:val="nil"/>
              <w:right w:val="nil"/>
            </w:tcBorders>
            <w:tcMar>
              <w:top w:w="0" w:type="dxa"/>
              <w:left w:w="62" w:type="dxa"/>
              <w:bottom w:w="0" w:type="dxa"/>
              <w:right w:w="62" w:type="dxa"/>
            </w:tcMar>
          </w:tcPr>
          <w:p w:rsidR="00000000" w:rsidRPr="000417EC" w:rsidP="000417EC">
            <w:pPr>
              <w:pStyle w:val="BodyText"/>
            </w:pPr>
            <w:r w:rsidRPr="000417EC">
              <w:t>P - Administration and Finance</w:t>
            </w:r>
          </w:p>
        </w:tc>
      </w:tr>
    </w:tbl>
    <w:p w:rsidR="000C4205" w:rsidP="000417EC">
      <w:pPr>
        <w:pStyle w:val="BodyText"/>
      </w:pPr>
    </w:p>
    <w:p w:rsidR="000C4205" w:rsidP="000417EC">
      <w:pPr>
        <w:pStyle w:val="BodyText"/>
      </w:pPr>
    </w:p>
    <w:p w:rsidR="00000000" w:rsidRPr="000417EC" w:rsidP="000417EC"/>
    <w:sectPr w:rsidSect="000417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4205" w:rsidP="000C42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205" w:rsidP="00041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C4205" w:rsidP="000417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C4205" w:rsidP="000417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4205" w:rsidP="000C420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205" w:rsidP="000417EC">
    <w:pPr>
      <w:pStyle w:val="Header"/>
      <w:framePr w:wrap="around"/>
    </w:pPr>
    <w:r>
      <w:fldChar w:fldCharType="begin"/>
    </w:r>
    <w:r>
      <w:instrText xml:space="preserve"> TITLE   \* MERGEFORMAT </w:instrText>
    </w:r>
    <w:r>
      <w:fldChar w:fldCharType="separate"/>
    </w:r>
    <w:r>
      <w:t>TLIP4040A Monitor warehouse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4205" w:rsidP="000417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2E8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8026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48B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7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17EC"/>
    <w:pPr>
      <w:spacing w:before="360" w:after="60"/>
      <w:outlineLvl w:val="0"/>
    </w:pPr>
    <w:rPr>
      <w:sz w:val="32"/>
    </w:rPr>
  </w:style>
  <w:style w:type="paragraph" w:styleId="Heading2">
    <w:name w:val="heading 2"/>
    <w:basedOn w:val="HeadingBase"/>
    <w:next w:val="BodyText"/>
    <w:link w:val="Heading2Char"/>
    <w:qFormat/>
    <w:rsid w:val="000417EC"/>
    <w:pPr>
      <w:keepLines/>
      <w:spacing w:before="240" w:after="120"/>
      <w:outlineLvl w:val="1"/>
    </w:pPr>
    <w:rPr>
      <w:sz w:val="28"/>
      <w:szCs w:val="40"/>
    </w:rPr>
  </w:style>
  <w:style w:type="paragraph" w:styleId="Heading3">
    <w:name w:val="heading 3"/>
    <w:basedOn w:val="HeadingBase"/>
    <w:next w:val="BodyText"/>
    <w:link w:val="Heading3Char"/>
    <w:qFormat/>
    <w:rsid w:val="000417EC"/>
    <w:pPr>
      <w:spacing w:before="180" w:after="120"/>
      <w:outlineLvl w:val="2"/>
    </w:pPr>
    <w:rPr>
      <w:spacing w:val="-10"/>
      <w:kern w:val="32"/>
    </w:rPr>
  </w:style>
  <w:style w:type="paragraph" w:styleId="Heading4">
    <w:name w:val="heading 4"/>
    <w:basedOn w:val="HeadingBase"/>
    <w:next w:val="BodyText"/>
    <w:link w:val="Heading4Char"/>
    <w:qFormat/>
    <w:rsid w:val="000417EC"/>
    <w:pPr>
      <w:spacing w:before="160" w:after="120"/>
      <w:outlineLvl w:val="3"/>
    </w:pPr>
    <w:rPr>
      <w:sz w:val="22"/>
    </w:rPr>
  </w:style>
  <w:style w:type="paragraph" w:styleId="Heading5">
    <w:name w:val="heading 5"/>
    <w:basedOn w:val="HeadingBase"/>
    <w:next w:val="Normal"/>
    <w:link w:val="Heading5Char"/>
    <w:qFormat/>
    <w:rsid w:val="000417EC"/>
    <w:pPr>
      <w:spacing w:before="80"/>
      <w:outlineLvl w:val="4"/>
    </w:pPr>
    <w:rPr>
      <w:color w:val="918585"/>
      <w:sz w:val="20"/>
    </w:rPr>
  </w:style>
  <w:style w:type="paragraph" w:styleId="Heading6">
    <w:name w:val="heading 6"/>
    <w:basedOn w:val="HeadingBase"/>
    <w:next w:val="Normal"/>
    <w:link w:val="Heading6Char"/>
    <w:qFormat/>
    <w:rsid w:val="000417EC"/>
    <w:pPr>
      <w:spacing w:before="60"/>
      <w:outlineLvl w:val="5"/>
    </w:pPr>
    <w:rPr>
      <w:color w:val="918585"/>
      <w:sz w:val="20"/>
    </w:rPr>
  </w:style>
  <w:style w:type="paragraph" w:styleId="Heading7">
    <w:name w:val="heading 7"/>
    <w:basedOn w:val="Normal"/>
    <w:next w:val="Normal"/>
    <w:link w:val="Heading7Char"/>
    <w:qFormat/>
    <w:rsid w:val="000417EC"/>
    <w:pPr>
      <w:ind w:left="720"/>
      <w:outlineLvl w:val="6"/>
    </w:pPr>
    <w:rPr>
      <w:i/>
    </w:rPr>
  </w:style>
  <w:style w:type="paragraph" w:styleId="Heading8">
    <w:name w:val="heading 8"/>
    <w:basedOn w:val="Normal"/>
    <w:next w:val="Normal"/>
    <w:link w:val="Heading8Char"/>
    <w:qFormat/>
    <w:rsid w:val="000417EC"/>
    <w:pPr>
      <w:ind w:left="720"/>
      <w:outlineLvl w:val="7"/>
    </w:pPr>
    <w:rPr>
      <w:i/>
    </w:rPr>
  </w:style>
  <w:style w:type="paragraph" w:styleId="Heading9">
    <w:name w:val="heading 9"/>
    <w:basedOn w:val="Normal"/>
    <w:next w:val="Normal"/>
    <w:link w:val="Heading9Char"/>
    <w:qFormat/>
    <w:rsid w:val="000417EC"/>
    <w:pPr>
      <w:ind w:left="720"/>
      <w:outlineLvl w:val="8"/>
    </w:pPr>
    <w:rPr>
      <w:i/>
    </w:rPr>
  </w:style>
  <w:style w:type="character" w:default="1" w:styleId="DefaultParagraphFont">
    <w:name w:val="Default Paragraph Font"/>
    <w:uiPriority w:val="1"/>
    <w:unhideWhenUsed/>
    <w:rsid w:val="00041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7EC"/>
  </w:style>
  <w:style w:type="character" w:customStyle="1" w:styleId="Heading1Char">
    <w:name w:val="Heading 1 Char"/>
    <w:basedOn w:val="DefaultParagraphFont"/>
    <w:link w:val="Heading1"/>
    <w:rsid w:val="000417EC"/>
    <w:rPr>
      <w:rFonts w:ascii="Times New Roman" w:eastAsia="Times New Roman" w:hAnsi="Times New Roman" w:cs="Times New Roman"/>
      <w:b/>
      <w:sz w:val="32"/>
      <w:szCs w:val="20"/>
      <w:lang w:eastAsia="en-US"/>
    </w:rPr>
  </w:style>
  <w:style w:type="paragraph" w:styleId="BodyText">
    <w:name w:val="Body Text"/>
    <w:basedOn w:val="Normal"/>
    <w:link w:val="BodyTextChar"/>
    <w:rsid w:val="000417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17EC"/>
    <w:rPr>
      <w:rFonts w:ascii="Times New Roman" w:eastAsia="Times New Roman" w:hAnsi="Times New Roman" w:cs="Times New Roman"/>
      <w:sz w:val="24"/>
      <w:lang w:val="en-US" w:eastAsia="en-US"/>
    </w:rPr>
  </w:style>
  <w:style w:type="paragraph" w:styleId="Footer">
    <w:name w:val="footer"/>
    <w:basedOn w:val="Normal"/>
    <w:link w:val="FooterChar"/>
    <w:rsid w:val="00041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7EC"/>
    <w:rPr>
      <w:rFonts w:ascii="Times New Roman" w:eastAsia="Times New Roman" w:hAnsi="Times New Roman" w:cs="Times New Roman"/>
      <w:sz w:val="16"/>
      <w:lang w:val="en-US" w:eastAsia="en-US"/>
    </w:rPr>
  </w:style>
  <w:style w:type="paragraph" w:styleId="List">
    <w:name w:val="List"/>
    <w:basedOn w:val="BodyText"/>
    <w:next w:val="BodyText"/>
    <w:rsid w:val="000417EC"/>
    <w:pPr>
      <w:tabs>
        <w:tab w:val="left" w:pos="340"/>
      </w:tabs>
      <w:spacing w:before="60" w:after="60"/>
      <w:ind w:left="340" w:hanging="340"/>
    </w:pPr>
  </w:style>
  <w:style w:type="paragraph" w:styleId="ListBullet">
    <w:name w:val="List Bullet"/>
    <w:basedOn w:val="List"/>
    <w:rsid w:val="000417EC"/>
    <w:pPr>
      <w:numPr>
        <w:numId w:val="13"/>
      </w:numPr>
      <w:tabs>
        <w:tab w:val="clear" w:pos="340"/>
      </w:tabs>
      <w:spacing w:before="40" w:after="40"/>
    </w:pPr>
  </w:style>
  <w:style w:type="character" w:customStyle="1" w:styleId="SpecialBold">
    <w:name w:val="Special Bold"/>
    <w:basedOn w:val="DefaultParagraphFont"/>
    <w:rsid w:val="000417EC"/>
    <w:rPr>
      <w:b/>
      <w:spacing w:val="0"/>
    </w:rPr>
  </w:style>
  <w:style w:type="paragraph" w:styleId="ListBullet2">
    <w:name w:val="List Bullet 2"/>
    <w:basedOn w:val="List2"/>
    <w:rsid w:val="000417EC"/>
    <w:pPr>
      <w:numPr>
        <w:numId w:val="14"/>
      </w:numPr>
      <w:tabs>
        <w:tab w:val="clear" w:pos="680"/>
      </w:tabs>
    </w:pPr>
  </w:style>
  <w:style w:type="paragraph" w:styleId="Header">
    <w:name w:val="header"/>
    <w:basedOn w:val="Normal"/>
    <w:link w:val="HeaderChar"/>
    <w:rsid w:val="00041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7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17EC"/>
    <w:pPr>
      <w:spacing w:before="240" w:after="120"/>
      <w:outlineLvl w:val="0"/>
    </w:pPr>
    <w:rPr>
      <w:rFonts w:ascii="Times New Roman" w:hAnsi="Times New Roman"/>
      <w:b/>
      <w:sz w:val="28"/>
    </w:rPr>
  </w:style>
  <w:style w:type="paragraph" w:customStyle="1" w:styleId="AllowPageBreak">
    <w:name w:val="AllowPageBreak"/>
    <w:rsid w:val="000417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7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17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17EC"/>
    <w:rPr>
      <w:rFonts w:ascii="Courier New" w:eastAsia="Times New Roman" w:hAnsi="Courier New" w:cs="Times New Roman"/>
      <w:i/>
      <w:szCs w:val="20"/>
      <w:lang w:val="en-US" w:eastAsia="en-US"/>
    </w:rPr>
  </w:style>
  <w:style w:type="paragraph" w:customStyle="1" w:styleId="HeadingBase">
    <w:name w:val="Heading Base"/>
    <w:rsid w:val="00041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7EC"/>
    <w:pPr>
      <w:tabs>
        <w:tab w:val="right" w:leader="dot" w:pos="9072"/>
      </w:tabs>
      <w:ind w:left="567"/>
    </w:pPr>
    <w:rPr>
      <w:szCs w:val="22"/>
    </w:rPr>
  </w:style>
  <w:style w:type="paragraph" w:customStyle="1" w:styleId="TOCBase">
    <w:name w:val="TOC Base"/>
    <w:rsid w:val="00041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7EC"/>
    <w:pPr>
      <w:tabs>
        <w:tab w:val="right" w:leader="dot" w:pos="9072"/>
      </w:tabs>
      <w:spacing w:before="40" w:after="40"/>
      <w:ind w:left="284"/>
    </w:pPr>
    <w:rPr>
      <w:rFonts w:ascii="Times New Roman" w:hAnsi="Times New Roman"/>
    </w:rPr>
  </w:style>
  <w:style w:type="paragraph" w:styleId="TOC1">
    <w:name w:val="toc 1"/>
    <w:basedOn w:val="TOCBase"/>
    <w:next w:val="Normal"/>
    <w:rsid w:val="000417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17EC"/>
    <w:pPr>
      <w:spacing w:before="5040"/>
      <w:jc w:val="center"/>
    </w:pPr>
    <w:rPr>
      <w:sz w:val="48"/>
      <w:szCs w:val="72"/>
      <w:lang w:val="en-US"/>
    </w:rPr>
  </w:style>
  <w:style w:type="character" w:customStyle="1" w:styleId="TitleChar">
    <w:name w:val="Title Char"/>
    <w:basedOn w:val="DefaultParagraphFont"/>
    <w:link w:val="Title"/>
    <w:rsid w:val="00041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7EC"/>
    <w:pPr>
      <w:tabs>
        <w:tab w:val="left" w:pos="3600"/>
        <w:tab w:val="left" w:pos="3958"/>
      </w:tabs>
    </w:pPr>
  </w:style>
  <w:style w:type="paragraph" w:customStyle="1" w:styleId="Note">
    <w:name w:val="Note"/>
    <w:basedOn w:val="BodyText"/>
    <w:rsid w:val="00041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7EC"/>
    <w:pPr>
      <w:framePr w:wrap="auto" w:hAnchor="text" w:y="6049"/>
    </w:pPr>
    <w:rPr>
      <w:color w:val="000000"/>
      <w:sz w:val="40"/>
    </w:rPr>
  </w:style>
  <w:style w:type="paragraph" w:customStyle="1" w:styleId="TOCTitle">
    <w:name w:val="TOCTitle"/>
    <w:basedOn w:val="Heading1"/>
    <w:rsid w:val="000417EC"/>
    <w:pPr>
      <w:spacing w:after="240"/>
      <w:jc w:val="center"/>
      <w:outlineLvl w:val="9"/>
    </w:pPr>
    <w:rPr>
      <w:caps/>
    </w:rPr>
  </w:style>
  <w:style w:type="paragraph" w:customStyle="1" w:styleId="Version">
    <w:name w:val="Version"/>
    <w:rsid w:val="000417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7EC"/>
    <w:pPr>
      <w:keepNext w:val="0"/>
      <w:tabs>
        <w:tab w:val="right" w:pos="4176"/>
      </w:tabs>
      <w:ind w:left="198" w:hanging="198"/>
    </w:pPr>
    <w:rPr>
      <w:rFonts w:ascii="Garamond" w:hAnsi="Garamond"/>
    </w:rPr>
  </w:style>
  <w:style w:type="paragraph" w:styleId="IndexHeading">
    <w:name w:val="index heading"/>
    <w:basedOn w:val="Normal"/>
    <w:next w:val="Index1"/>
    <w:semiHidden/>
    <w:rsid w:val="000417EC"/>
    <w:pPr>
      <w:spacing w:before="120" w:after="120"/>
    </w:pPr>
    <w:rPr>
      <w:rFonts w:ascii="Arial" w:hAnsi="Arial"/>
      <w:b/>
      <w:color w:val="918585"/>
      <w:sz w:val="24"/>
    </w:rPr>
  </w:style>
  <w:style w:type="paragraph" w:customStyle="1" w:styleId="Chapter">
    <w:name w:val="Chapter"/>
    <w:basedOn w:val="Normal"/>
    <w:rsid w:val="000417EC"/>
    <w:pPr>
      <w:spacing w:before="240"/>
    </w:pPr>
    <w:rPr>
      <w:rFonts w:ascii="Times New Roman" w:hAnsi="Times New Roman"/>
      <w:smallCaps/>
      <w:spacing w:val="80"/>
      <w:sz w:val="28"/>
    </w:rPr>
  </w:style>
  <w:style w:type="paragraph" w:customStyle="1" w:styleId="InChapter">
    <w:name w:val="InChapter"/>
    <w:basedOn w:val="Heading3"/>
    <w:rsid w:val="000417EC"/>
    <w:pPr>
      <w:spacing w:after="240"/>
      <w:outlineLvl w:val="9"/>
    </w:pPr>
    <w:rPr>
      <w:noProof/>
    </w:rPr>
  </w:style>
  <w:style w:type="paragraph" w:styleId="Index2">
    <w:name w:val="index 2"/>
    <w:basedOn w:val="Normal"/>
    <w:next w:val="Normal"/>
    <w:semiHidden/>
    <w:rsid w:val="000417EC"/>
    <w:pPr>
      <w:tabs>
        <w:tab w:val="right" w:pos="4176"/>
      </w:tabs>
      <w:ind w:left="568" w:hanging="284"/>
    </w:pPr>
    <w:rPr>
      <w:rFonts w:ascii="Garamond" w:hAnsi="Garamond"/>
    </w:rPr>
  </w:style>
  <w:style w:type="paragraph" w:customStyle="1" w:styleId="Byline">
    <w:name w:val="Byline"/>
    <w:rsid w:val="00041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7EC"/>
    <w:pPr>
      <w:tabs>
        <w:tab w:val="clear" w:pos="3600"/>
        <w:tab w:val="clear" w:pos="3958"/>
      </w:tabs>
      <w:jc w:val="right"/>
    </w:pPr>
  </w:style>
  <w:style w:type="character" w:styleId="Emphasis">
    <w:name w:val="Emphasis"/>
    <w:basedOn w:val="DefaultParagraphFont"/>
    <w:qFormat/>
    <w:rsid w:val="000417EC"/>
    <w:rPr>
      <w:i/>
    </w:rPr>
  </w:style>
  <w:style w:type="paragraph" w:styleId="Caption">
    <w:name w:val="caption"/>
    <w:basedOn w:val="BodyText"/>
    <w:next w:val="Normal"/>
    <w:qFormat/>
    <w:rsid w:val="000417EC"/>
    <w:pPr>
      <w:framePr w:w="2268" w:hSpace="181" w:vSpace="181" w:wrap="around" w:vAnchor="text" w:hAnchor="page" w:x="1135" w:y="285" w:anchorLock="1"/>
    </w:pPr>
    <w:rPr>
      <w:i/>
    </w:rPr>
  </w:style>
  <w:style w:type="paragraph" w:customStyle="1" w:styleId="MiniTOCTitle">
    <w:name w:val="MiniTOCTitle"/>
    <w:basedOn w:val="Heading4"/>
    <w:rsid w:val="000417EC"/>
    <w:pPr>
      <w:spacing w:before="240"/>
      <w:outlineLvl w:val="9"/>
    </w:pPr>
    <w:rPr>
      <w:noProof/>
      <w:sz w:val="24"/>
    </w:rPr>
  </w:style>
  <w:style w:type="paragraph" w:customStyle="1" w:styleId="MiniTOCItem">
    <w:name w:val="MiniTOCItem"/>
    <w:basedOn w:val="ListBullet"/>
    <w:rsid w:val="000417EC"/>
    <w:pPr>
      <w:numPr>
        <w:numId w:val="0"/>
      </w:numPr>
      <w:tabs>
        <w:tab w:val="right" w:leader="dot" w:pos="6521"/>
      </w:tabs>
      <w:spacing w:before="0" w:after="0"/>
    </w:pPr>
  </w:style>
  <w:style w:type="paragraph" w:customStyle="1" w:styleId="TOFTitle">
    <w:name w:val="TOFTitle"/>
    <w:basedOn w:val="TOCTitle"/>
    <w:rsid w:val="000417EC"/>
  </w:style>
  <w:style w:type="paragraph" w:styleId="TableofFigures">
    <w:name w:val="table of figures"/>
    <w:basedOn w:val="Normal"/>
    <w:next w:val="Normal"/>
    <w:semiHidden/>
    <w:rsid w:val="000417EC"/>
    <w:pPr>
      <w:tabs>
        <w:tab w:val="right" w:leader="dot" w:pos="9072"/>
      </w:tabs>
      <w:ind w:left="970" w:hanging="403"/>
    </w:pPr>
    <w:rPr>
      <w:rFonts w:ascii="Times New Roman" w:hAnsi="Times New Roman"/>
      <w:b/>
    </w:rPr>
  </w:style>
  <w:style w:type="paragraph" w:styleId="ListNumber">
    <w:name w:val="List Number"/>
    <w:basedOn w:val="List"/>
    <w:rsid w:val="000417EC"/>
    <w:pPr>
      <w:numPr>
        <w:numId w:val="11"/>
      </w:numPr>
    </w:pPr>
  </w:style>
  <w:style w:type="character" w:customStyle="1" w:styleId="WingdingSymbols">
    <w:name w:val="Wingding Symbols"/>
    <w:rsid w:val="000417EC"/>
    <w:rPr>
      <w:rFonts w:ascii="Wingdings" w:hAnsi="Wingdings"/>
    </w:rPr>
  </w:style>
  <w:style w:type="paragraph" w:customStyle="1" w:styleId="TableHeading">
    <w:name w:val="Table Heading"/>
    <w:basedOn w:val="HeadingBase"/>
    <w:rsid w:val="000417EC"/>
    <w:pPr>
      <w:keepLines/>
      <w:pBdr>
        <w:bottom w:val="single" w:sz="6" w:space="1" w:color="918585"/>
      </w:pBdr>
      <w:spacing w:before="240"/>
    </w:pPr>
  </w:style>
  <w:style w:type="character" w:customStyle="1" w:styleId="HotSpot">
    <w:name w:val="HotSpot"/>
    <w:rsid w:val="000417EC"/>
    <w:rPr>
      <w:color w:val="0033CC"/>
      <w:u w:val="none"/>
    </w:rPr>
  </w:style>
  <w:style w:type="paragraph" w:customStyle="1" w:styleId="BodyTextRight">
    <w:name w:val="Body Text Right"/>
    <w:basedOn w:val="BodyText"/>
    <w:rsid w:val="000417EC"/>
    <w:pPr>
      <w:spacing w:before="0" w:after="0"/>
      <w:jc w:val="right"/>
    </w:pPr>
  </w:style>
  <w:style w:type="paragraph" w:styleId="Index3">
    <w:name w:val="index 3"/>
    <w:basedOn w:val="ListNumber2"/>
    <w:next w:val="Normal"/>
    <w:semiHidden/>
    <w:rsid w:val="000417EC"/>
    <w:pPr>
      <w:numPr>
        <w:numId w:val="0"/>
      </w:numPr>
      <w:tabs>
        <w:tab w:val="right" w:leader="dot" w:pos="4176"/>
      </w:tabs>
    </w:pPr>
  </w:style>
  <w:style w:type="paragraph" w:styleId="ListNumber2">
    <w:name w:val="List Number 2"/>
    <w:basedOn w:val="List2"/>
    <w:rsid w:val="000417EC"/>
    <w:pPr>
      <w:numPr>
        <w:numId w:val="10"/>
      </w:numPr>
      <w:tabs>
        <w:tab w:val="clear" w:pos="1060"/>
      </w:tabs>
    </w:pPr>
  </w:style>
  <w:style w:type="paragraph" w:customStyle="1" w:styleId="MarginNote">
    <w:name w:val="Margin Note"/>
    <w:basedOn w:val="BodyText"/>
    <w:rsid w:val="00041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7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17EC"/>
    <w:rPr>
      <w:sz w:val="32"/>
    </w:rPr>
  </w:style>
  <w:style w:type="paragraph" w:customStyle="1" w:styleId="HeadingProcedure">
    <w:name w:val="Heading Procedure"/>
    <w:basedOn w:val="HeadingBase"/>
    <w:next w:val="Normal"/>
    <w:rsid w:val="000417EC"/>
    <w:pPr>
      <w:tabs>
        <w:tab w:val="left" w:pos="0"/>
      </w:tabs>
      <w:spacing w:before="120" w:after="60"/>
    </w:pPr>
    <w:rPr>
      <w:i/>
      <w:color w:val="918585"/>
      <w:sz w:val="22"/>
    </w:rPr>
  </w:style>
  <w:style w:type="paragraph" w:customStyle="1" w:styleId="TableBodyText">
    <w:name w:val="Table Body Text"/>
    <w:basedOn w:val="BodyText"/>
    <w:rsid w:val="000417EC"/>
    <w:pPr>
      <w:spacing w:before="60" w:after="60"/>
    </w:pPr>
  </w:style>
  <w:style w:type="paragraph" w:styleId="ListContinue">
    <w:name w:val="List Continue"/>
    <w:basedOn w:val="List"/>
    <w:rsid w:val="000417EC"/>
    <w:pPr>
      <w:ind w:firstLine="0"/>
    </w:pPr>
  </w:style>
  <w:style w:type="paragraph" w:customStyle="1" w:styleId="ListNote">
    <w:name w:val="List Note"/>
    <w:basedOn w:val="List"/>
    <w:rsid w:val="000417EC"/>
    <w:pPr>
      <w:pBdr>
        <w:top w:val="single" w:sz="6" w:space="2" w:color="918585"/>
        <w:bottom w:val="single" w:sz="6" w:space="2" w:color="918585"/>
      </w:pBdr>
      <w:tabs>
        <w:tab w:val="left" w:pos="1021"/>
      </w:tabs>
      <w:ind w:firstLine="0"/>
    </w:pPr>
  </w:style>
  <w:style w:type="paragraph" w:customStyle="1" w:styleId="Warning">
    <w:name w:val="Warning"/>
    <w:basedOn w:val="BodyText"/>
    <w:rsid w:val="000417EC"/>
    <w:pPr>
      <w:shd w:val="clear" w:color="auto" w:fill="D9D9D9"/>
      <w:tabs>
        <w:tab w:val="left" w:pos="992"/>
      </w:tabs>
      <w:ind w:left="119" w:right="119"/>
    </w:pPr>
    <w:rPr>
      <w:sz w:val="20"/>
    </w:rPr>
  </w:style>
  <w:style w:type="paragraph" w:customStyle="1" w:styleId="MarginIcons">
    <w:name w:val="Margin Icons"/>
    <w:basedOn w:val="BodyText"/>
    <w:rsid w:val="00041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7EC"/>
    <w:rPr>
      <w:rFonts w:ascii="Courier New" w:hAnsi="Courier New"/>
    </w:rPr>
  </w:style>
  <w:style w:type="paragraph" w:customStyle="1" w:styleId="NoteBullet">
    <w:name w:val="Note Bullet"/>
    <w:basedOn w:val="Note"/>
    <w:rsid w:val="000417EC"/>
    <w:pPr>
      <w:tabs>
        <w:tab w:val="clear" w:pos="680"/>
      </w:tabs>
      <w:spacing w:before="60" w:after="60"/>
    </w:pPr>
  </w:style>
  <w:style w:type="paragraph" w:customStyle="1" w:styleId="SubHeading2">
    <w:name w:val="SubHeading2"/>
    <w:basedOn w:val="HeadingBase"/>
    <w:rsid w:val="000417EC"/>
    <w:pPr>
      <w:spacing w:before="240" w:after="60"/>
    </w:pPr>
    <w:rPr>
      <w:sz w:val="20"/>
    </w:rPr>
  </w:style>
  <w:style w:type="paragraph" w:customStyle="1" w:styleId="SubHeading1">
    <w:name w:val="SubHeading1"/>
    <w:basedOn w:val="HeadingBase"/>
    <w:rsid w:val="000417EC"/>
    <w:pPr>
      <w:spacing w:before="240" w:after="60"/>
    </w:pPr>
    <w:rPr>
      <w:color w:val="918585"/>
      <w:sz w:val="22"/>
    </w:rPr>
  </w:style>
  <w:style w:type="paragraph" w:customStyle="1" w:styleId="SideHeading">
    <w:name w:val="Side Heading"/>
    <w:basedOn w:val="HeadingBase"/>
    <w:rsid w:val="00041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7EC"/>
    <w:pPr>
      <w:numPr>
        <w:numId w:val="12"/>
      </w:numPr>
    </w:pPr>
  </w:style>
  <w:style w:type="paragraph" w:styleId="PlainText">
    <w:name w:val="Plain Text"/>
    <w:basedOn w:val="Normal"/>
    <w:link w:val="PlainTextChar"/>
    <w:rsid w:val="000417EC"/>
    <w:rPr>
      <w:sz w:val="20"/>
    </w:rPr>
  </w:style>
  <w:style w:type="character" w:customStyle="1" w:styleId="PlainTextChar">
    <w:name w:val="Plain Text Char"/>
    <w:basedOn w:val="DefaultParagraphFont"/>
    <w:link w:val="PlainText"/>
    <w:rsid w:val="000417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17EC"/>
    <w:rPr>
      <w:b/>
      <w:smallCaps/>
    </w:rPr>
  </w:style>
  <w:style w:type="paragraph" w:customStyle="1" w:styleId="TableListNumber">
    <w:name w:val="Table List Number"/>
    <w:basedOn w:val="ListNumber"/>
    <w:rsid w:val="000417EC"/>
    <w:pPr>
      <w:numPr>
        <w:numId w:val="0"/>
      </w:numPr>
    </w:pPr>
  </w:style>
  <w:style w:type="paragraph" w:styleId="TOC4">
    <w:name w:val="toc 4"/>
    <w:basedOn w:val="TOCBase"/>
    <w:next w:val="Normal"/>
    <w:semiHidden/>
    <w:rsid w:val="000417EC"/>
    <w:pPr>
      <w:tabs>
        <w:tab w:val="right" w:leader="dot" w:pos="9071"/>
      </w:tabs>
      <w:ind w:left="1701"/>
    </w:pPr>
  </w:style>
  <w:style w:type="paragraph" w:customStyle="1" w:styleId="ListAlpha">
    <w:name w:val="List Alpha"/>
    <w:basedOn w:val="List"/>
    <w:rsid w:val="000417EC"/>
    <w:pPr>
      <w:numPr>
        <w:numId w:val="9"/>
      </w:numPr>
    </w:pPr>
  </w:style>
  <w:style w:type="paragraph" w:customStyle="1" w:styleId="ListAlpha2">
    <w:name w:val="List Alpha 2"/>
    <w:basedOn w:val="List2"/>
    <w:rsid w:val="000417EC"/>
    <w:pPr>
      <w:numPr>
        <w:numId w:val="8"/>
      </w:numPr>
    </w:pPr>
  </w:style>
  <w:style w:type="paragraph" w:styleId="List2">
    <w:name w:val="List 2"/>
    <w:basedOn w:val="BodyText"/>
    <w:rsid w:val="000417EC"/>
    <w:pPr>
      <w:tabs>
        <w:tab w:val="left" w:pos="680"/>
      </w:tabs>
      <w:spacing w:before="60" w:after="60"/>
      <w:ind w:left="680" w:hanging="340"/>
    </w:pPr>
  </w:style>
  <w:style w:type="paragraph" w:styleId="List3">
    <w:name w:val="List 3"/>
    <w:basedOn w:val="BodyText"/>
    <w:rsid w:val="000417EC"/>
    <w:pPr>
      <w:tabs>
        <w:tab w:val="left" w:pos="1021"/>
      </w:tabs>
      <w:spacing w:before="60" w:after="60"/>
      <w:ind w:left="1020" w:hanging="340"/>
    </w:pPr>
  </w:style>
  <w:style w:type="paragraph" w:styleId="List4">
    <w:name w:val="List 4"/>
    <w:basedOn w:val="BodyText"/>
    <w:rsid w:val="000417EC"/>
    <w:pPr>
      <w:tabs>
        <w:tab w:val="left" w:pos="1361"/>
      </w:tabs>
      <w:spacing w:before="60" w:after="60"/>
      <w:ind w:left="1361" w:hanging="340"/>
    </w:pPr>
  </w:style>
  <w:style w:type="paragraph" w:styleId="List5">
    <w:name w:val="List 5"/>
    <w:basedOn w:val="BodyText"/>
    <w:rsid w:val="000417EC"/>
    <w:pPr>
      <w:tabs>
        <w:tab w:val="left" w:pos="1701"/>
      </w:tabs>
      <w:spacing w:before="60" w:after="60"/>
      <w:ind w:left="1701" w:hanging="340"/>
    </w:pPr>
  </w:style>
  <w:style w:type="paragraph" w:styleId="ListBullet3">
    <w:name w:val="List Bullet 3"/>
    <w:basedOn w:val="List3"/>
    <w:rsid w:val="000417EC"/>
    <w:pPr>
      <w:numPr>
        <w:numId w:val="15"/>
      </w:numPr>
      <w:tabs>
        <w:tab w:val="clear" w:pos="1021"/>
      </w:tabs>
      <w:ind w:left="1037" w:hanging="357"/>
    </w:pPr>
  </w:style>
  <w:style w:type="paragraph" w:styleId="ListBullet4">
    <w:name w:val="List Bullet 4"/>
    <w:basedOn w:val="List4"/>
    <w:rsid w:val="000417EC"/>
    <w:pPr>
      <w:numPr>
        <w:numId w:val="3"/>
      </w:numPr>
    </w:pPr>
  </w:style>
  <w:style w:type="paragraph" w:styleId="ListBullet5">
    <w:name w:val="List Bullet 5"/>
    <w:basedOn w:val="List5"/>
    <w:rsid w:val="000417EC"/>
    <w:pPr>
      <w:numPr>
        <w:numId w:val="4"/>
      </w:numPr>
    </w:pPr>
  </w:style>
  <w:style w:type="paragraph" w:styleId="ListContinue2">
    <w:name w:val="List Continue 2"/>
    <w:basedOn w:val="List2"/>
    <w:rsid w:val="000417EC"/>
    <w:pPr>
      <w:ind w:firstLine="0"/>
    </w:pPr>
  </w:style>
  <w:style w:type="paragraph" w:styleId="ListContinue3">
    <w:name w:val="List Continue 3"/>
    <w:basedOn w:val="List3"/>
    <w:rsid w:val="000417EC"/>
    <w:pPr>
      <w:ind w:left="1021" w:firstLine="0"/>
    </w:pPr>
  </w:style>
  <w:style w:type="paragraph" w:styleId="ListContinue4">
    <w:name w:val="List Continue 4"/>
    <w:basedOn w:val="List4"/>
    <w:rsid w:val="000417EC"/>
    <w:pPr>
      <w:ind w:firstLine="0"/>
    </w:pPr>
  </w:style>
  <w:style w:type="paragraph" w:styleId="ListContinue5">
    <w:name w:val="List Continue 5"/>
    <w:basedOn w:val="List5"/>
    <w:rsid w:val="000417EC"/>
    <w:pPr>
      <w:ind w:firstLine="0"/>
    </w:pPr>
  </w:style>
  <w:style w:type="paragraph" w:styleId="ListNumber3">
    <w:name w:val="List Number 3"/>
    <w:basedOn w:val="List3"/>
    <w:rsid w:val="000417EC"/>
    <w:pPr>
      <w:numPr>
        <w:numId w:val="5"/>
      </w:numPr>
    </w:pPr>
  </w:style>
  <w:style w:type="paragraph" w:styleId="ListNumber4">
    <w:name w:val="List Number 4"/>
    <w:basedOn w:val="List4"/>
    <w:rsid w:val="000417EC"/>
    <w:pPr>
      <w:numPr>
        <w:numId w:val="6"/>
      </w:numPr>
    </w:pPr>
  </w:style>
  <w:style w:type="paragraph" w:styleId="ListNumber5">
    <w:name w:val="List Number 5"/>
    <w:basedOn w:val="List5"/>
    <w:rsid w:val="000417EC"/>
    <w:pPr>
      <w:numPr>
        <w:numId w:val="7"/>
      </w:numPr>
    </w:pPr>
  </w:style>
  <w:style w:type="paragraph" w:styleId="BlockText">
    <w:name w:val="Block Text"/>
    <w:basedOn w:val="Normal"/>
    <w:rsid w:val="000417EC"/>
    <w:pPr>
      <w:spacing w:after="120"/>
      <w:ind w:left="1440" w:right="1440"/>
    </w:pPr>
  </w:style>
  <w:style w:type="character" w:customStyle="1" w:styleId="Subscript">
    <w:name w:val="Subscript"/>
    <w:basedOn w:val="DefaultParagraphFont"/>
    <w:rsid w:val="000417EC"/>
    <w:rPr>
      <w:sz w:val="16"/>
      <w:vertAlign w:val="subscript"/>
    </w:rPr>
  </w:style>
  <w:style w:type="character" w:customStyle="1" w:styleId="Superscript">
    <w:name w:val="Superscript"/>
    <w:basedOn w:val="DefaultParagraphFont"/>
    <w:rsid w:val="000417EC"/>
    <w:rPr>
      <w:sz w:val="16"/>
      <w:vertAlign w:val="superscript"/>
    </w:rPr>
  </w:style>
  <w:style w:type="character" w:customStyle="1" w:styleId="Symbols">
    <w:name w:val="Symbols"/>
    <w:basedOn w:val="DefaultParagraphFont"/>
    <w:rsid w:val="000417EC"/>
    <w:rPr>
      <w:rFonts w:ascii="Symbol" w:hAnsi="Symbol"/>
    </w:rPr>
  </w:style>
  <w:style w:type="character" w:customStyle="1" w:styleId="MenuOptions">
    <w:name w:val="Menu Options"/>
    <w:basedOn w:val="DefaultParagraphFont"/>
    <w:rsid w:val="000417EC"/>
    <w:rPr>
      <w:rFonts w:ascii="Arial Narrow" w:hAnsi="Arial Narrow"/>
      <w:smallCaps/>
    </w:rPr>
  </w:style>
  <w:style w:type="character" w:customStyle="1" w:styleId="Buttons">
    <w:name w:val="Buttons"/>
    <w:basedOn w:val="DefaultParagraphFont"/>
    <w:rsid w:val="000417EC"/>
    <w:rPr>
      <w:b/>
    </w:rPr>
  </w:style>
  <w:style w:type="character" w:customStyle="1" w:styleId="Underlined">
    <w:name w:val="Underlined"/>
    <w:basedOn w:val="DefaultParagraphFont"/>
    <w:rsid w:val="000417EC"/>
    <w:rPr>
      <w:u w:val="single"/>
    </w:rPr>
  </w:style>
  <w:style w:type="paragraph" w:customStyle="1" w:styleId="TableBodyTextRight">
    <w:name w:val="Table Body Text Right"/>
    <w:basedOn w:val="TableBodyText"/>
    <w:rsid w:val="000417EC"/>
    <w:pPr>
      <w:widowControl w:val="0"/>
      <w:autoSpaceDE w:val="0"/>
      <w:autoSpaceDN w:val="0"/>
      <w:adjustRightInd w:val="0"/>
      <w:jc w:val="right"/>
    </w:pPr>
    <w:rPr>
      <w:rFonts w:cs="Arial"/>
      <w:szCs w:val="18"/>
    </w:rPr>
  </w:style>
  <w:style w:type="paragraph" w:customStyle="1" w:styleId="CopyrightText">
    <w:name w:val="Copyright Text"/>
    <w:basedOn w:val="BodyText"/>
    <w:rsid w:val="000417EC"/>
    <w:rPr>
      <w:sz w:val="18"/>
    </w:rPr>
  </w:style>
  <w:style w:type="paragraph" w:customStyle="1" w:styleId="BodySmallRight">
    <w:name w:val="Body Small Right"/>
    <w:basedOn w:val="BodyTextRight"/>
    <w:rsid w:val="000417EC"/>
    <w:rPr>
      <w:sz w:val="18"/>
      <w:szCs w:val="18"/>
    </w:rPr>
  </w:style>
  <w:style w:type="paragraph" w:customStyle="1" w:styleId="MarginEdition">
    <w:name w:val="Margin Edition"/>
    <w:basedOn w:val="MarginNote"/>
    <w:rsid w:val="000417EC"/>
    <w:pPr>
      <w:spacing w:before="0" w:after="0"/>
    </w:pPr>
    <w:rPr>
      <w:rFonts w:ascii="Times New Roman" w:hAnsi="Times New Roman"/>
      <w:color w:val="999999"/>
    </w:rPr>
  </w:style>
  <w:style w:type="paragraph" w:customStyle="1" w:styleId="Spacer">
    <w:name w:val="Spacer"/>
    <w:basedOn w:val="Normal"/>
    <w:rsid w:val="000417EC"/>
    <w:rPr>
      <w:sz w:val="2"/>
      <w:szCs w:val="2"/>
    </w:rPr>
  </w:style>
  <w:style w:type="character" w:customStyle="1" w:styleId="Small">
    <w:name w:val="Small"/>
    <w:basedOn w:val="DefaultParagraphFont"/>
    <w:rsid w:val="000417EC"/>
    <w:rPr>
      <w:sz w:val="16"/>
    </w:rPr>
  </w:style>
  <w:style w:type="paragraph" w:customStyle="1" w:styleId="WideTable">
    <w:name w:val="Wide Table"/>
    <w:basedOn w:val="Normal"/>
    <w:rsid w:val="000417EC"/>
    <w:pPr>
      <w:ind w:left="-1418"/>
    </w:pPr>
    <w:rPr>
      <w:sz w:val="2"/>
      <w:szCs w:val="2"/>
    </w:rPr>
  </w:style>
  <w:style w:type="character" w:styleId="PageNumber">
    <w:name w:val="page number"/>
    <w:basedOn w:val="DefaultParagraphFont"/>
    <w:rsid w:val="000417EC"/>
  </w:style>
  <w:style w:type="paragraph" w:styleId="Quote">
    <w:name w:val="Quote"/>
    <w:basedOn w:val="Heading1"/>
    <w:link w:val="QuoteChar"/>
    <w:qFormat/>
    <w:rsid w:val="000417EC"/>
    <w:rPr>
      <w:b w:val="0"/>
      <w:sz w:val="72"/>
      <w:szCs w:val="72"/>
      <w:lang w:val="en-NZ"/>
    </w:rPr>
  </w:style>
  <w:style w:type="character" w:customStyle="1" w:styleId="QuoteChar">
    <w:name w:val="Quote Char"/>
    <w:basedOn w:val="DefaultParagraphFont"/>
    <w:link w:val="Quote"/>
    <w:rsid w:val="00041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7EC"/>
    <w:pPr>
      <w:pageBreakBefore/>
    </w:pPr>
  </w:style>
  <w:style w:type="paragraph" w:customStyle="1" w:styleId="Border">
    <w:name w:val="Border"/>
    <w:basedOn w:val="Normal"/>
    <w:qFormat/>
    <w:rsid w:val="00041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7EC"/>
    <w:rPr>
      <w:b/>
      <w:bCs/>
      <w:i/>
      <w:iCs/>
      <w:color w:val="auto"/>
    </w:rPr>
  </w:style>
  <w:style w:type="paragraph" w:styleId="IntenseQuote">
    <w:name w:val="Intense Quote"/>
    <w:basedOn w:val="Normal"/>
    <w:next w:val="Normal"/>
    <w:link w:val="IntenseQuoteChar"/>
    <w:uiPriority w:val="30"/>
    <w:qFormat/>
    <w:rsid w:val="00041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7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17EC"/>
    <w:rPr>
      <w:smallCaps/>
      <w:color w:val="auto"/>
      <w:u w:val="single"/>
    </w:rPr>
  </w:style>
  <w:style w:type="character" w:styleId="IntenseReference">
    <w:name w:val="Intense Reference"/>
    <w:basedOn w:val="DefaultParagraphFont"/>
    <w:uiPriority w:val="32"/>
    <w:qFormat/>
    <w:rsid w:val="000417EC"/>
    <w:rPr>
      <w:b/>
      <w:bCs/>
      <w:smallCaps/>
      <w:color w:val="auto"/>
      <w:spacing w:val="5"/>
      <w:u w:val="single"/>
    </w:rPr>
  </w:style>
  <w:style w:type="paragraph" w:customStyle="1" w:styleId="2ColumnHeading">
    <w:name w:val="2Column Heading"/>
    <w:basedOn w:val="BodyText"/>
    <w:qFormat/>
    <w:rsid w:val="000417EC"/>
    <w:pPr>
      <w:spacing w:after="60"/>
      <w:ind w:left="-2268"/>
    </w:pPr>
    <w:rPr>
      <w:b/>
    </w:rPr>
  </w:style>
  <w:style w:type="paragraph" w:customStyle="1" w:styleId="Heading1TOC">
    <w:name w:val="Heading1 TOC"/>
    <w:basedOn w:val="Normal"/>
    <w:qFormat/>
    <w:rsid w:val="000417EC"/>
    <w:pPr>
      <w:spacing w:before="240" w:after="120"/>
    </w:pPr>
    <w:rPr>
      <w:rFonts w:ascii="Times New Roman" w:hAnsi="Times New Roman"/>
      <w:b/>
      <w:sz w:val="32"/>
    </w:rPr>
  </w:style>
  <w:style w:type="paragraph" w:customStyle="1" w:styleId="Heading2TOC">
    <w:name w:val="Heading2 TOC"/>
    <w:basedOn w:val="Normal"/>
    <w:qFormat/>
    <w:rsid w:val="000417EC"/>
    <w:pPr>
      <w:spacing w:before="240" w:after="60"/>
    </w:pPr>
    <w:rPr>
      <w:rFonts w:ascii="Times New Roman" w:hAnsi="Times New Roman"/>
      <w:b/>
      <w:sz w:val="28"/>
    </w:rPr>
  </w:style>
  <w:style w:type="character" w:customStyle="1" w:styleId="Underline">
    <w:name w:val="Underline"/>
    <w:basedOn w:val="DefaultParagraphFont"/>
    <w:qFormat/>
    <w:rsid w:val="000417EC"/>
    <w:rPr>
      <w:u w:val="single"/>
    </w:rPr>
  </w:style>
  <w:style w:type="character" w:customStyle="1" w:styleId="BoldandItalics">
    <w:name w:val="Bold and Italics"/>
    <w:qFormat/>
    <w:rsid w:val="000417EC"/>
    <w:rPr>
      <w:b/>
      <w:i/>
      <w:u w:val="none"/>
    </w:rPr>
  </w:style>
  <w:style w:type="paragraph" w:styleId="BalloonText">
    <w:name w:val="Balloon Text"/>
    <w:basedOn w:val="Normal"/>
    <w:link w:val="BalloonTextChar"/>
    <w:rsid w:val="000417EC"/>
    <w:rPr>
      <w:rFonts w:ascii="Tahoma" w:hAnsi="Tahoma" w:cs="Tahoma"/>
      <w:sz w:val="16"/>
      <w:szCs w:val="16"/>
    </w:rPr>
  </w:style>
  <w:style w:type="character" w:customStyle="1" w:styleId="BalloonTextChar">
    <w:name w:val="Balloon Text Char"/>
    <w:basedOn w:val="DefaultParagraphFont"/>
    <w:link w:val="BalloonText"/>
    <w:rsid w:val="000417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17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17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1641</Words>
  <Characters>10938</Characters>
  <Application>Microsoft Office Word</Application>
  <DocSecurity>0</DocSecurity>
  <Lines>356</Lines>
  <Paragraphs>226</Paragraphs>
  <ScaleCrop>false</ScaleCrop>
  <Company>Author-it Software Corporation Ltd.</Company>
  <LinksUpToDate>false</LinksUpToDate>
  <CharactersWithSpaces>12485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TLIP4040A Monitor warehouse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2012-05-27T04:04:00Z</dcterms:created>
  <dcterms:modified xsi:type="dcterms:W3CDTF">2012-05-27T04:04:00Z</dcterms:modified>
</cp:coreProperties>
</file>