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DF6" w:rsidP="00D86DF6">
      <w:pPr>
        <w:pStyle w:val="Title"/>
      </w:pPr>
      <w:r>
        <w:fldChar w:fldCharType="begin"/>
      </w:r>
      <w:r>
        <w:instrText xml:space="preserve"> TITLE   \* MERGEFORMAT </w:instrText>
      </w:r>
      <w:r>
        <w:fldChar w:fldCharType="separate"/>
      </w:r>
      <w:r>
        <w:t>TLIP4039A Monitor transport operations</w:t>
      </w:r>
      <w:r>
        <w:fldChar w:fldCharType="end"/>
      </w:r>
    </w:p>
    <w:p w:rsidR="00D86DF6" w:rsidP="00D86DF6">
      <w:pPr>
        <w:pStyle w:val="Version"/>
        <w:sectPr w:rsidSect="00ED70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0C5" w:rsidP="00ED70C5">
      <w:pPr>
        <w:pStyle w:val="SuperHeading"/>
      </w:pPr>
      <w:r w:rsidRPr="00ED70C5">
        <w:t>TLIP4039A Monitor transport operations</w:t>
      </w:r>
    </w:p>
    <w:p w:rsidR="00000000" w:rsidRPr="00ED70C5" w:rsidP="00ED70C5">
      <w:pPr>
        <w:pStyle w:val="Heading1"/>
      </w:pPr>
      <w:bookmarkStart w:id="1" w:name="O_274296"/>
      <w:bookmarkEnd w:id="1"/>
      <w:r w:rsidRPr="00ED70C5">
        <w:t>Modification History</w:t>
      </w:r>
    </w:p>
    <w:p w:rsidR="00000000" w:rsidRPr="00ED70C5" w:rsidP="00ED70C5">
      <w:pPr>
        <w:pStyle w:val="BodyText"/>
      </w:pPr>
      <w:r w:rsidRPr="00ED70C5">
        <w:t>Not Applicable</w:t>
      </w:r>
    </w:p>
    <w:p w:rsidR="00000000" w:rsidRPr="00ED70C5" w:rsidP="00ED70C5">
      <w:pPr>
        <w:pStyle w:val="AllowPageBreak"/>
      </w:pPr>
    </w:p>
    <w:p w:rsidR="00000000" w:rsidRPr="00ED70C5" w:rsidP="00ED70C5">
      <w:pPr>
        <w:pStyle w:val="Heading1"/>
      </w:pPr>
      <w:bookmarkStart w:id="2" w:name="O_224246"/>
      <w:bookmarkEnd w:id="2"/>
      <w:r w:rsidRPr="00ED70C5">
        <w:t>Unit Descriptor</w:t>
      </w:r>
    </w:p>
    <w:tbl>
      <w:tblPr>
        <w:tblW w:w="9640" w:type="dxa"/>
        <w:tblLayout w:type="fixed"/>
        <w:tblCellMar>
          <w:left w:w="62" w:type="dxa"/>
          <w:right w:w="62" w:type="dxa"/>
        </w:tblCellMar>
        <w:tblLook w:val="0000"/>
      </w:tblPr>
      <w:tblGrid>
        <w:gridCol w:w="2978"/>
        <w:gridCol w:w="6662"/>
      </w:tblGrid>
      <w:tr w:rsidTr="00D86D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D70C5" w:rsidP="00ED70C5">
            <w:pPr>
              <w:pStyle w:val="BodyText"/>
            </w:pPr>
            <w:r w:rsidRPr="00ED70C5">
              <w:t>This unit involves the skills and knowledge required to monitor transport operations and identify a</w:t>
            </w:r>
            <w:r w:rsidRPr="00ED70C5">
              <w:t>nd report issues and possible improvements. It requires knowledge of transport strategies and methods for local, national and international contexts and regulatory requirements and organisational requirements. There are no specific licensing or certificati</w:t>
            </w:r>
            <w:r w:rsidRPr="00ED70C5">
              <w:t>on requirements applicable to this unit.</w:t>
            </w:r>
          </w:p>
        </w:tc>
      </w:tr>
    </w:tbl>
    <w:p w:rsidR="00D86DF6" w:rsidP="00ED70C5">
      <w:pPr>
        <w:pStyle w:val="BodyText"/>
      </w:pPr>
    </w:p>
    <w:p w:rsidR="00D86DF6" w:rsidP="00ED70C5">
      <w:pPr>
        <w:pStyle w:val="BodyText"/>
      </w:pPr>
    </w:p>
    <w:p w:rsidR="00000000" w:rsidRPr="00ED70C5" w:rsidP="00ED70C5">
      <w:pPr>
        <w:pStyle w:val="Heading1"/>
      </w:pPr>
      <w:bookmarkStart w:id="3" w:name="O_224248"/>
      <w:bookmarkEnd w:id="3"/>
      <w:r w:rsidRPr="00ED70C5">
        <w:t>Application of the Unit</w:t>
      </w:r>
    </w:p>
    <w:tbl>
      <w:tblPr>
        <w:tblW w:w="9640" w:type="dxa"/>
        <w:tblLayout w:type="fixed"/>
        <w:tblCellMar>
          <w:left w:w="62" w:type="dxa"/>
          <w:right w:w="62" w:type="dxa"/>
        </w:tblCellMar>
        <w:tblLook w:val="0000"/>
      </w:tblPr>
      <w:tblGrid>
        <w:gridCol w:w="2978"/>
        <w:gridCol w:w="6662"/>
      </w:tblGrid>
      <w:tr w:rsidTr="00D86D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D70C5" w:rsidP="00ED70C5">
            <w:pPr>
              <w:pStyle w:val="BodyText"/>
            </w:pPr>
            <w:r w:rsidRPr="00ED70C5">
              <w:t>Work may be undertaken in various contexts within the transport and logistics industry.</w:t>
            </w:r>
          </w:p>
          <w:p w:rsidR="00000000" w:rsidRPr="00ED70C5" w:rsidP="00ED70C5">
            <w:pPr>
              <w:pStyle w:val="BodyText"/>
            </w:pPr>
            <w:r w:rsidRPr="00ED70C5">
              <w:t>Work involves the responsibility for the monitoring of transport operations. Individuals must demonstrate the ability to work independently or as part of a team under direct and/or indirect supervision, use discretion and judgement, and take responsibility</w:t>
            </w:r>
            <w:r w:rsidRPr="00ED70C5">
              <w:t xml:space="preserve"> for the quality of their outputs. All activities are carried out in accordance with relevant organisational policy and procedures.</w:t>
            </w:r>
          </w:p>
        </w:tc>
      </w:tr>
    </w:tbl>
    <w:p w:rsidR="00D86DF6" w:rsidP="00ED70C5">
      <w:pPr>
        <w:pStyle w:val="BodyText"/>
      </w:pPr>
    </w:p>
    <w:p w:rsidR="00D86DF6" w:rsidP="00ED70C5">
      <w:pPr>
        <w:pStyle w:val="BodyText"/>
      </w:pPr>
    </w:p>
    <w:p w:rsidR="00000000" w:rsidRPr="00ED70C5" w:rsidP="00ED70C5">
      <w:pPr>
        <w:pStyle w:val="Heading1"/>
      </w:pPr>
      <w:bookmarkStart w:id="4" w:name="O_282556"/>
      <w:bookmarkEnd w:id="4"/>
      <w:r w:rsidRPr="00ED70C5">
        <w:t>Licensing/Regulatory Information</w:t>
      </w:r>
    </w:p>
    <w:p w:rsidR="00000000" w:rsidRPr="00ED70C5" w:rsidP="00ED70C5">
      <w:pPr>
        <w:pStyle w:val="BodyText"/>
      </w:pPr>
      <w:r w:rsidRPr="00ED70C5">
        <w:t>Refer to Unit Descriptor</w:t>
      </w:r>
    </w:p>
    <w:p w:rsidR="00000000" w:rsidRPr="00ED70C5" w:rsidP="00ED70C5">
      <w:pPr>
        <w:pStyle w:val="AllowPageBreak"/>
      </w:pPr>
    </w:p>
    <w:p w:rsidR="00000000" w:rsidRPr="00ED70C5" w:rsidP="00ED70C5">
      <w:pPr>
        <w:pStyle w:val="Heading1"/>
      </w:pPr>
      <w:bookmarkStart w:id="5" w:name="O_285006"/>
      <w:bookmarkEnd w:id="5"/>
      <w:r w:rsidRPr="00ED70C5">
        <w:t>Pre-Requisites</w:t>
      </w:r>
    </w:p>
    <w:p w:rsidR="00000000" w:rsidRPr="00ED70C5" w:rsidP="00ED70C5">
      <w:pPr>
        <w:pStyle w:val="BodyText"/>
      </w:pPr>
      <w:r w:rsidRPr="00ED70C5">
        <w:t>Not Applicable</w:t>
      </w:r>
    </w:p>
    <w:p w:rsidR="00000000" w:rsidRPr="00ED70C5" w:rsidP="00ED70C5">
      <w:pPr>
        <w:pStyle w:val="AllowPageBreak"/>
      </w:pPr>
    </w:p>
    <w:p w:rsidR="00000000" w:rsidRPr="00ED70C5" w:rsidP="00ED70C5">
      <w:pPr>
        <w:pStyle w:val="Heading1"/>
      </w:pPr>
      <w:bookmarkStart w:id="6" w:name="O_224247"/>
      <w:bookmarkEnd w:id="6"/>
      <w:r w:rsidRPr="00ED70C5">
        <w:t>Employability Skills Information</w:t>
      </w:r>
    </w:p>
    <w:tbl>
      <w:tblPr>
        <w:tblW w:w="9640" w:type="dxa"/>
        <w:tblLayout w:type="fixed"/>
        <w:tblCellMar>
          <w:left w:w="62" w:type="dxa"/>
          <w:right w:w="62" w:type="dxa"/>
        </w:tblCellMar>
        <w:tblLook w:val="0000"/>
      </w:tblPr>
      <w:tblGrid>
        <w:gridCol w:w="2978"/>
        <w:gridCol w:w="6662"/>
      </w:tblGrid>
      <w:tr w:rsidTr="00D86DF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D70C5" w:rsidP="00ED70C5">
            <w:pPr>
              <w:pStyle w:val="BodyText"/>
            </w:pPr>
            <w:r w:rsidRPr="00ED70C5">
              <w:t>This unit contains employability skills.</w:t>
            </w:r>
          </w:p>
        </w:tc>
      </w:tr>
    </w:tbl>
    <w:p w:rsidR="00D86DF6" w:rsidP="00ED70C5">
      <w:pPr>
        <w:pStyle w:val="BodyText"/>
      </w:pPr>
    </w:p>
    <w:p w:rsidR="00D86DF6" w:rsidP="00ED70C5">
      <w:pPr>
        <w:pStyle w:val="BodyText"/>
      </w:pPr>
    </w:p>
    <w:p w:rsidR="00000000" w:rsidRPr="00ED70C5" w:rsidP="00ED70C5">
      <w:pPr>
        <w:pStyle w:val="Heading1"/>
      </w:pPr>
      <w:bookmarkStart w:id="7" w:name="O_292342"/>
      <w:bookmarkEnd w:id="7"/>
      <w:r w:rsidRPr="00ED70C5">
        <w:t>Elements and Performance Criteria Pre-Content</w:t>
      </w:r>
    </w:p>
    <w:tbl>
      <w:tblPr>
        <w:tblW w:w="9640" w:type="dxa"/>
        <w:tblLayout w:type="fixed"/>
        <w:tblCellMar>
          <w:left w:w="62" w:type="dxa"/>
          <w:right w:w="62" w:type="dxa"/>
        </w:tblCellMar>
        <w:tblLook w:val="0000"/>
      </w:tblPr>
      <w:tblGrid>
        <w:gridCol w:w="2978"/>
        <w:gridCol w:w="6662"/>
      </w:tblGrid>
      <w:tr w:rsidTr="00D86D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D70C5" w:rsidP="00ED70C5">
            <w:pPr>
              <w:pStyle w:val="BodyText"/>
            </w:pPr>
            <w:r w:rsidRPr="00ED70C5">
              <w:t>Performance criteria describe the required performance needed to demonstrate achievement of the element. Assessment of performance is to be consistent with the evidence guide.</w:t>
            </w:r>
          </w:p>
        </w:tc>
      </w:tr>
    </w:tbl>
    <w:p w:rsidR="00000000" w:rsidRPr="00ED70C5" w:rsidP="00ED70C5">
      <w:pPr>
        <w:pStyle w:val="BodyText"/>
      </w:pPr>
    </w:p>
    <w:p w:rsidR="00000000" w:rsidRPr="00ED70C5" w:rsidP="00ED70C5">
      <w:pPr>
        <w:pStyle w:val="AllowPageBreak"/>
      </w:pPr>
    </w:p>
    <w:p w:rsidR="00000000" w:rsidRPr="00ED70C5" w:rsidP="00ED70C5">
      <w:pPr>
        <w:pStyle w:val="Heading1"/>
      </w:pPr>
      <w:bookmarkStart w:id="8" w:name="O_239010"/>
      <w:bookmarkEnd w:id="8"/>
      <w:r w:rsidRPr="00ED70C5">
        <w:t>Elements and Performance Criteria</w:t>
      </w:r>
    </w:p>
    <w:tbl>
      <w:tblPr>
        <w:tblW w:w="9640" w:type="dxa"/>
        <w:tblLayout w:type="fixed"/>
        <w:tblCellMar>
          <w:left w:w="62" w:type="dxa"/>
          <w:right w:w="62" w:type="dxa"/>
        </w:tblCellMar>
        <w:tblLook w:val="0000"/>
      </w:tblPr>
      <w:tblGrid>
        <w:gridCol w:w="2978"/>
        <w:gridCol w:w="6662"/>
      </w:tblGrid>
      <w:tr w:rsidTr="00D86DF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D70C5" w:rsidP="00ED70C5">
            <w:pPr>
              <w:pStyle w:val="List"/>
            </w:pPr>
            <w:r w:rsidRPr="00ED70C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D70C5">
            <w:pPr>
              <w:pStyle w:val="List"/>
              <w:rPr>
                <w:lang w:val="en-NZ"/>
              </w:rPr>
            </w:pPr>
            <w:r w:rsidRPr="00ED70C5">
              <w:rPr>
                <w:rStyle w:val="SpecialBold"/>
              </w:rPr>
              <w:t>PERFORMANCE CRITERI</w:t>
            </w:r>
            <w:r w:rsidRPr="00ED70C5">
              <w:rPr>
                <w:rStyle w:val="SpecialBold"/>
              </w:rPr>
              <w:t>A</w:t>
            </w:r>
          </w:p>
        </w:tc>
      </w:tr>
      <w:tr w:rsidTr="00D86D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D70C5">
            <w:pPr>
              <w:pStyle w:val="List"/>
              <w:rPr>
                <w:lang w:val="en-NZ"/>
              </w:rPr>
            </w:pPr>
            <w:r w:rsidRPr="00ED70C5">
              <w:rPr>
                <w:rStyle w:val="SpecialBold"/>
              </w:rPr>
              <w:t>1</w:t>
            </w:r>
            <w:r w:rsidRPr="00ED70C5">
              <w:tab/>
            </w:r>
            <w:r w:rsidRPr="00ED70C5">
              <w:rPr>
                <w:rStyle w:val="SpecialBold"/>
              </w:rPr>
              <w:t>Determine transport requirements</w:t>
            </w:r>
          </w:p>
        </w:tc>
        <w:tc>
          <w:tcPr>
            <w:tcW w:w="6662" w:type="dxa"/>
            <w:tcBorders>
              <w:top w:val="nil"/>
              <w:left w:val="nil"/>
              <w:bottom w:val="nil"/>
              <w:right w:val="nil"/>
            </w:tcBorders>
            <w:tcMar>
              <w:top w:w="0" w:type="dxa"/>
              <w:left w:w="62" w:type="dxa"/>
              <w:bottom w:w="0" w:type="dxa"/>
              <w:right w:w="62" w:type="dxa"/>
            </w:tcMar>
          </w:tcPr>
          <w:p w:rsidR="00000000" w:rsidRPr="00ED70C5" w:rsidP="00ED70C5">
            <w:pPr>
              <w:pStyle w:val="List"/>
            </w:pPr>
            <w:r w:rsidRPr="00ED70C5">
              <w:t>1.1</w:t>
            </w:r>
            <w:r w:rsidRPr="00ED70C5">
              <w:tab/>
              <w:t>Organisational transport operations arrangements are accessed</w:t>
            </w:r>
          </w:p>
          <w:p w:rsidR="00000000" w:rsidRPr="00ED70C5" w:rsidP="00ED70C5">
            <w:pPr>
              <w:pStyle w:val="List"/>
            </w:pPr>
            <w:r w:rsidRPr="00ED70C5">
              <w:t>1.2</w:t>
            </w:r>
            <w:r w:rsidRPr="00ED70C5">
              <w:tab/>
              <w:t>Benefits and limitations of the organisations transportation modes are identified</w:t>
            </w:r>
          </w:p>
          <w:p w:rsidR="00000000" w:rsidRPr="00ED70C5" w:rsidP="00ED70C5">
            <w:pPr>
              <w:pStyle w:val="List"/>
            </w:pPr>
            <w:r w:rsidRPr="00ED70C5">
              <w:t>1.3</w:t>
            </w:r>
            <w:r w:rsidRPr="00ED70C5">
              <w:tab/>
            </w:r>
            <w:r w:rsidRPr="00ED70C5">
              <w:t>The extent of in-house and outsourced transportation methods are confirmed</w:t>
            </w:r>
          </w:p>
          <w:p w:rsidR="00000000" w:rsidRPr="00ED70C5" w:rsidP="00ED70C5">
            <w:pPr>
              <w:pStyle w:val="List"/>
            </w:pPr>
            <w:r w:rsidRPr="00ED70C5">
              <w:t>1.4</w:t>
            </w:r>
            <w:r w:rsidRPr="00ED70C5">
              <w:tab/>
              <w:t>Cost benefits and customer service level between in-house and outsourced transportation methods are evaluated</w:t>
            </w:r>
          </w:p>
          <w:p w:rsidR="00000000" w:rsidP="00ED70C5">
            <w:pPr>
              <w:pStyle w:val="List"/>
              <w:rPr>
                <w:lang w:val="en-NZ"/>
              </w:rPr>
            </w:pPr>
            <w:r w:rsidRPr="00ED70C5">
              <w:t>1.5</w:t>
            </w:r>
            <w:r w:rsidRPr="00ED70C5">
              <w:tab/>
              <w:t>Applicable legislative requirements are identified</w:t>
            </w:r>
          </w:p>
        </w:tc>
      </w:tr>
      <w:tr w:rsidTr="00D86D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D70C5">
            <w:pPr>
              <w:pStyle w:val="List"/>
              <w:rPr>
                <w:lang w:val="en-NZ"/>
              </w:rPr>
            </w:pPr>
            <w:r w:rsidRPr="00ED70C5">
              <w:rPr>
                <w:rStyle w:val="SpecialBold"/>
              </w:rPr>
              <w:t>2</w:t>
            </w:r>
            <w:r w:rsidRPr="00ED70C5">
              <w:tab/>
            </w:r>
            <w:r w:rsidRPr="00ED70C5">
              <w:rPr>
                <w:rStyle w:val="SpecialBold"/>
              </w:rPr>
              <w:t>Monitor u</w:t>
            </w:r>
            <w:r w:rsidRPr="00ED70C5">
              <w:rPr>
                <w:rStyle w:val="SpecialBold"/>
              </w:rPr>
              <w:t>nit loads and load building</w:t>
            </w:r>
          </w:p>
        </w:tc>
        <w:tc>
          <w:tcPr>
            <w:tcW w:w="6662" w:type="dxa"/>
            <w:tcBorders>
              <w:top w:val="nil"/>
              <w:left w:val="nil"/>
              <w:bottom w:val="nil"/>
              <w:right w:val="nil"/>
            </w:tcBorders>
            <w:tcMar>
              <w:top w:w="0" w:type="dxa"/>
              <w:left w:w="62" w:type="dxa"/>
              <w:bottom w:w="0" w:type="dxa"/>
              <w:right w:w="62" w:type="dxa"/>
            </w:tcMar>
          </w:tcPr>
          <w:p w:rsidR="00000000" w:rsidRPr="00ED70C5" w:rsidP="00ED70C5">
            <w:pPr>
              <w:pStyle w:val="List"/>
            </w:pPr>
            <w:r w:rsidRPr="00ED70C5">
              <w:t>2.1</w:t>
            </w:r>
            <w:r w:rsidRPr="00ED70C5">
              <w:tab/>
              <w:t>Advantages and limitations of the available transport equipment and unit loads are determined</w:t>
            </w:r>
          </w:p>
          <w:p w:rsidR="00000000" w:rsidRPr="00ED70C5" w:rsidP="00ED70C5">
            <w:pPr>
              <w:pStyle w:val="List"/>
            </w:pPr>
            <w:r w:rsidRPr="00ED70C5">
              <w:t>2.2</w:t>
            </w:r>
            <w:r w:rsidRPr="00ED70C5">
              <w:tab/>
              <w:t>Transport mode options are analysed to determine organisational load application, efficiency and effectiveness</w:t>
            </w:r>
          </w:p>
          <w:p w:rsidR="00000000" w:rsidRPr="00ED70C5" w:rsidP="00ED70C5">
            <w:pPr>
              <w:pStyle w:val="List"/>
            </w:pPr>
            <w:r w:rsidRPr="00ED70C5">
              <w:t>2.3</w:t>
            </w:r>
            <w:r w:rsidRPr="00ED70C5">
              <w:tab/>
              <w:t xml:space="preserve">Unit loads </w:t>
            </w:r>
            <w:r w:rsidRPr="00ED70C5">
              <w:t>and load building are monitored for compliance with legislative requirements and organisational policies and procedures</w:t>
            </w:r>
          </w:p>
          <w:p w:rsidR="00000000" w:rsidP="00ED70C5">
            <w:pPr>
              <w:pStyle w:val="List"/>
              <w:rPr>
                <w:lang w:val="en-NZ"/>
              </w:rPr>
            </w:pPr>
            <w:r w:rsidRPr="00ED70C5">
              <w:t>2.4</w:t>
            </w:r>
            <w:r w:rsidRPr="00ED70C5">
              <w:tab/>
              <w:t>Issues or non-compliant practices are reported, according to organisational policies and procedures</w:t>
            </w:r>
          </w:p>
        </w:tc>
      </w:tr>
      <w:tr w:rsidTr="00D86D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D70C5">
            <w:pPr>
              <w:pStyle w:val="List"/>
              <w:rPr>
                <w:lang w:val="en-NZ"/>
              </w:rPr>
            </w:pPr>
            <w:r w:rsidRPr="00ED70C5">
              <w:rPr>
                <w:rStyle w:val="SpecialBold"/>
              </w:rPr>
              <w:t>3</w:t>
            </w:r>
            <w:r w:rsidRPr="00ED70C5">
              <w:tab/>
            </w:r>
            <w:r w:rsidRPr="00ED70C5">
              <w:rPr>
                <w:rStyle w:val="SpecialBold"/>
              </w:rPr>
              <w:t>Examine transport security re</w:t>
            </w:r>
            <w:r w:rsidRPr="00ED70C5">
              <w:rPr>
                <w:rStyle w:val="SpecialBold"/>
              </w:rPr>
              <w:t>quirements</w:t>
            </w:r>
          </w:p>
        </w:tc>
        <w:tc>
          <w:tcPr>
            <w:tcW w:w="6662" w:type="dxa"/>
            <w:tcBorders>
              <w:top w:val="nil"/>
              <w:left w:val="nil"/>
              <w:bottom w:val="nil"/>
              <w:right w:val="nil"/>
            </w:tcBorders>
            <w:tcMar>
              <w:top w:w="0" w:type="dxa"/>
              <w:left w:w="62" w:type="dxa"/>
              <w:bottom w:w="0" w:type="dxa"/>
              <w:right w:w="62" w:type="dxa"/>
            </w:tcMar>
          </w:tcPr>
          <w:p w:rsidR="00000000" w:rsidRPr="00ED70C5" w:rsidP="00ED70C5">
            <w:pPr>
              <w:pStyle w:val="List"/>
            </w:pPr>
            <w:r w:rsidRPr="00ED70C5">
              <w:t>3.1</w:t>
            </w:r>
            <w:r w:rsidRPr="00ED70C5">
              <w:tab/>
              <w:t>Transport security risks are identified</w:t>
            </w:r>
          </w:p>
          <w:p w:rsidR="00000000" w:rsidRPr="00ED70C5" w:rsidP="00ED70C5">
            <w:pPr>
              <w:pStyle w:val="List"/>
            </w:pPr>
            <w:r w:rsidRPr="00ED70C5">
              <w:t>3.2</w:t>
            </w:r>
            <w:r w:rsidRPr="00ED70C5">
              <w:tab/>
              <w:t>Security contingencies are determined for use within the transport sector</w:t>
            </w:r>
          </w:p>
          <w:p w:rsidR="00000000" w:rsidP="00ED70C5">
            <w:pPr>
              <w:pStyle w:val="List"/>
              <w:rPr>
                <w:lang w:val="en-NZ"/>
              </w:rPr>
            </w:pPr>
            <w:r w:rsidRPr="00ED70C5">
              <w:t>3.3</w:t>
            </w:r>
            <w:r w:rsidRPr="00ED70C5">
              <w:tab/>
            </w:r>
            <w:r w:rsidRPr="00ED70C5">
              <w:t>Security breaches are reported and recommendations are made regarding security improvements, in accordance with organisational policies and procedures</w:t>
            </w:r>
          </w:p>
        </w:tc>
      </w:tr>
      <w:tr w:rsidTr="00D86D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D70C5">
            <w:pPr>
              <w:pStyle w:val="List"/>
              <w:rPr>
                <w:lang w:val="en-NZ"/>
              </w:rPr>
            </w:pPr>
            <w:r w:rsidRPr="00ED70C5">
              <w:rPr>
                <w:rStyle w:val="SpecialBold"/>
              </w:rPr>
              <w:t>4</w:t>
            </w:r>
            <w:r w:rsidRPr="00ED70C5">
              <w:tab/>
            </w:r>
            <w:r w:rsidRPr="00ED70C5">
              <w:rPr>
                <w:rStyle w:val="SpecialBold"/>
              </w:rPr>
              <w:t>Analyse transport costing</w:t>
            </w:r>
          </w:p>
        </w:tc>
        <w:tc>
          <w:tcPr>
            <w:tcW w:w="6662" w:type="dxa"/>
            <w:tcBorders>
              <w:top w:val="nil"/>
              <w:left w:val="nil"/>
              <w:bottom w:val="nil"/>
              <w:right w:val="nil"/>
            </w:tcBorders>
            <w:tcMar>
              <w:top w:w="0" w:type="dxa"/>
              <w:left w:w="62" w:type="dxa"/>
              <w:bottom w:w="0" w:type="dxa"/>
              <w:right w:w="62" w:type="dxa"/>
            </w:tcMar>
          </w:tcPr>
          <w:p w:rsidR="00000000" w:rsidRPr="00ED70C5" w:rsidP="00ED70C5">
            <w:pPr>
              <w:pStyle w:val="List"/>
            </w:pPr>
            <w:r w:rsidRPr="00ED70C5">
              <w:t>4.1</w:t>
            </w:r>
            <w:r w:rsidRPr="00ED70C5">
              <w:tab/>
              <w:t>Statistical operational data is identified, to measure transport effecti</w:t>
            </w:r>
            <w:r w:rsidRPr="00ED70C5">
              <w:t>veness</w:t>
            </w:r>
          </w:p>
          <w:p w:rsidR="00000000" w:rsidRPr="00ED70C5" w:rsidP="00ED70C5">
            <w:pPr>
              <w:pStyle w:val="List"/>
            </w:pPr>
            <w:r w:rsidRPr="00ED70C5">
              <w:t>4.2</w:t>
            </w:r>
            <w:r w:rsidRPr="00ED70C5">
              <w:tab/>
              <w:t>Organisations data capturing procedure is used in the management of transport, route planning and load building</w:t>
            </w:r>
          </w:p>
          <w:p w:rsidR="00000000" w:rsidRPr="00ED70C5" w:rsidP="00ED70C5">
            <w:pPr>
              <w:pStyle w:val="List"/>
            </w:pPr>
            <w:r w:rsidRPr="00ED70C5">
              <w:t>4.3</w:t>
            </w:r>
            <w:r w:rsidRPr="00ED70C5">
              <w:tab/>
              <w:t>Transport cost is analysed according to the organisational cost considerations</w:t>
            </w:r>
          </w:p>
          <w:p w:rsidR="00000000" w:rsidRPr="00ED70C5" w:rsidP="00ED70C5">
            <w:pPr>
              <w:pStyle w:val="List"/>
            </w:pPr>
            <w:r w:rsidRPr="00ED70C5">
              <w:t>4.4</w:t>
            </w:r>
            <w:r w:rsidRPr="00ED70C5">
              <w:tab/>
              <w:t>Transport performance effectiveness is measure</w:t>
            </w:r>
            <w:r w:rsidRPr="00ED70C5">
              <w:t>d</w:t>
            </w:r>
          </w:p>
          <w:p w:rsidR="00000000" w:rsidRPr="00ED70C5" w:rsidP="00ED70C5">
            <w:pPr>
              <w:pStyle w:val="List"/>
            </w:pPr>
            <w:r w:rsidRPr="00ED70C5">
              <w:t>4.5</w:t>
            </w:r>
            <w:r w:rsidRPr="00ED70C5">
              <w:tab/>
              <w:t>Transport cost elements, pricing and operating costs are evaluated, and recommendations are made regarding cost efficiencies where possible</w:t>
            </w:r>
          </w:p>
          <w:p w:rsidR="00000000" w:rsidRPr="00ED70C5" w:rsidP="00ED70C5">
            <w:pPr>
              <w:pStyle w:val="List"/>
            </w:pPr>
            <w:r w:rsidRPr="00ED70C5">
              <w:t>4.6</w:t>
            </w:r>
            <w:r w:rsidRPr="00ED70C5">
              <w:tab/>
              <w:t>Findings are reported according to organisational policies and procedures</w:t>
            </w:r>
          </w:p>
        </w:tc>
      </w:tr>
    </w:tbl>
    <w:p w:rsidR="00D86DF6" w:rsidP="00ED70C5">
      <w:pPr>
        <w:pStyle w:val="BodyText"/>
      </w:pPr>
    </w:p>
    <w:p w:rsidR="00D86DF6" w:rsidP="00ED70C5">
      <w:pPr>
        <w:pStyle w:val="BodyText"/>
      </w:pPr>
    </w:p>
    <w:p w:rsidR="00000000" w:rsidRPr="00ED70C5" w:rsidP="00ED70C5">
      <w:pPr>
        <w:pStyle w:val="Heading1"/>
      </w:pPr>
      <w:bookmarkStart w:id="9" w:name="O_262801"/>
      <w:bookmarkEnd w:id="9"/>
      <w:r w:rsidRPr="00ED70C5">
        <w:t>Required S</w:t>
      </w:r>
      <w:r w:rsidRPr="00ED70C5">
        <w:t>kills and Knowledge</w:t>
      </w:r>
    </w:p>
    <w:tbl>
      <w:tblPr>
        <w:tblW w:w="9640" w:type="dxa"/>
        <w:tblLayout w:type="fixed"/>
        <w:tblCellMar>
          <w:left w:w="62" w:type="dxa"/>
          <w:right w:w="62" w:type="dxa"/>
        </w:tblCellMar>
        <w:tblLook w:val="0000"/>
      </w:tblPr>
      <w:tblGrid>
        <w:gridCol w:w="9640"/>
      </w:tblGrid>
      <w:tr w:rsidTr="00D86DF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rPr>
                <w:rStyle w:val="SpecialBold"/>
              </w:rPr>
              <w:t>REQUIRED KNOWLEDGE AND SKILLS</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t>This describes the essential knowledge and skills and their level required for this unit.</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rPr>
                <w:rStyle w:val="SpecialBold"/>
              </w:rPr>
              <w:t>Required knowledge</w:t>
            </w:r>
            <w:r w:rsidRPr="00ED70C5">
              <w:t>:</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 xml:space="preserve">Relevant sections of national and state or territory legislation, regulatory requirements, </w:t>
            </w:r>
            <w:r w:rsidRPr="00ED70C5">
              <w:t>and codes of practice/or guidelines as they relate to the level and type of transport operations</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Relevant OH&amp;S and environmental procedures and guidelines</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Organisational policies and procedures, including those pertaining to effective monitoring and re</w:t>
            </w:r>
            <w:r w:rsidRPr="00ED70C5">
              <w:t>porting of transport operations</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Principles of load building, to enable effective and efficient movement of load</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D70C5" w:rsidP="00ED70C5">
            <w:pPr>
              <w:pStyle w:val="ListBullet"/>
            </w:pPr>
            <w:r w:rsidRPr="00ED70C5">
              <w:t>Software applications commonly used to assist in transport, route planning and load building to maximise cost efficiency</w:t>
            </w:r>
          </w:p>
        </w:tc>
      </w:tr>
    </w:tbl>
    <w:p w:rsidR="00000000" w:rsidRPr="00ED70C5" w:rsidP="00ED70C5">
      <w:pPr>
        <w:pStyle w:val="BodyText"/>
      </w:pPr>
    </w:p>
    <w:tbl>
      <w:tblPr>
        <w:tblW w:w="9640" w:type="dxa"/>
        <w:tblLayout w:type="fixed"/>
        <w:tblCellMar>
          <w:left w:w="62" w:type="dxa"/>
          <w:right w:w="62" w:type="dxa"/>
        </w:tblCellMar>
        <w:tblLook w:val="0000"/>
      </w:tblPr>
      <w:tblGrid>
        <w:gridCol w:w="9640"/>
      </w:tblGrid>
      <w:tr w:rsidTr="00D86DF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rPr>
                <w:rStyle w:val="SpecialBold"/>
              </w:rPr>
              <w:t>Required skills</w:t>
            </w:r>
            <w:r w:rsidRPr="00ED70C5">
              <w:t>:</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Communicate effectively with others when monitoring transport operations</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Report security breaches</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Convey non-compliance issues</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Advise recommendations regarding possible improvements to transport operations</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Read and interpret relevant work requirements, policies, procedures and other information relevant to monitoring transport operations</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Complete documentation and provide reports related to monitoring transport operations</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Use numeracy skills to analyse t</w:t>
            </w:r>
            <w:r w:rsidRPr="00ED70C5">
              <w:t>ransport cost elements, pricing and operating costs</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Work collaboratively with others, and adapt appropriately to cultural differences in the workplace</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Promptly report and/or rectify any identified problems that may occur when monitoring transport opera</w:t>
            </w:r>
            <w:r w:rsidRPr="00ED70C5">
              <w:t>tions in accordance with applicable regulatory requirements and workplace procedures</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Monitor and anticipate operational problems, hazards and risks, including security breaches, and take appropriate action</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Modify activities dependent on differing workplace contingencies, situations and environments</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Monitor work activities in terms of planned schedule</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Interpret and apply relevant regulations and instructions</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Adapt own competence in response to any chang</w:t>
            </w:r>
            <w:r w:rsidRPr="00ED70C5">
              <w:t>es in activities when monitoring transport operations</w:t>
            </w:r>
          </w:p>
        </w:tc>
      </w:tr>
      <w:tr w:rsidTr="00D86D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D70C5" w:rsidP="00ED70C5">
            <w:pPr>
              <w:pStyle w:val="ListBullet"/>
            </w:pPr>
            <w:r w:rsidRPr="00ED70C5">
              <w:t>Identify and correctly use equipment required when monitoring transport operations</w:t>
            </w:r>
          </w:p>
        </w:tc>
      </w:tr>
    </w:tbl>
    <w:p w:rsidR="00D86DF6" w:rsidP="00ED70C5">
      <w:pPr>
        <w:pStyle w:val="BodyText"/>
      </w:pPr>
    </w:p>
    <w:p w:rsidR="00D86DF6" w:rsidP="00ED70C5">
      <w:pPr>
        <w:pStyle w:val="BodyText"/>
      </w:pPr>
    </w:p>
    <w:p w:rsidR="00000000" w:rsidRPr="00ED70C5" w:rsidP="00ED70C5">
      <w:pPr>
        <w:pStyle w:val="Heading1"/>
      </w:pPr>
      <w:bookmarkStart w:id="10" w:name="O_246994"/>
      <w:bookmarkEnd w:id="10"/>
      <w:r w:rsidRPr="00ED70C5">
        <w:t>Evidence Guide</w:t>
      </w:r>
    </w:p>
    <w:tbl>
      <w:tblPr>
        <w:tblW w:w="9499" w:type="dxa"/>
        <w:tblLayout w:type="fixed"/>
        <w:tblCellMar>
          <w:left w:w="62" w:type="dxa"/>
          <w:right w:w="62" w:type="dxa"/>
        </w:tblCellMar>
        <w:tblLook w:val="0000"/>
      </w:tblPr>
      <w:tblGrid>
        <w:gridCol w:w="3524"/>
        <w:gridCol w:w="5975"/>
      </w:tblGrid>
      <w:tr w:rsidTr="00D86DF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rPr>
                <w:rStyle w:val="SpecialBold"/>
              </w:rPr>
              <w:t>EVIDENCE GUIDE</w:t>
            </w:r>
          </w:p>
        </w:tc>
      </w:tr>
      <w:tr w:rsidTr="00D86DF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t>The evidence guide provides advice on assessment and must be read in conjunction with the performance criteria, required knowledge and skills, the range statement and the assessment guidelines for this Training Package.</w:t>
            </w:r>
          </w:p>
        </w:tc>
      </w:tr>
      <w:tr w:rsidTr="00D86DF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rPr>
                <w:rStyle w:val="SpecialBold"/>
              </w:rPr>
              <w:t>Critical aspects for assessment an</w:t>
            </w:r>
            <w:r w:rsidRPr="00ED70C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P="00ED70C5">
            <w:pPr>
              <w:pStyle w:val="ListBullet"/>
              <w:rPr>
                <w:lang w:val="en-NZ"/>
              </w:rPr>
            </w:pPr>
            <w:r w:rsidRPr="00ED70C5">
              <w:t>The evidence required to demonstrate competency in this unit must be relevant to and satisfy all of the requirements of the elements and performance criteria of this unit</w:t>
            </w:r>
          </w:p>
        </w:tc>
      </w:tr>
      <w:tr w:rsidTr="00D86DF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D70C5" w:rsidP="00ED70C5">
            <w:pPr>
              <w:pStyle w:val="ListBullet"/>
            </w:pPr>
            <w:r w:rsidRPr="00ED70C5">
              <w:t>Competency should be demonstrated on at least one occasion covering the scope of the unit of competence</w:t>
            </w:r>
          </w:p>
          <w:p w:rsidR="00000000" w:rsidRPr="00ED70C5" w:rsidP="00ED70C5">
            <w:pPr>
              <w:pStyle w:val="ListBullet"/>
            </w:pPr>
            <w:r w:rsidRPr="00ED70C5">
              <w:t>Resources for assessment include:</w:t>
            </w:r>
          </w:p>
          <w:p w:rsidR="00000000" w:rsidRPr="00ED70C5" w:rsidP="00ED70C5">
            <w:pPr>
              <w:pStyle w:val="ListBullet2"/>
            </w:pPr>
            <w:r w:rsidRPr="00ED70C5">
              <w:t xml:space="preserve">a range of relevant exercises, case studies and/or other simulated </w:t>
            </w:r>
            <w:r w:rsidRPr="00ED70C5">
              <w:t>practical and knowledge assessment, and/or</w:t>
            </w:r>
          </w:p>
          <w:p w:rsidR="00000000" w:rsidRPr="00ED70C5" w:rsidP="00ED70C5">
            <w:pPr>
              <w:pStyle w:val="ListBullet2"/>
            </w:pPr>
            <w:r w:rsidRPr="00ED70C5">
              <w:t>access to an appropriate range of relevant operational situations in the workplace</w:t>
            </w:r>
          </w:p>
          <w:p w:rsidR="00000000" w:rsidRPr="00ED70C5" w:rsidP="00ED70C5">
            <w:pPr>
              <w:pStyle w:val="ListBullet"/>
            </w:pPr>
            <w:r w:rsidRPr="00ED70C5">
              <w:t>In both real and simulated environments, access is required to:</w:t>
            </w:r>
          </w:p>
          <w:p w:rsidR="00000000" w:rsidRPr="00ED70C5" w:rsidP="00ED70C5">
            <w:pPr>
              <w:pStyle w:val="ListBullet2"/>
            </w:pPr>
            <w:r w:rsidRPr="00ED70C5">
              <w:t>relevant and appropriate materials and equipment, and</w:t>
            </w:r>
          </w:p>
          <w:p w:rsidR="00000000" w:rsidP="00ED70C5">
            <w:pPr>
              <w:pStyle w:val="ListBullet2"/>
              <w:rPr>
                <w:lang w:val="en-NZ"/>
              </w:rPr>
            </w:pPr>
            <w:r w:rsidRPr="00ED70C5">
              <w:t>applicable documentation including workplace procedures, regulations, codes of practice and operation manuals</w:t>
            </w:r>
          </w:p>
        </w:tc>
      </w:tr>
      <w:tr w:rsidTr="00D86DF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D70C5" w:rsidP="00ED70C5">
            <w:pPr>
              <w:pStyle w:val="ListBullet"/>
            </w:pPr>
            <w:r w:rsidRPr="00ED70C5">
              <w:t>Assessment of this unit must be undertaken by a registered training organisation</w:t>
            </w:r>
          </w:p>
          <w:p w:rsidR="00000000" w:rsidRPr="00ED70C5" w:rsidP="00ED70C5">
            <w:pPr>
              <w:pStyle w:val="ListBullet"/>
            </w:pPr>
            <w:r w:rsidRPr="00ED70C5">
              <w:t>As a minimum, assessment of knowledge must be conducted through appropriate written/oral tests</w:t>
            </w:r>
          </w:p>
          <w:p w:rsidR="00000000" w:rsidRPr="00ED70C5" w:rsidP="00ED70C5">
            <w:pPr>
              <w:pStyle w:val="ListBullet"/>
            </w:pPr>
            <w:r w:rsidRPr="00ED70C5">
              <w:t>Practical assessment must occur:</w:t>
            </w:r>
          </w:p>
          <w:p w:rsidR="00000000" w:rsidRPr="00ED70C5" w:rsidP="00ED70C5">
            <w:pPr>
              <w:pStyle w:val="ListBullet2"/>
            </w:pPr>
            <w:r w:rsidRPr="00ED70C5">
              <w:t>through activities in an appropriately simulated environment, and/or</w:t>
            </w:r>
          </w:p>
          <w:p w:rsidR="00000000" w:rsidRPr="00ED70C5" w:rsidP="00ED70C5">
            <w:pPr>
              <w:pStyle w:val="ListBullet2"/>
            </w:pPr>
            <w:r w:rsidRPr="00ED70C5">
              <w:t>in an appropriate range of situations in the workplace</w:t>
            </w:r>
          </w:p>
        </w:tc>
      </w:tr>
    </w:tbl>
    <w:p w:rsidR="00D86DF6" w:rsidP="00ED70C5">
      <w:pPr>
        <w:pStyle w:val="BodyText"/>
      </w:pPr>
    </w:p>
    <w:p w:rsidR="00D86DF6" w:rsidP="00ED70C5">
      <w:pPr>
        <w:pStyle w:val="BodyText"/>
      </w:pPr>
    </w:p>
    <w:p w:rsidR="00000000" w:rsidRPr="00ED70C5" w:rsidP="00ED70C5">
      <w:pPr>
        <w:pStyle w:val="Heading1"/>
      </w:pPr>
      <w:bookmarkStart w:id="11" w:name="O_254977"/>
      <w:bookmarkEnd w:id="11"/>
      <w:r w:rsidRPr="00ED70C5">
        <w:t>Range Statement</w:t>
      </w:r>
    </w:p>
    <w:tbl>
      <w:tblPr>
        <w:tblW w:w="9640" w:type="dxa"/>
        <w:tblLayout w:type="fixed"/>
        <w:tblCellMar>
          <w:left w:w="62" w:type="dxa"/>
          <w:right w:w="62" w:type="dxa"/>
        </w:tblCellMar>
        <w:tblLook w:val="0000"/>
      </w:tblPr>
      <w:tblGrid>
        <w:gridCol w:w="3486"/>
        <w:gridCol w:w="6154"/>
      </w:tblGrid>
      <w:tr w:rsidTr="00D86DF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rPr>
                <w:rStyle w:val="SpecialBold"/>
              </w:rPr>
              <w:t>RANGE STATEMENT</w:t>
            </w:r>
            <w:r w:rsidRPr="00ED70C5">
              <w:t xml:space="preserve"> </w:t>
            </w:r>
          </w:p>
        </w:tc>
      </w:tr>
      <w:tr w:rsidTr="00D86DF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t>The range statement relates to the unit of competency as a whole. It allows for different work environments and situations that may affect performance.</w:t>
            </w:r>
          </w:p>
        </w:tc>
      </w:tr>
      <w:tr w:rsidTr="00D86D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t>Transport operations may include:</w:t>
            </w:r>
          </w:p>
        </w:tc>
        <w:tc>
          <w:tcPr>
            <w:tcW w:w="6154" w:type="dxa"/>
            <w:tcBorders>
              <w:top w:val="nil"/>
              <w:left w:val="nil"/>
              <w:bottom w:val="nil"/>
              <w:right w:val="nil"/>
            </w:tcBorders>
            <w:tcMar>
              <w:top w:w="0" w:type="dxa"/>
              <w:left w:w="62" w:type="dxa"/>
              <w:bottom w:w="0" w:type="dxa"/>
              <w:right w:w="62" w:type="dxa"/>
            </w:tcMar>
          </w:tcPr>
          <w:p w:rsidR="00000000" w:rsidRPr="00ED70C5" w:rsidP="00ED70C5">
            <w:pPr>
              <w:pStyle w:val="ListBullet"/>
            </w:pPr>
            <w:r w:rsidRPr="00ED70C5">
              <w:t>transport mode</w:t>
            </w:r>
            <w:r w:rsidRPr="00ED70C5">
              <w:t>s:</w:t>
            </w:r>
          </w:p>
          <w:p w:rsidR="00000000" w:rsidRPr="00ED70C5" w:rsidP="00ED70C5">
            <w:pPr>
              <w:pStyle w:val="ListBullet2"/>
            </w:pPr>
            <w:r w:rsidRPr="00ED70C5">
              <w:t>road/rail/air/sea</w:t>
            </w:r>
          </w:p>
          <w:p w:rsidR="00000000" w:rsidRPr="00ED70C5" w:rsidP="00ED70C5">
            <w:pPr>
              <w:pStyle w:val="ListBullet2"/>
            </w:pPr>
            <w:r w:rsidRPr="00ED70C5">
              <w:t>national/international</w:t>
            </w:r>
          </w:p>
          <w:p w:rsidR="00000000" w:rsidRPr="00ED70C5" w:rsidP="00ED70C5">
            <w:pPr>
              <w:pStyle w:val="ListBullet"/>
            </w:pPr>
            <w:r w:rsidRPr="00ED70C5">
              <w:t>transportation methods and strategies:</w:t>
            </w:r>
          </w:p>
          <w:p w:rsidR="00000000" w:rsidRPr="00ED70C5" w:rsidP="00ED70C5">
            <w:pPr>
              <w:pStyle w:val="ListBullet2"/>
            </w:pPr>
            <w:r w:rsidRPr="00ED70C5">
              <w:t>combination</w:t>
            </w:r>
          </w:p>
          <w:p w:rsidR="00000000" w:rsidRPr="00ED70C5" w:rsidP="00ED70C5">
            <w:pPr>
              <w:pStyle w:val="ListBullet2"/>
            </w:pPr>
            <w:r w:rsidRPr="00ED70C5">
              <w:t>full loads</w:t>
            </w:r>
          </w:p>
          <w:p w:rsidR="00000000" w:rsidRPr="00ED70C5" w:rsidP="00ED70C5">
            <w:pPr>
              <w:pStyle w:val="ListBullet2"/>
            </w:pPr>
            <w:r w:rsidRPr="00ED70C5">
              <w:t>partials</w:t>
            </w:r>
          </w:p>
          <w:p w:rsidR="00000000" w:rsidRPr="00ED70C5" w:rsidP="00ED70C5">
            <w:pPr>
              <w:pStyle w:val="ListBullet"/>
            </w:pPr>
            <w:r w:rsidRPr="00ED70C5">
              <w:t>transport systems and infrastructure:</w:t>
            </w:r>
          </w:p>
          <w:p w:rsidR="00000000" w:rsidRPr="00ED70C5" w:rsidP="00ED70C5">
            <w:pPr>
              <w:pStyle w:val="ListBullet2"/>
            </w:pPr>
            <w:r w:rsidRPr="00ED70C5">
              <w:t>hub</w:t>
            </w:r>
          </w:p>
          <w:p w:rsidR="00000000" w:rsidRPr="00ED70C5" w:rsidP="00ED70C5">
            <w:pPr>
              <w:pStyle w:val="ListBullet2"/>
            </w:pPr>
            <w:r w:rsidRPr="00ED70C5">
              <w:t>spoke</w:t>
            </w:r>
          </w:p>
          <w:p w:rsidR="00000000" w:rsidRPr="00ED70C5" w:rsidP="00ED70C5">
            <w:pPr>
              <w:pStyle w:val="ListBullet2"/>
            </w:pPr>
            <w:r w:rsidRPr="00ED70C5">
              <w:t>intermodal</w:t>
            </w:r>
          </w:p>
          <w:p w:rsidR="00000000" w:rsidP="00ED70C5">
            <w:pPr>
              <w:pStyle w:val="ListBullet2"/>
              <w:rPr>
                <w:lang w:val="en-NZ"/>
              </w:rPr>
            </w:pPr>
            <w:r w:rsidRPr="00ED70C5">
              <w:t>ports</w:t>
            </w:r>
          </w:p>
        </w:tc>
      </w:tr>
      <w:tr w:rsidTr="00D86D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ED70C5" w:rsidP="00ED70C5">
            <w:pPr>
              <w:pStyle w:val="ListBullet"/>
            </w:pPr>
            <w:r w:rsidRPr="00ED70C5">
              <w:t>licensing</w:t>
            </w:r>
          </w:p>
          <w:p w:rsidR="00000000" w:rsidRPr="00ED70C5" w:rsidP="00ED70C5">
            <w:pPr>
              <w:pStyle w:val="ListBullet"/>
            </w:pPr>
            <w:r w:rsidRPr="00ED70C5">
              <w:t>OH&amp;S</w:t>
            </w:r>
          </w:p>
          <w:p w:rsidR="00000000" w:rsidRPr="00ED70C5" w:rsidP="00ED70C5">
            <w:pPr>
              <w:pStyle w:val="ListBullet"/>
            </w:pPr>
            <w:r w:rsidRPr="00ED70C5">
              <w:t>environmental sustainability</w:t>
            </w:r>
          </w:p>
          <w:p w:rsidR="00000000" w:rsidRPr="00ED70C5" w:rsidP="00ED70C5">
            <w:pPr>
              <w:pStyle w:val="ListBullet"/>
            </w:pPr>
            <w:r w:rsidRPr="00ED70C5">
              <w:t>load limitations</w:t>
            </w:r>
          </w:p>
          <w:p w:rsidR="00000000" w:rsidRPr="00ED70C5" w:rsidP="00ED70C5">
            <w:pPr>
              <w:pStyle w:val="ListBullet"/>
            </w:pPr>
            <w:r w:rsidRPr="00ED70C5">
              <w:t>permits</w:t>
            </w:r>
          </w:p>
          <w:p w:rsidR="00000000" w:rsidRPr="00ED70C5" w:rsidP="00ED70C5">
            <w:pPr>
              <w:pStyle w:val="ListBullet"/>
            </w:pPr>
            <w:r w:rsidRPr="00ED70C5">
              <w:t>transport configuration</w:t>
            </w:r>
          </w:p>
          <w:p w:rsidR="00000000" w:rsidRPr="00ED70C5" w:rsidP="00ED70C5">
            <w:pPr>
              <w:pStyle w:val="ListBullet"/>
            </w:pPr>
            <w:r w:rsidRPr="00ED70C5">
              <w:t>dangerous goods and hazardous substances</w:t>
            </w:r>
          </w:p>
          <w:p w:rsidR="00000000" w:rsidP="00ED70C5">
            <w:pPr>
              <w:pStyle w:val="ListBullet"/>
              <w:rPr>
                <w:lang w:val="en-NZ"/>
              </w:rPr>
            </w:pPr>
            <w:r w:rsidRPr="00ED70C5">
              <w:t>fatigue management</w:t>
            </w:r>
          </w:p>
        </w:tc>
      </w:tr>
      <w:tr w:rsidTr="00D86D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t>Load applications may include:</w:t>
            </w:r>
          </w:p>
        </w:tc>
        <w:tc>
          <w:tcPr>
            <w:tcW w:w="6154" w:type="dxa"/>
            <w:tcBorders>
              <w:top w:val="nil"/>
              <w:left w:val="nil"/>
              <w:bottom w:val="nil"/>
              <w:right w:val="nil"/>
            </w:tcBorders>
            <w:tcMar>
              <w:top w:w="0" w:type="dxa"/>
              <w:left w:w="62" w:type="dxa"/>
              <w:bottom w:w="0" w:type="dxa"/>
              <w:right w:w="62" w:type="dxa"/>
            </w:tcMar>
          </w:tcPr>
          <w:p w:rsidR="00000000" w:rsidRPr="00ED70C5" w:rsidP="00ED70C5">
            <w:pPr>
              <w:pStyle w:val="ListBullet"/>
            </w:pPr>
            <w:r w:rsidRPr="00ED70C5">
              <w:t>handling requirements</w:t>
            </w:r>
          </w:p>
          <w:p w:rsidR="00000000" w:rsidRPr="00ED70C5" w:rsidP="00ED70C5">
            <w:pPr>
              <w:pStyle w:val="ListBullet"/>
            </w:pPr>
            <w:r w:rsidRPr="00ED70C5">
              <w:t>quantities</w:t>
            </w:r>
          </w:p>
          <w:p w:rsidR="00000000" w:rsidRPr="00ED70C5" w:rsidP="00ED70C5">
            <w:pPr>
              <w:pStyle w:val="ListBullet"/>
            </w:pPr>
            <w:r w:rsidRPr="00ED70C5">
              <w:t>hazard management</w:t>
            </w:r>
          </w:p>
          <w:p w:rsidR="00000000" w:rsidP="00ED70C5">
            <w:pPr>
              <w:pStyle w:val="ListBullet"/>
              <w:rPr>
                <w:lang w:val="en-NZ"/>
              </w:rPr>
            </w:pPr>
            <w:r w:rsidRPr="00ED70C5">
              <w:t>safe working load limit (SWL) or (</w:t>
            </w:r>
            <w:r w:rsidRPr="00ED70C5">
              <w:t>SWLL)</w:t>
            </w:r>
          </w:p>
        </w:tc>
      </w:tr>
      <w:tr w:rsidTr="00D86D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t>Organisational policies and procedures may include:</w:t>
            </w:r>
          </w:p>
        </w:tc>
        <w:tc>
          <w:tcPr>
            <w:tcW w:w="6154" w:type="dxa"/>
            <w:tcBorders>
              <w:top w:val="nil"/>
              <w:left w:val="nil"/>
              <w:bottom w:val="nil"/>
              <w:right w:val="nil"/>
            </w:tcBorders>
            <w:tcMar>
              <w:top w:w="0" w:type="dxa"/>
              <w:left w:w="62" w:type="dxa"/>
              <w:bottom w:w="0" w:type="dxa"/>
              <w:right w:w="62" w:type="dxa"/>
            </w:tcMar>
          </w:tcPr>
          <w:p w:rsidR="00000000" w:rsidRPr="00ED70C5" w:rsidP="00ED70C5">
            <w:pPr>
              <w:pStyle w:val="ListBullet"/>
            </w:pPr>
            <w:r w:rsidRPr="00ED70C5">
              <w:t>OH&amp;S</w:t>
            </w:r>
          </w:p>
          <w:p w:rsidR="00000000" w:rsidRPr="00ED70C5" w:rsidP="00ED70C5">
            <w:pPr>
              <w:pStyle w:val="ListBullet"/>
            </w:pPr>
            <w:r w:rsidRPr="00ED70C5">
              <w:t>environmental sustainability</w:t>
            </w:r>
          </w:p>
          <w:p w:rsidR="00000000" w:rsidRPr="00ED70C5" w:rsidP="00ED70C5">
            <w:pPr>
              <w:pStyle w:val="ListBullet"/>
            </w:pPr>
            <w:r w:rsidRPr="00ED70C5">
              <w:t>documentation requirements</w:t>
            </w:r>
          </w:p>
          <w:p w:rsidR="00000000" w:rsidRPr="00ED70C5" w:rsidP="00ED70C5">
            <w:pPr>
              <w:pStyle w:val="ListBullet"/>
            </w:pPr>
            <w:r w:rsidRPr="00ED70C5">
              <w:t>security procedures</w:t>
            </w:r>
          </w:p>
          <w:p w:rsidR="00000000" w:rsidRPr="00ED70C5" w:rsidP="00ED70C5">
            <w:pPr>
              <w:pStyle w:val="ListBullet"/>
            </w:pPr>
            <w:r w:rsidRPr="00ED70C5">
              <w:t>reporting procedures</w:t>
            </w:r>
          </w:p>
          <w:p w:rsidR="00000000" w:rsidRPr="00ED70C5" w:rsidP="00ED70C5">
            <w:pPr>
              <w:pStyle w:val="ListBullet"/>
            </w:pPr>
            <w:r w:rsidRPr="00ED70C5">
              <w:t>business operations/objectives and targets</w:t>
            </w:r>
          </w:p>
          <w:p w:rsidR="00000000" w:rsidP="00ED70C5">
            <w:pPr>
              <w:pStyle w:val="ListBullet"/>
              <w:rPr>
                <w:lang w:val="en-NZ"/>
              </w:rPr>
            </w:pPr>
            <w:r w:rsidRPr="00ED70C5">
              <w:t>customer service standards</w:t>
            </w:r>
          </w:p>
        </w:tc>
      </w:tr>
      <w:tr w:rsidTr="00D86D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t>Transport security risks may include:</w:t>
            </w:r>
          </w:p>
        </w:tc>
        <w:tc>
          <w:tcPr>
            <w:tcW w:w="6154" w:type="dxa"/>
            <w:tcBorders>
              <w:top w:val="nil"/>
              <w:left w:val="nil"/>
              <w:bottom w:val="nil"/>
              <w:right w:val="nil"/>
            </w:tcBorders>
            <w:tcMar>
              <w:top w:w="0" w:type="dxa"/>
              <w:left w:w="62" w:type="dxa"/>
              <w:bottom w:w="0" w:type="dxa"/>
              <w:right w:w="62" w:type="dxa"/>
            </w:tcMar>
          </w:tcPr>
          <w:p w:rsidR="00000000" w:rsidRPr="00ED70C5" w:rsidP="00ED70C5">
            <w:pPr>
              <w:pStyle w:val="ListBullet"/>
            </w:pPr>
            <w:r w:rsidRPr="00ED70C5">
              <w:t>spillage/leakage</w:t>
            </w:r>
          </w:p>
          <w:p w:rsidR="00000000" w:rsidRPr="00ED70C5" w:rsidP="00ED70C5">
            <w:pPr>
              <w:pStyle w:val="ListBullet"/>
            </w:pPr>
            <w:r w:rsidRPr="00ED70C5">
              <w:t>timing of transportation</w:t>
            </w:r>
          </w:p>
          <w:p w:rsidR="00000000" w:rsidRPr="00ED70C5" w:rsidP="00ED70C5">
            <w:pPr>
              <w:pStyle w:val="ListBullet"/>
            </w:pPr>
            <w:r w:rsidRPr="00ED70C5">
              <w:t>storage/handling requirements</w:t>
            </w:r>
          </w:p>
          <w:p w:rsidR="00000000" w:rsidRPr="00ED70C5" w:rsidP="00ED70C5">
            <w:pPr>
              <w:pStyle w:val="ListBullet"/>
            </w:pPr>
            <w:r w:rsidRPr="00ED70C5">
              <w:t>public safety</w:t>
            </w:r>
          </w:p>
          <w:p w:rsidR="00000000" w:rsidRPr="00ED70C5" w:rsidP="00ED70C5">
            <w:pPr>
              <w:pStyle w:val="ListBullet"/>
            </w:pPr>
            <w:r w:rsidRPr="00ED70C5">
              <w:t>accident prevention</w:t>
            </w:r>
          </w:p>
          <w:p w:rsidR="00000000" w:rsidRPr="00ED70C5" w:rsidP="00ED70C5">
            <w:pPr>
              <w:pStyle w:val="ListBullet"/>
            </w:pPr>
            <w:r w:rsidRPr="00ED70C5">
              <w:t>pilferage</w:t>
            </w:r>
          </w:p>
          <w:p w:rsidR="00000000" w:rsidRPr="00ED70C5" w:rsidP="00ED70C5">
            <w:pPr>
              <w:pStyle w:val="ListBullet"/>
            </w:pPr>
            <w:r w:rsidRPr="00ED70C5">
              <w:t>robbery</w:t>
            </w:r>
          </w:p>
          <w:p w:rsidR="00000000" w:rsidP="00ED70C5">
            <w:pPr>
              <w:pStyle w:val="ListBullet"/>
              <w:rPr>
                <w:lang w:val="en-NZ"/>
              </w:rPr>
            </w:pPr>
            <w:r w:rsidRPr="00ED70C5">
              <w:t>breakdowns</w:t>
            </w:r>
          </w:p>
        </w:tc>
      </w:tr>
      <w:tr w:rsidTr="00D86D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t>Cost considerations may include:</w:t>
            </w:r>
          </w:p>
        </w:tc>
        <w:tc>
          <w:tcPr>
            <w:tcW w:w="6154" w:type="dxa"/>
            <w:tcBorders>
              <w:top w:val="nil"/>
              <w:left w:val="nil"/>
              <w:bottom w:val="nil"/>
              <w:right w:val="nil"/>
            </w:tcBorders>
            <w:tcMar>
              <w:top w:w="0" w:type="dxa"/>
              <w:left w:w="62" w:type="dxa"/>
              <w:bottom w:w="0" w:type="dxa"/>
              <w:right w:w="62" w:type="dxa"/>
            </w:tcMar>
          </w:tcPr>
          <w:p w:rsidR="00000000" w:rsidRPr="00ED70C5" w:rsidP="00ED70C5">
            <w:pPr>
              <w:pStyle w:val="ListBullet"/>
            </w:pPr>
            <w:r w:rsidRPr="00ED70C5">
              <w:t>transport mode</w:t>
            </w:r>
          </w:p>
          <w:p w:rsidR="00000000" w:rsidRPr="00ED70C5" w:rsidP="00ED70C5">
            <w:pPr>
              <w:pStyle w:val="ListBullet"/>
            </w:pPr>
            <w:r w:rsidRPr="00ED70C5">
              <w:t>demurrage</w:t>
            </w:r>
          </w:p>
          <w:p w:rsidR="00000000" w:rsidRPr="00ED70C5" w:rsidP="00ED70C5">
            <w:pPr>
              <w:pStyle w:val="ListBullet"/>
            </w:pPr>
            <w:r w:rsidRPr="00ED70C5">
              <w:t>timing</w:t>
            </w:r>
          </w:p>
          <w:p w:rsidR="00000000" w:rsidRPr="00ED70C5" w:rsidP="00ED70C5">
            <w:pPr>
              <w:pStyle w:val="ListBullet"/>
            </w:pPr>
            <w:r w:rsidRPr="00ED70C5">
              <w:t>staff costs</w:t>
            </w:r>
          </w:p>
          <w:p w:rsidR="00000000" w:rsidRPr="00ED70C5" w:rsidP="00ED70C5">
            <w:pPr>
              <w:pStyle w:val="ListBullet"/>
            </w:pPr>
            <w:r w:rsidRPr="00ED70C5">
              <w:t>client/customer demand</w:t>
            </w:r>
          </w:p>
          <w:p w:rsidR="00000000" w:rsidRPr="00ED70C5" w:rsidP="00ED70C5">
            <w:pPr>
              <w:pStyle w:val="ListBullet"/>
            </w:pPr>
            <w:r w:rsidRPr="00ED70C5">
              <w:t>transport volumes and throughputs</w:t>
            </w:r>
          </w:p>
          <w:p w:rsidR="00000000" w:rsidP="00ED70C5">
            <w:pPr>
              <w:pStyle w:val="ListBullet"/>
              <w:rPr>
                <w:lang w:val="en-NZ"/>
              </w:rPr>
            </w:pPr>
            <w:r w:rsidRPr="00ED70C5">
              <w:t>fuel costs</w:t>
            </w:r>
          </w:p>
        </w:tc>
      </w:tr>
      <w:tr w:rsidTr="00D86D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t>Transport performance effectiveness may include:</w:t>
            </w:r>
          </w:p>
        </w:tc>
        <w:tc>
          <w:tcPr>
            <w:tcW w:w="6154" w:type="dxa"/>
            <w:tcBorders>
              <w:top w:val="nil"/>
              <w:left w:val="nil"/>
              <w:bottom w:val="nil"/>
              <w:right w:val="nil"/>
            </w:tcBorders>
            <w:tcMar>
              <w:top w:w="0" w:type="dxa"/>
              <w:left w:w="62" w:type="dxa"/>
              <w:bottom w:w="0" w:type="dxa"/>
              <w:right w:w="62" w:type="dxa"/>
            </w:tcMar>
          </w:tcPr>
          <w:p w:rsidR="00000000" w:rsidRPr="00ED70C5" w:rsidP="00ED70C5">
            <w:pPr>
              <w:pStyle w:val="ListBullet"/>
            </w:pPr>
            <w:r w:rsidRPr="00ED70C5">
              <w:t>fuel measures</w:t>
            </w:r>
          </w:p>
          <w:p w:rsidR="00000000" w:rsidRPr="00ED70C5" w:rsidP="00ED70C5">
            <w:pPr>
              <w:pStyle w:val="ListBullet"/>
            </w:pPr>
            <w:r w:rsidRPr="00ED70C5">
              <w:t>fuel consumption</w:t>
            </w:r>
          </w:p>
          <w:p w:rsidR="00000000" w:rsidRPr="00ED70C5" w:rsidP="00ED70C5">
            <w:pPr>
              <w:pStyle w:val="ListBullet"/>
            </w:pPr>
            <w:r w:rsidRPr="00ED70C5">
              <w:t>driver training</w:t>
            </w:r>
          </w:p>
          <w:p w:rsidR="00000000" w:rsidRPr="00ED70C5" w:rsidP="00ED70C5">
            <w:pPr>
              <w:pStyle w:val="ListBullet"/>
            </w:pPr>
            <w:r w:rsidRPr="00ED70C5">
              <w:t>carbon emission</w:t>
            </w:r>
          </w:p>
          <w:p w:rsidR="00000000" w:rsidRPr="00ED70C5" w:rsidP="00ED70C5">
            <w:pPr>
              <w:pStyle w:val="ListBullet"/>
            </w:pPr>
            <w:r w:rsidRPr="00ED70C5">
              <w:t>maintenance cost</w:t>
            </w:r>
          </w:p>
          <w:p w:rsidR="00000000" w:rsidRPr="00ED70C5" w:rsidP="00ED70C5">
            <w:pPr>
              <w:pStyle w:val="ListBullet"/>
            </w:pPr>
            <w:r w:rsidRPr="00ED70C5">
              <w:t>maintenance measure</w:t>
            </w:r>
          </w:p>
          <w:p w:rsidR="00000000" w:rsidP="00ED70C5">
            <w:pPr>
              <w:pStyle w:val="ListBullet"/>
              <w:rPr>
                <w:lang w:val="en-NZ"/>
              </w:rPr>
            </w:pPr>
            <w:r w:rsidRPr="00ED70C5">
              <w:t>fatigue management</w:t>
            </w:r>
          </w:p>
        </w:tc>
      </w:tr>
      <w:tr w:rsidTr="00D86D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t>Data capturing may include:</w:t>
            </w:r>
          </w:p>
        </w:tc>
        <w:tc>
          <w:tcPr>
            <w:tcW w:w="6154" w:type="dxa"/>
            <w:tcBorders>
              <w:top w:val="nil"/>
              <w:left w:val="nil"/>
              <w:bottom w:val="nil"/>
              <w:right w:val="nil"/>
            </w:tcBorders>
            <w:tcMar>
              <w:top w:w="0" w:type="dxa"/>
              <w:left w:w="62" w:type="dxa"/>
              <w:bottom w:w="0" w:type="dxa"/>
              <w:right w:w="62" w:type="dxa"/>
            </w:tcMar>
          </w:tcPr>
          <w:p w:rsidR="00000000" w:rsidRPr="00ED70C5" w:rsidP="00ED70C5">
            <w:pPr>
              <w:pStyle w:val="ListBullet"/>
            </w:pPr>
            <w:r w:rsidRPr="00ED70C5">
              <w:t>standard operating procedures (SOP)</w:t>
            </w:r>
          </w:p>
          <w:p w:rsidR="00000000" w:rsidRPr="00ED70C5" w:rsidP="00ED70C5">
            <w:pPr>
              <w:pStyle w:val="ListBullet"/>
            </w:pPr>
            <w:r w:rsidRPr="00ED70C5">
              <w:t>software</w:t>
            </w:r>
          </w:p>
          <w:p w:rsidR="00000000" w:rsidRPr="00ED70C5" w:rsidP="00ED70C5">
            <w:pPr>
              <w:pStyle w:val="ListBullet"/>
            </w:pPr>
            <w:r w:rsidRPr="00ED70C5">
              <w:t>global positioning system (GPS)</w:t>
            </w:r>
          </w:p>
        </w:tc>
      </w:tr>
    </w:tbl>
    <w:p w:rsidR="00D86DF6" w:rsidP="00ED70C5">
      <w:pPr>
        <w:pStyle w:val="BodyText"/>
      </w:pPr>
    </w:p>
    <w:p w:rsidR="00D86DF6" w:rsidP="00ED70C5">
      <w:pPr>
        <w:pStyle w:val="BodyText"/>
      </w:pPr>
    </w:p>
    <w:p w:rsidR="00000000" w:rsidRPr="00ED70C5" w:rsidP="00ED70C5">
      <w:pPr>
        <w:pStyle w:val="Heading1"/>
      </w:pPr>
      <w:bookmarkStart w:id="12" w:name="O_295990"/>
      <w:bookmarkEnd w:id="12"/>
      <w:r w:rsidRPr="00ED70C5">
        <w:t>Unit Sector(s)</w:t>
      </w:r>
    </w:p>
    <w:p w:rsidR="00000000" w:rsidRPr="00ED70C5" w:rsidP="00ED70C5">
      <w:pPr>
        <w:pStyle w:val="BodyText"/>
      </w:pPr>
      <w:r w:rsidRPr="00ED70C5">
        <w:t>Not Applicable</w:t>
      </w:r>
    </w:p>
    <w:p w:rsidR="00000000" w:rsidRPr="00ED70C5" w:rsidP="00ED70C5">
      <w:pPr>
        <w:pStyle w:val="AllowPageBreak"/>
      </w:pPr>
    </w:p>
    <w:p w:rsidR="00000000" w:rsidRPr="00ED70C5" w:rsidP="00ED70C5">
      <w:pPr>
        <w:pStyle w:val="Heading1"/>
      </w:pPr>
      <w:bookmarkStart w:id="13" w:name="O_224249"/>
      <w:bookmarkEnd w:id="13"/>
      <w:r w:rsidRPr="00ED70C5">
        <w:t>Competency Field</w:t>
      </w:r>
    </w:p>
    <w:tbl>
      <w:tblPr>
        <w:tblW w:w="9640" w:type="dxa"/>
        <w:tblLayout w:type="fixed"/>
        <w:tblCellMar>
          <w:left w:w="62" w:type="dxa"/>
          <w:right w:w="62" w:type="dxa"/>
        </w:tblCellMar>
        <w:tblLook w:val="0000"/>
      </w:tblPr>
      <w:tblGrid>
        <w:gridCol w:w="2978"/>
        <w:gridCol w:w="6662"/>
      </w:tblGrid>
      <w:tr w:rsidTr="00D86DF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D70C5">
            <w:pPr>
              <w:pStyle w:val="BodyText"/>
              <w:rPr>
                <w:lang w:val="en-NZ"/>
              </w:rPr>
            </w:pPr>
            <w:r w:rsidRPr="00ED70C5">
              <w:rPr>
                <w:rStyle w:val="SpecialBold"/>
              </w:rPr>
              <w:t>Competency Field</w:t>
            </w:r>
            <w:r w:rsidRPr="00ED70C5">
              <w:t xml:space="preserve"> </w:t>
            </w:r>
          </w:p>
        </w:tc>
        <w:tc>
          <w:tcPr>
            <w:tcW w:w="6662" w:type="dxa"/>
            <w:tcBorders>
              <w:top w:val="nil"/>
              <w:left w:val="nil"/>
              <w:bottom w:val="nil"/>
              <w:right w:val="nil"/>
            </w:tcBorders>
            <w:tcMar>
              <w:top w:w="0" w:type="dxa"/>
              <w:left w:w="62" w:type="dxa"/>
              <w:bottom w:w="0" w:type="dxa"/>
              <w:right w:w="62" w:type="dxa"/>
            </w:tcMar>
          </w:tcPr>
          <w:p w:rsidR="00000000" w:rsidRPr="00ED70C5" w:rsidP="00ED70C5">
            <w:pPr>
              <w:pStyle w:val="BodyText"/>
            </w:pPr>
            <w:r w:rsidRPr="00ED70C5">
              <w:t>P - Administration and Finance</w:t>
            </w:r>
          </w:p>
        </w:tc>
      </w:tr>
    </w:tbl>
    <w:p w:rsidR="00D86DF6" w:rsidP="00ED70C5">
      <w:pPr>
        <w:pStyle w:val="BodyText"/>
      </w:pPr>
    </w:p>
    <w:p w:rsidR="00D86DF6" w:rsidP="00ED70C5">
      <w:pPr>
        <w:pStyle w:val="BodyText"/>
      </w:pPr>
    </w:p>
    <w:p w:rsidR="00000000" w:rsidRPr="00ED70C5" w:rsidP="00ED70C5"/>
    <w:sectPr w:rsidSect="00ED70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6DF6" w:rsidP="00D86D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DF6" w:rsidP="00ED70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86DF6" w:rsidP="00ED70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86DF6" w:rsidP="00ED70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6DF6" w:rsidP="00D86DF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DF6" w:rsidP="00ED70C5">
    <w:pPr>
      <w:pStyle w:val="Header"/>
      <w:framePr w:wrap="around"/>
    </w:pPr>
    <w:r>
      <w:fldChar w:fldCharType="begin"/>
    </w:r>
    <w:r>
      <w:instrText xml:space="preserve"> TITLE   \* MERGEFORMAT </w:instrText>
    </w:r>
    <w:r>
      <w:fldChar w:fldCharType="separate"/>
    </w:r>
    <w:r>
      <w:t>TLIP4039A Monitor transport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6DF6" w:rsidP="00ED70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AA4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A43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C4B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0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70C5"/>
    <w:pPr>
      <w:spacing w:before="360" w:after="60"/>
      <w:outlineLvl w:val="0"/>
    </w:pPr>
    <w:rPr>
      <w:sz w:val="32"/>
    </w:rPr>
  </w:style>
  <w:style w:type="paragraph" w:styleId="Heading2">
    <w:name w:val="heading 2"/>
    <w:basedOn w:val="HeadingBase"/>
    <w:next w:val="BodyText"/>
    <w:link w:val="Heading2Char"/>
    <w:qFormat/>
    <w:rsid w:val="00ED70C5"/>
    <w:pPr>
      <w:keepLines/>
      <w:spacing w:before="240" w:after="120"/>
      <w:outlineLvl w:val="1"/>
    </w:pPr>
    <w:rPr>
      <w:sz w:val="28"/>
      <w:szCs w:val="40"/>
    </w:rPr>
  </w:style>
  <w:style w:type="paragraph" w:styleId="Heading3">
    <w:name w:val="heading 3"/>
    <w:basedOn w:val="HeadingBase"/>
    <w:next w:val="BodyText"/>
    <w:link w:val="Heading3Char"/>
    <w:qFormat/>
    <w:rsid w:val="00ED70C5"/>
    <w:pPr>
      <w:spacing w:before="180" w:after="120"/>
      <w:outlineLvl w:val="2"/>
    </w:pPr>
    <w:rPr>
      <w:spacing w:val="-10"/>
      <w:kern w:val="32"/>
    </w:rPr>
  </w:style>
  <w:style w:type="paragraph" w:styleId="Heading4">
    <w:name w:val="heading 4"/>
    <w:basedOn w:val="HeadingBase"/>
    <w:next w:val="BodyText"/>
    <w:link w:val="Heading4Char"/>
    <w:qFormat/>
    <w:rsid w:val="00ED70C5"/>
    <w:pPr>
      <w:spacing w:before="160" w:after="120"/>
      <w:outlineLvl w:val="3"/>
    </w:pPr>
    <w:rPr>
      <w:sz w:val="22"/>
    </w:rPr>
  </w:style>
  <w:style w:type="paragraph" w:styleId="Heading5">
    <w:name w:val="heading 5"/>
    <w:basedOn w:val="HeadingBase"/>
    <w:next w:val="Normal"/>
    <w:link w:val="Heading5Char"/>
    <w:qFormat/>
    <w:rsid w:val="00ED70C5"/>
    <w:pPr>
      <w:spacing w:before="80"/>
      <w:outlineLvl w:val="4"/>
    </w:pPr>
    <w:rPr>
      <w:color w:val="918585"/>
      <w:sz w:val="20"/>
    </w:rPr>
  </w:style>
  <w:style w:type="paragraph" w:styleId="Heading6">
    <w:name w:val="heading 6"/>
    <w:basedOn w:val="HeadingBase"/>
    <w:next w:val="Normal"/>
    <w:link w:val="Heading6Char"/>
    <w:qFormat/>
    <w:rsid w:val="00ED70C5"/>
    <w:pPr>
      <w:spacing w:before="60"/>
      <w:outlineLvl w:val="5"/>
    </w:pPr>
    <w:rPr>
      <w:color w:val="918585"/>
      <w:sz w:val="20"/>
    </w:rPr>
  </w:style>
  <w:style w:type="paragraph" w:styleId="Heading7">
    <w:name w:val="heading 7"/>
    <w:basedOn w:val="Normal"/>
    <w:next w:val="Normal"/>
    <w:link w:val="Heading7Char"/>
    <w:qFormat/>
    <w:rsid w:val="00ED70C5"/>
    <w:pPr>
      <w:ind w:left="720"/>
      <w:outlineLvl w:val="6"/>
    </w:pPr>
    <w:rPr>
      <w:i/>
    </w:rPr>
  </w:style>
  <w:style w:type="paragraph" w:styleId="Heading8">
    <w:name w:val="heading 8"/>
    <w:basedOn w:val="Normal"/>
    <w:next w:val="Normal"/>
    <w:link w:val="Heading8Char"/>
    <w:qFormat/>
    <w:rsid w:val="00ED70C5"/>
    <w:pPr>
      <w:ind w:left="720"/>
      <w:outlineLvl w:val="7"/>
    </w:pPr>
    <w:rPr>
      <w:i/>
    </w:rPr>
  </w:style>
  <w:style w:type="paragraph" w:styleId="Heading9">
    <w:name w:val="heading 9"/>
    <w:basedOn w:val="Normal"/>
    <w:next w:val="Normal"/>
    <w:link w:val="Heading9Char"/>
    <w:qFormat/>
    <w:rsid w:val="00ED70C5"/>
    <w:pPr>
      <w:ind w:left="720"/>
      <w:outlineLvl w:val="8"/>
    </w:pPr>
    <w:rPr>
      <w:i/>
    </w:rPr>
  </w:style>
  <w:style w:type="character" w:default="1" w:styleId="DefaultParagraphFont">
    <w:name w:val="Default Paragraph Font"/>
    <w:uiPriority w:val="1"/>
    <w:unhideWhenUsed/>
    <w:rsid w:val="00ED70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0C5"/>
  </w:style>
  <w:style w:type="character" w:customStyle="1" w:styleId="Heading1Char">
    <w:name w:val="Heading 1 Char"/>
    <w:link w:val="Heading1"/>
    <w:rsid w:val="00ED70C5"/>
    <w:rPr>
      <w:rFonts w:ascii="Times New Roman" w:eastAsia="Times New Roman" w:hAnsi="Times New Roman" w:cs="Times New Roman"/>
      <w:b/>
      <w:sz w:val="32"/>
      <w:szCs w:val="20"/>
      <w:lang w:eastAsia="en-US"/>
    </w:rPr>
  </w:style>
  <w:style w:type="paragraph" w:styleId="BodyText">
    <w:name w:val="Body Text"/>
    <w:basedOn w:val="Normal"/>
    <w:link w:val="BodyTextChar"/>
    <w:rsid w:val="00ED70C5"/>
    <w:pPr>
      <w:spacing w:before="120" w:after="120"/>
      <w:contextualSpacing/>
    </w:pPr>
    <w:rPr>
      <w:rFonts w:ascii="Times New Roman" w:hAnsi="Times New Roman"/>
      <w:sz w:val="24"/>
      <w:szCs w:val="22"/>
    </w:rPr>
  </w:style>
  <w:style w:type="character" w:customStyle="1" w:styleId="BodyTextChar">
    <w:name w:val="Body Text Char"/>
    <w:link w:val="BodyText"/>
    <w:rsid w:val="00ED70C5"/>
    <w:rPr>
      <w:rFonts w:ascii="Times New Roman" w:eastAsia="Times New Roman" w:hAnsi="Times New Roman" w:cs="Times New Roman"/>
      <w:sz w:val="24"/>
      <w:lang w:val="en-US" w:eastAsia="en-US"/>
    </w:rPr>
  </w:style>
  <w:style w:type="paragraph" w:styleId="Footer">
    <w:name w:val="footer"/>
    <w:basedOn w:val="Normal"/>
    <w:link w:val="FooterChar"/>
    <w:rsid w:val="00ED70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D70C5"/>
    <w:rPr>
      <w:rFonts w:ascii="Times New Roman" w:eastAsia="Times New Roman" w:hAnsi="Times New Roman" w:cs="Times New Roman"/>
      <w:sz w:val="16"/>
      <w:lang w:val="en-US" w:eastAsia="en-US"/>
    </w:rPr>
  </w:style>
  <w:style w:type="paragraph" w:styleId="List">
    <w:name w:val="List"/>
    <w:basedOn w:val="BodyText"/>
    <w:next w:val="BodyText"/>
    <w:rsid w:val="00ED70C5"/>
    <w:pPr>
      <w:tabs>
        <w:tab w:val="left" w:pos="340"/>
      </w:tabs>
      <w:spacing w:before="60" w:after="60"/>
      <w:ind w:left="340" w:hanging="340"/>
    </w:pPr>
  </w:style>
  <w:style w:type="paragraph" w:styleId="ListBullet">
    <w:name w:val="List Bullet"/>
    <w:basedOn w:val="List"/>
    <w:rsid w:val="00ED70C5"/>
    <w:pPr>
      <w:numPr>
        <w:numId w:val="13"/>
      </w:numPr>
      <w:tabs>
        <w:tab w:val="clear" w:pos="340"/>
      </w:tabs>
      <w:spacing w:before="40" w:after="40"/>
    </w:pPr>
  </w:style>
  <w:style w:type="character" w:customStyle="1" w:styleId="SpecialBold">
    <w:name w:val="Special Bold"/>
    <w:rsid w:val="00ED70C5"/>
    <w:rPr>
      <w:b/>
      <w:spacing w:val="0"/>
    </w:rPr>
  </w:style>
  <w:style w:type="paragraph" w:styleId="ListBullet2">
    <w:name w:val="List Bullet 2"/>
    <w:basedOn w:val="List2"/>
    <w:rsid w:val="00ED70C5"/>
    <w:pPr>
      <w:numPr>
        <w:numId w:val="14"/>
      </w:numPr>
      <w:tabs>
        <w:tab w:val="clear" w:pos="680"/>
      </w:tabs>
    </w:pPr>
  </w:style>
  <w:style w:type="paragraph" w:styleId="Header">
    <w:name w:val="header"/>
    <w:basedOn w:val="Normal"/>
    <w:link w:val="HeaderChar"/>
    <w:rsid w:val="00ED70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D70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70C5"/>
    <w:pPr>
      <w:spacing w:before="240" w:after="120"/>
      <w:outlineLvl w:val="0"/>
    </w:pPr>
    <w:rPr>
      <w:rFonts w:ascii="Times New Roman" w:hAnsi="Times New Roman"/>
      <w:b/>
      <w:sz w:val="28"/>
    </w:rPr>
  </w:style>
  <w:style w:type="paragraph" w:customStyle="1" w:styleId="AllowPageBreak">
    <w:name w:val="AllowPageBreak"/>
    <w:rsid w:val="00ED70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D70C5"/>
    <w:rPr>
      <w:rFonts w:ascii="Times New Roman" w:eastAsia="Times New Roman" w:hAnsi="Times New Roman" w:cs="Times New Roman"/>
      <w:b/>
      <w:sz w:val="28"/>
      <w:szCs w:val="40"/>
      <w:lang w:eastAsia="en-US"/>
    </w:rPr>
  </w:style>
  <w:style w:type="character" w:customStyle="1" w:styleId="Heading3Char">
    <w:name w:val="Heading 3 Char"/>
    <w:link w:val="Heading3"/>
    <w:rsid w:val="00ED70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D70C5"/>
    <w:rPr>
      <w:rFonts w:ascii="Times New Roman" w:eastAsia="Times New Roman" w:hAnsi="Times New Roman" w:cs="Times New Roman"/>
      <w:b/>
      <w:szCs w:val="20"/>
      <w:lang w:eastAsia="en-US"/>
    </w:rPr>
  </w:style>
  <w:style w:type="character" w:customStyle="1" w:styleId="Heading5Char">
    <w:name w:val="Heading 5 Char"/>
    <w:link w:val="Heading5"/>
    <w:rsid w:val="00ED70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D70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0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70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70C5"/>
    <w:rPr>
      <w:rFonts w:ascii="Courier New" w:eastAsia="Times New Roman" w:hAnsi="Courier New" w:cs="Times New Roman"/>
      <w:i/>
      <w:szCs w:val="20"/>
      <w:lang w:val="en-US" w:eastAsia="en-US"/>
    </w:rPr>
  </w:style>
  <w:style w:type="paragraph" w:customStyle="1" w:styleId="HeadingBase">
    <w:name w:val="Heading Base"/>
    <w:rsid w:val="00ED70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0C5"/>
    <w:pPr>
      <w:tabs>
        <w:tab w:val="right" w:leader="dot" w:pos="9072"/>
      </w:tabs>
      <w:ind w:left="567"/>
    </w:pPr>
    <w:rPr>
      <w:szCs w:val="22"/>
    </w:rPr>
  </w:style>
  <w:style w:type="paragraph" w:customStyle="1" w:styleId="TOCBase">
    <w:name w:val="TOC Base"/>
    <w:rsid w:val="00ED70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0C5"/>
    <w:pPr>
      <w:tabs>
        <w:tab w:val="right" w:leader="dot" w:pos="9072"/>
      </w:tabs>
      <w:spacing w:before="40" w:after="40"/>
      <w:ind w:left="284"/>
    </w:pPr>
    <w:rPr>
      <w:rFonts w:ascii="Times New Roman" w:hAnsi="Times New Roman"/>
    </w:rPr>
  </w:style>
  <w:style w:type="paragraph" w:styleId="TOC1">
    <w:name w:val="toc 1"/>
    <w:basedOn w:val="TOCBase"/>
    <w:next w:val="Normal"/>
    <w:rsid w:val="00ED70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70C5"/>
    <w:pPr>
      <w:spacing w:before="5040"/>
      <w:jc w:val="center"/>
    </w:pPr>
    <w:rPr>
      <w:sz w:val="48"/>
      <w:szCs w:val="72"/>
      <w:lang w:val="en-US"/>
    </w:rPr>
  </w:style>
  <w:style w:type="character" w:customStyle="1" w:styleId="TitleChar">
    <w:name w:val="Title Char"/>
    <w:link w:val="Title"/>
    <w:rsid w:val="00ED70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0C5"/>
    <w:pPr>
      <w:tabs>
        <w:tab w:val="left" w:pos="3600"/>
        <w:tab w:val="left" w:pos="3958"/>
      </w:tabs>
    </w:pPr>
  </w:style>
  <w:style w:type="paragraph" w:customStyle="1" w:styleId="Note">
    <w:name w:val="Note"/>
    <w:basedOn w:val="BodyText"/>
    <w:rsid w:val="00ED70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0C5"/>
    <w:pPr>
      <w:framePr w:wrap="auto" w:hAnchor="text" w:y="6049"/>
    </w:pPr>
    <w:rPr>
      <w:color w:val="000000"/>
      <w:sz w:val="40"/>
    </w:rPr>
  </w:style>
  <w:style w:type="paragraph" w:customStyle="1" w:styleId="TOCTitle">
    <w:name w:val="TOCTitle"/>
    <w:basedOn w:val="Heading1"/>
    <w:rsid w:val="00ED70C5"/>
    <w:pPr>
      <w:spacing w:after="240"/>
      <w:jc w:val="center"/>
      <w:outlineLvl w:val="9"/>
    </w:pPr>
    <w:rPr>
      <w:caps/>
    </w:rPr>
  </w:style>
  <w:style w:type="paragraph" w:customStyle="1" w:styleId="Version">
    <w:name w:val="Version"/>
    <w:rsid w:val="00ED70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0C5"/>
    <w:pPr>
      <w:keepNext w:val="0"/>
      <w:tabs>
        <w:tab w:val="right" w:pos="4176"/>
      </w:tabs>
      <w:ind w:left="198" w:hanging="198"/>
    </w:pPr>
    <w:rPr>
      <w:rFonts w:ascii="Garamond" w:hAnsi="Garamond"/>
    </w:rPr>
  </w:style>
  <w:style w:type="paragraph" w:styleId="IndexHeading">
    <w:name w:val="index heading"/>
    <w:basedOn w:val="Normal"/>
    <w:next w:val="Index1"/>
    <w:semiHidden/>
    <w:rsid w:val="00ED70C5"/>
    <w:pPr>
      <w:spacing w:before="120" w:after="120"/>
    </w:pPr>
    <w:rPr>
      <w:rFonts w:ascii="Arial" w:hAnsi="Arial"/>
      <w:b/>
      <w:color w:val="918585"/>
      <w:sz w:val="24"/>
    </w:rPr>
  </w:style>
  <w:style w:type="paragraph" w:customStyle="1" w:styleId="Chapter">
    <w:name w:val="Chapter"/>
    <w:basedOn w:val="Normal"/>
    <w:rsid w:val="00ED70C5"/>
    <w:pPr>
      <w:spacing w:before="240"/>
    </w:pPr>
    <w:rPr>
      <w:rFonts w:ascii="Times New Roman" w:hAnsi="Times New Roman"/>
      <w:smallCaps/>
      <w:spacing w:val="80"/>
      <w:sz w:val="28"/>
    </w:rPr>
  </w:style>
  <w:style w:type="paragraph" w:customStyle="1" w:styleId="InChapter">
    <w:name w:val="InChapter"/>
    <w:basedOn w:val="Heading3"/>
    <w:rsid w:val="00ED70C5"/>
    <w:pPr>
      <w:spacing w:after="240"/>
      <w:outlineLvl w:val="9"/>
    </w:pPr>
    <w:rPr>
      <w:noProof/>
    </w:rPr>
  </w:style>
  <w:style w:type="paragraph" w:styleId="Index2">
    <w:name w:val="index 2"/>
    <w:basedOn w:val="Normal"/>
    <w:next w:val="Normal"/>
    <w:semiHidden/>
    <w:rsid w:val="00ED70C5"/>
    <w:pPr>
      <w:tabs>
        <w:tab w:val="right" w:pos="4176"/>
      </w:tabs>
      <w:ind w:left="568" w:hanging="284"/>
    </w:pPr>
    <w:rPr>
      <w:rFonts w:ascii="Garamond" w:hAnsi="Garamond"/>
    </w:rPr>
  </w:style>
  <w:style w:type="paragraph" w:customStyle="1" w:styleId="Byline">
    <w:name w:val="Byline"/>
    <w:rsid w:val="00ED70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0C5"/>
    <w:pPr>
      <w:tabs>
        <w:tab w:val="clear" w:pos="3600"/>
        <w:tab w:val="clear" w:pos="3958"/>
      </w:tabs>
      <w:jc w:val="right"/>
    </w:pPr>
  </w:style>
  <w:style w:type="character" w:styleId="Emphasis">
    <w:name w:val="Emphasis"/>
    <w:qFormat/>
    <w:rsid w:val="00ED70C5"/>
    <w:rPr>
      <w:i/>
    </w:rPr>
  </w:style>
  <w:style w:type="paragraph" w:styleId="Caption">
    <w:name w:val="caption"/>
    <w:basedOn w:val="BodyText"/>
    <w:next w:val="Normal"/>
    <w:qFormat/>
    <w:rsid w:val="00ED70C5"/>
    <w:pPr>
      <w:framePr w:w="2268" w:hSpace="181" w:vSpace="181" w:wrap="around" w:vAnchor="text" w:hAnchor="page" w:x="1135" w:y="285" w:anchorLock="1"/>
    </w:pPr>
    <w:rPr>
      <w:i/>
    </w:rPr>
  </w:style>
  <w:style w:type="paragraph" w:customStyle="1" w:styleId="MiniTOCTitle">
    <w:name w:val="MiniTOCTitle"/>
    <w:basedOn w:val="Heading4"/>
    <w:rsid w:val="00ED70C5"/>
    <w:pPr>
      <w:spacing w:before="240"/>
      <w:outlineLvl w:val="9"/>
    </w:pPr>
    <w:rPr>
      <w:noProof/>
      <w:sz w:val="24"/>
    </w:rPr>
  </w:style>
  <w:style w:type="paragraph" w:customStyle="1" w:styleId="MiniTOCItem">
    <w:name w:val="MiniTOCItem"/>
    <w:basedOn w:val="ListBullet"/>
    <w:rsid w:val="00ED70C5"/>
    <w:pPr>
      <w:numPr>
        <w:numId w:val="0"/>
      </w:numPr>
      <w:tabs>
        <w:tab w:val="right" w:leader="dot" w:pos="6521"/>
      </w:tabs>
      <w:spacing w:before="0" w:after="0"/>
    </w:pPr>
  </w:style>
  <w:style w:type="paragraph" w:customStyle="1" w:styleId="TOFTitle">
    <w:name w:val="TOFTitle"/>
    <w:basedOn w:val="TOCTitle"/>
    <w:rsid w:val="00ED70C5"/>
  </w:style>
  <w:style w:type="paragraph" w:styleId="TableofFigures">
    <w:name w:val="table of figures"/>
    <w:basedOn w:val="Normal"/>
    <w:next w:val="Normal"/>
    <w:semiHidden/>
    <w:rsid w:val="00ED70C5"/>
    <w:pPr>
      <w:tabs>
        <w:tab w:val="right" w:leader="dot" w:pos="9072"/>
      </w:tabs>
      <w:ind w:left="970" w:hanging="403"/>
    </w:pPr>
    <w:rPr>
      <w:rFonts w:ascii="Times New Roman" w:hAnsi="Times New Roman"/>
      <w:b/>
    </w:rPr>
  </w:style>
  <w:style w:type="paragraph" w:styleId="ListNumber">
    <w:name w:val="List Number"/>
    <w:basedOn w:val="List"/>
    <w:rsid w:val="00ED70C5"/>
    <w:pPr>
      <w:numPr>
        <w:numId w:val="11"/>
      </w:numPr>
    </w:pPr>
  </w:style>
  <w:style w:type="character" w:customStyle="1" w:styleId="WingdingSymbols">
    <w:name w:val="Wingding Symbols"/>
    <w:rsid w:val="00ED70C5"/>
    <w:rPr>
      <w:rFonts w:ascii="Wingdings" w:hAnsi="Wingdings"/>
    </w:rPr>
  </w:style>
  <w:style w:type="paragraph" w:customStyle="1" w:styleId="TableHeading">
    <w:name w:val="Table Heading"/>
    <w:basedOn w:val="HeadingBase"/>
    <w:rsid w:val="00ED70C5"/>
    <w:pPr>
      <w:keepLines/>
      <w:pBdr>
        <w:bottom w:val="single" w:sz="6" w:space="1" w:color="918585"/>
      </w:pBdr>
      <w:spacing w:before="240"/>
    </w:pPr>
  </w:style>
  <w:style w:type="character" w:customStyle="1" w:styleId="HotSpot">
    <w:name w:val="HotSpot"/>
    <w:rsid w:val="00ED70C5"/>
    <w:rPr>
      <w:color w:val="0033CC"/>
      <w:u w:val="none"/>
    </w:rPr>
  </w:style>
  <w:style w:type="paragraph" w:customStyle="1" w:styleId="BodyTextRight">
    <w:name w:val="Body Text Right"/>
    <w:basedOn w:val="BodyText"/>
    <w:rsid w:val="00ED70C5"/>
    <w:pPr>
      <w:spacing w:before="0" w:after="0"/>
      <w:jc w:val="right"/>
    </w:pPr>
  </w:style>
  <w:style w:type="paragraph" w:styleId="Index3">
    <w:name w:val="index 3"/>
    <w:basedOn w:val="ListNumber2"/>
    <w:next w:val="Normal"/>
    <w:semiHidden/>
    <w:rsid w:val="00ED70C5"/>
    <w:pPr>
      <w:numPr>
        <w:numId w:val="0"/>
      </w:numPr>
      <w:tabs>
        <w:tab w:val="right" w:leader="dot" w:pos="4176"/>
      </w:tabs>
    </w:pPr>
  </w:style>
  <w:style w:type="paragraph" w:styleId="ListNumber2">
    <w:name w:val="List Number 2"/>
    <w:basedOn w:val="List2"/>
    <w:rsid w:val="00ED70C5"/>
    <w:pPr>
      <w:numPr>
        <w:numId w:val="10"/>
      </w:numPr>
      <w:tabs>
        <w:tab w:val="clear" w:pos="1060"/>
      </w:tabs>
    </w:pPr>
  </w:style>
  <w:style w:type="paragraph" w:customStyle="1" w:styleId="MarginNote">
    <w:name w:val="Margin Note"/>
    <w:basedOn w:val="BodyText"/>
    <w:rsid w:val="00ED70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0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D70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70C5"/>
    <w:rPr>
      <w:sz w:val="32"/>
    </w:rPr>
  </w:style>
  <w:style w:type="paragraph" w:customStyle="1" w:styleId="HeadingProcedure">
    <w:name w:val="Heading Procedure"/>
    <w:basedOn w:val="HeadingBase"/>
    <w:next w:val="Normal"/>
    <w:rsid w:val="00ED70C5"/>
    <w:pPr>
      <w:tabs>
        <w:tab w:val="left" w:pos="0"/>
      </w:tabs>
      <w:spacing w:before="120" w:after="60"/>
    </w:pPr>
    <w:rPr>
      <w:i/>
      <w:color w:val="918585"/>
      <w:sz w:val="22"/>
    </w:rPr>
  </w:style>
  <w:style w:type="paragraph" w:customStyle="1" w:styleId="TableBodyText">
    <w:name w:val="Table Body Text"/>
    <w:basedOn w:val="BodyText"/>
    <w:rsid w:val="00ED70C5"/>
    <w:pPr>
      <w:spacing w:before="60" w:after="60"/>
    </w:pPr>
  </w:style>
  <w:style w:type="paragraph" w:styleId="ListContinue">
    <w:name w:val="List Continue"/>
    <w:basedOn w:val="List"/>
    <w:rsid w:val="00ED70C5"/>
    <w:pPr>
      <w:ind w:firstLine="0"/>
    </w:pPr>
  </w:style>
  <w:style w:type="paragraph" w:customStyle="1" w:styleId="ListNote">
    <w:name w:val="List Note"/>
    <w:basedOn w:val="List"/>
    <w:rsid w:val="00ED70C5"/>
    <w:pPr>
      <w:pBdr>
        <w:top w:val="single" w:sz="6" w:space="2" w:color="918585"/>
        <w:bottom w:val="single" w:sz="6" w:space="2" w:color="918585"/>
      </w:pBdr>
      <w:tabs>
        <w:tab w:val="left" w:pos="1021"/>
      </w:tabs>
      <w:ind w:firstLine="0"/>
    </w:pPr>
  </w:style>
  <w:style w:type="paragraph" w:customStyle="1" w:styleId="Warning">
    <w:name w:val="Warning"/>
    <w:basedOn w:val="BodyText"/>
    <w:rsid w:val="00ED70C5"/>
    <w:pPr>
      <w:shd w:val="clear" w:color="auto" w:fill="D9D9D9"/>
      <w:tabs>
        <w:tab w:val="left" w:pos="992"/>
      </w:tabs>
      <w:ind w:left="119" w:right="119"/>
    </w:pPr>
    <w:rPr>
      <w:sz w:val="20"/>
    </w:rPr>
  </w:style>
  <w:style w:type="paragraph" w:customStyle="1" w:styleId="MarginIcons">
    <w:name w:val="Margin Icons"/>
    <w:basedOn w:val="BodyText"/>
    <w:rsid w:val="00ED70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D70C5"/>
    <w:rPr>
      <w:rFonts w:ascii="Courier New" w:hAnsi="Courier New"/>
    </w:rPr>
  </w:style>
  <w:style w:type="paragraph" w:customStyle="1" w:styleId="NoteBullet">
    <w:name w:val="Note Bullet"/>
    <w:basedOn w:val="Note"/>
    <w:rsid w:val="00ED70C5"/>
    <w:pPr>
      <w:tabs>
        <w:tab w:val="clear" w:pos="680"/>
      </w:tabs>
      <w:spacing w:before="60" w:after="60"/>
    </w:pPr>
  </w:style>
  <w:style w:type="paragraph" w:customStyle="1" w:styleId="SubHeading2">
    <w:name w:val="SubHeading2"/>
    <w:basedOn w:val="HeadingBase"/>
    <w:rsid w:val="00ED70C5"/>
    <w:pPr>
      <w:spacing w:before="240" w:after="60"/>
    </w:pPr>
    <w:rPr>
      <w:sz w:val="20"/>
    </w:rPr>
  </w:style>
  <w:style w:type="paragraph" w:customStyle="1" w:styleId="SubHeading1">
    <w:name w:val="SubHeading1"/>
    <w:basedOn w:val="HeadingBase"/>
    <w:rsid w:val="00ED70C5"/>
    <w:pPr>
      <w:spacing w:before="240" w:after="60"/>
    </w:pPr>
    <w:rPr>
      <w:color w:val="918585"/>
      <w:sz w:val="22"/>
    </w:rPr>
  </w:style>
  <w:style w:type="paragraph" w:customStyle="1" w:styleId="SideHeading">
    <w:name w:val="Side Heading"/>
    <w:basedOn w:val="HeadingBase"/>
    <w:rsid w:val="00ED70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0C5"/>
    <w:pPr>
      <w:numPr>
        <w:numId w:val="12"/>
      </w:numPr>
    </w:pPr>
  </w:style>
  <w:style w:type="paragraph" w:styleId="PlainText">
    <w:name w:val="Plain Text"/>
    <w:basedOn w:val="Normal"/>
    <w:link w:val="PlainTextChar"/>
    <w:rsid w:val="00ED70C5"/>
    <w:rPr>
      <w:sz w:val="20"/>
    </w:rPr>
  </w:style>
  <w:style w:type="character" w:customStyle="1" w:styleId="PlainTextChar">
    <w:name w:val="Plain Text Char"/>
    <w:basedOn w:val="DefaultParagraphFont"/>
    <w:link w:val="PlainText"/>
    <w:rsid w:val="00ED70C5"/>
    <w:rPr>
      <w:rFonts w:ascii="Courier New" w:eastAsia="Times New Roman" w:hAnsi="Courier New" w:cs="Times New Roman"/>
      <w:sz w:val="20"/>
      <w:szCs w:val="20"/>
      <w:lang w:val="en-US" w:eastAsia="en-US"/>
    </w:rPr>
  </w:style>
  <w:style w:type="character" w:customStyle="1" w:styleId="MenuOption">
    <w:name w:val="Menu Option"/>
    <w:rsid w:val="00ED70C5"/>
    <w:rPr>
      <w:b/>
      <w:smallCaps/>
    </w:rPr>
  </w:style>
  <w:style w:type="paragraph" w:customStyle="1" w:styleId="TableListNumber">
    <w:name w:val="Table List Number"/>
    <w:basedOn w:val="ListNumber"/>
    <w:rsid w:val="00ED70C5"/>
    <w:pPr>
      <w:numPr>
        <w:numId w:val="0"/>
      </w:numPr>
    </w:pPr>
  </w:style>
  <w:style w:type="paragraph" w:styleId="TOC4">
    <w:name w:val="toc 4"/>
    <w:basedOn w:val="TOCBase"/>
    <w:next w:val="Normal"/>
    <w:semiHidden/>
    <w:rsid w:val="00ED70C5"/>
    <w:pPr>
      <w:tabs>
        <w:tab w:val="right" w:leader="dot" w:pos="9071"/>
      </w:tabs>
      <w:ind w:left="1701"/>
    </w:pPr>
  </w:style>
  <w:style w:type="paragraph" w:customStyle="1" w:styleId="ListAlpha">
    <w:name w:val="List Alpha"/>
    <w:basedOn w:val="List"/>
    <w:rsid w:val="00ED70C5"/>
    <w:pPr>
      <w:numPr>
        <w:numId w:val="9"/>
      </w:numPr>
    </w:pPr>
  </w:style>
  <w:style w:type="paragraph" w:customStyle="1" w:styleId="ListAlpha2">
    <w:name w:val="List Alpha 2"/>
    <w:basedOn w:val="List2"/>
    <w:rsid w:val="00ED70C5"/>
    <w:pPr>
      <w:numPr>
        <w:numId w:val="8"/>
      </w:numPr>
    </w:pPr>
  </w:style>
  <w:style w:type="paragraph" w:styleId="List2">
    <w:name w:val="List 2"/>
    <w:basedOn w:val="BodyText"/>
    <w:rsid w:val="00ED70C5"/>
    <w:pPr>
      <w:tabs>
        <w:tab w:val="left" w:pos="680"/>
      </w:tabs>
      <w:spacing w:before="60" w:after="60"/>
      <w:ind w:left="680" w:hanging="340"/>
    </w:pPr>
  </w:style>
  <w:style w:type="paragraph" w:styleId="List3">
    <w:name w:val="List 3"/>
    <w:basedOn w:val="BodyText"/>
    <w:rsid w:val="00ED70C5"/>
    <w:pPr>
      <w:tabs>
        <w:tab w:val="left" w:pos="1021"/>
      </w:tabs>
      <w:spacing w:before="60" w:after="60"/>
      <w:ind w:left="1020" w:hanging="340"/>
    </w:pPr>
  </w:style>
  <w:style w:type="paragraph" w:styleId="List4">
    <w:name w:val="List 4"/>
    <w:basedOn w:val="BodyText"/>
    <w:rsid w:val="00ED70C5"/>
    <w:pPr>
      <w:tabs>
        <w:tab w:val="left" w:pos="1361"/>
      </w:tabs>
      <w:spacing w:before="60" w:after="60"/>
      <w:ind w:left="1361" w:hanging="340"/>
    </w:pPr>
  </w:style>
  <w:style w:type="paragraph" w:styleId="List5">
    <w:name w:val="List 5"/>
    <w:basedOn w:val="BodyText"/>
    <w:rsid w:val="00ED70C5"/>
    <w:pPr>
      <w:tabs>
        <w:tab w:val="left" w:pos="1701"/>
      </w:tabs>
      <w:spacing w:before="60" w:after="60"/>
      <w:ind w:left="1701" w:hanging="340"/>
    </w:pPr>
  </w:style>
  <w:style w:type="paragraph" w:styleId="ListBullet3">
    <w:name w:val="List Bullet 3"/>
    <w:basedOn w:val="List3"/>
    <w:rsid w:val="00ED70C5"/>
    <w:pPr>
      <w:numPr>
        <w:numId w:val="15"/>
      </w:numPr>
      <w:tabs>
        <w:tab w:val="clear" w:pos="1021"/>
      </w:tabs>
      <w:ind w:left="1037" w:hanging="357"/>
    </w:pPr>
  </w:style>
  <w:style w:type="paragraph" w:styleId="ListBullet4">
    <w:name w:val="List Bullet 4"/>
    <w:basedOn w:val="List4"/>
    <w:rsid w:val="00ED70C5"/>
    <w:pPr>
      <w:numPr>
        <w:numId w:val="3"/>
      </w:numPr>
    </w:pPr>
  </w:style>
  <w:style w:type="paragraph" w:styleId="ListBullet5">
    <w:name w:val="List Bullet 5"/>
    <w:basedOn w:val="List5"/>
    <w:rsid w:val="00ED70C5"/>
    <w:pPr>
      <w:numPr>
        <w:numId w:val="4"/>
      </w:numPr>
    </w:pPr>
  </w:style>
  <w:style w:type="paragraph" w:styleId="ListContinue2">
    <w:name w:val="List Continue 2"/>
    <w:basedOn w:val="List2"/>
    <w:rsid w:val="00ED70C5"/>
    <w:pPr>
      <w:ind w:firstLine="0"/>
    </w:pPr>
  </w:style>
  <w:style w:type="paragraph" w:styleId="ListContinue3">
    <w:name w:val="List Continue 3"/>
    <w:basedOn w:val="List3"/>
    <w:rsid w:val="00ED70C5"/>
    <w:pPr>
      <w:ind w:left="1021" w:firstLine="0"/>
    </w:pPr>
  </w:style>
  <w:style w:type="paragraph" w:styleId="ListContinue4">
    <w:name w:val="List Continue 4"/>
    <w:basedOn w:val="List4"/>
    <w:rsid w:val="00ED70C5"/>
    <w:pPr>
      <w:ind w:firstLine="0"/>
    </w:pPr>
  </w:style>
  <w:style w:type="paragraph" w:styleId="ListContinue5">
    <w:name w:val="List Continue 5"/>
    <w:basedOn w:val="List5"/>
    <w:rsid w:val="00ED70C5"/>
    <w:pPr>
      <w:ind w:firstLine="0"/>
    </w:pPr>
  </w:style>
  <w:style w:type="paragraph" w:styleId="ListNumber3">
    <w:name w:val="List Number 3"/>
    <w:basedOn w:val="List3"/>
    <w:rsid w:val="00ED70C5"/>
    <w:pPr>
      <w:numPr>
        <w:numId w:val="5"/>
      </w:numPr>
    </w:pPr>
  </w:style>
  <w:style w:type="paragraph" w:styleId="ListNumber4">
    <w:name w:val="List Number 4"/>
    <w:basedOn w:val="List4"/>
    <w:rsid w:val="00ED70C5"/>
    <w:pPr>
      <w:numPr>
        <w:numId w:val="6"/>
      </w:numPr>
    </w:pPr>
  </w:style>
  <w:style w:type="paragraph" w:styleId="ListNumber5">
    <w:name w:val="List Number 5"/>
    <w:basedOn w:val="List5"/>
    <w:rsid w:val="00ED70C5"/>
    <w:pPr>
      <w:numPr>
        <w:numId w:val="7"/>
      </w:numPr>
    </w:pPr>
  </w:style>
  <w:style w:type="paragraph" w:styleId="BlockText">
    <w:name w:val="Block Text"/>
    <w:basedOn w:val="Normal"/>
    <w:rsid w:val="00ED70C5"/>
    <w:pPr>
      <w:spacing w:after="120"/>
      <w:ind w:left="1440" w:right="1440"/>
    </w:pPr>
  </w:style>
  <w:style w:type="character" w:customStyle="1" w:styleId="Subscript">
    <w:name w:val="Subscript"/>
    <w:rsid w:val="00ED70C5"/>
    <w:rPr>
      <w:sz w:val="16"/>
      <w:vertAlign w:val="subscript"/>
    </w:rPr>
  </w:style>
  <w:style w:type="character" w:customStyle="1" w:styleId="Superscript">
    <w:name w:val="Superscript"/>
    <w:rsid w:val="00ED70C5"/>
    <w:rPr>
      <w:sz w:val="16"/>
      <w:vertAlign w:val="superscript"/>
    </w:rPr>
  </w:style>
  <w:style w:type="character" w:customStyle="1" w:styleId="Symbols">
    <w:name w:val="Symbols"/>
    <w:rsid w:val="00ED70C5"/>
    <w:rPr>
      <w:rFonts w:ascii="Symbol" w:hAnsi="Symbol"/>
    </w:rPr>
  </w:style>
  <w:style w:type="character" w:customStyle="1" w:styleId="MenuOptions">
    <w:name w:val="Menu Options"/>
    <w:rsid w:val="00ED70C5"/>
    <w:rPr>
      <w:rFonts w:ascii="Arial Narrow" w:hAnsi="Arial Narrow"/>
      <w:smallCaps/>
    </w:rPr>
  </w:style>
  <w:style w:type="character" w:customStyle="1" w:styleId="Buttons">
    <w:name w:val="Buttons"/>
    <w:rsid w:val="00ED70C5"/>
    <w:rPr>
      <w:b/>
    </w:rPr>
  </w:style>
  <w:style w:type="character" w:customStyle="1" w:styleId="Underlined">
    <w:name w:val="Underlined"/>
    <w:rsid w:val="00ED70C5"/>
    <w:rPr>
      <w:u w:val="single"/>
    </w:rPr>
  </w:style>
  <w:style w:type="paragraph" w:customStyle="1" w:styleId="TableBodyTextRight">
    <w:name w:val="Table Body Text Right"/>
    <w:basedOn w:val="TableBodyText"/>
    <w:rsid w:val="00ED70C5"/>
    <w:pPr>
      <w:widowControl w:val="0"/>
      <w:autoSpaceDE w:val="0"/>
      <w:autoSpaceDN w:val="0"/>
      <w:adjustRightInd w:val="0"/>
      <w:jc w:val="right"/>
    </w:pPr>
    <w:rPr>
      <w:rFonts w:cs="Arial"/>
      <w:szCs w:val="18"/>
    </w:rPr>
  </w:style>
  <w:style w:type="paragraph" w:customStyle="1" w:styleId="CopyrightText">
    <w:name w:val="Copyright Text"/>
    <w:basedOn w:val="BodyText"/>
    <w:rsid w:val="00ED70C5"/>
    <w:rPr>
      <w:sz w:val="18"/>
    </w:rPr>
  </w:style>
  <w:style w:type="paragraph" w:customStyle="1" w:styleId="BodySmallRight">
    <w:name w:val="Body Small Right"/>
    <w:basedOn w:val="BodyTextRight"/>
    <w:rsid w:val="00ED70C5"/>
    <w:rPr>
      <w:sz w:val="18"/>
      <w:szCs w:val="18"/>
    </w:rPr>
  </w:style>
  <w:style w:type="paragraph" w:customStyle="1" w:styleId="MarginEdition">
    <w:name w:val="Margin Edition"/>
    <w:basedOn w:val="MarginNote"/>
    <w:rsid w:val="00ED70C5"/>
    <w:pPr>
      <w:spacing w:before="0" w:after="0"/>
    </w:pPr>
    <w:rPr>
      <w:rFonts w:ascii="Times New Roman" w:hAnsi="Times New Roman"/>
      <w:color w:val="999999"/>
    </w:rPr>
  </w:style>
  <w:style w:type="paragraph" w:customStyle="1" w:styleId="Spacer">
    <w:name w:val="Spacer"/>
    <w:basedOn w:val="Normal"/>
    <w:rsid w:val="00ED70C5"/>
    <w:rPr>
      <w:sz w:val="2"/>
      <w:szCs w:val="2"/>
    </w:rPr>
  </w:style>
  <w:style w:type="character" w:customStyle="1" w:styleId="Small">
    <w:name w:val="Small"/>
    <w:rsid w:val="00ED70C5"/>
    <w:rPr>
      <w:sz w:val="16"/>
    </w:rPr>
  </w:style>
  <w:style w:type="paragraph" w:customStyle="1" w:styleId="WideTable">
    <w:name w:val="Wide Table"/>
    <w:basedOn w:val="Normal"/>
    <w:rsid w:val="00ED70C5"/>
    <w:pPr>
      <w:ind w:left="-1418"/>
    </w:pPr>
    <w:rPr>
      <w:sz w:val="2"/>
      <w:szCs w:val="2"/>
    </w:rPr>
  </w:style>
  <w:style w:type="character" w:styleId="PageNumber">
    <w:name w:val="page number"/>
    <w:rsid w:val="00ED70C5"/>
  </w:style>
  <w:style w:type="paragraph" w:styleId="Quote">
    <w:name w:val="Quote"/>
    <w:basedOn w:val="Heading1"/>
    <w:link w:val="QuoteChar"/>
    <w:qFormat/>
    <w:rsid w:val="00ED70C5"/>
    <w:rPr>
      <w:b w:val="0"/>
      <w:sz w:val="72"/>
      <w:szCs w:val="72"/>
      <w:lang w:val="en-NZ"/>
    </w:rPr>
  </w:style>
  <w:style w:type="character" w:customStyle="1" w:styleId="QuoteChar">
    <w:name w:val="Quote Char"/>
    <w:link w:val="Quote"/>
    <w:rsid w:val="00ED70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0C5"/>
    <w:pPr>
      <w:pageBreakBefore/>
    </w:pPr>
  </w:style>
  <w:style w:type="paragraph" w:customStyle="1" w:styleId="Border">
    <w:name w:val="Border"/>
    <w:basedOn w:val="Normal"/>
    <w:qFormat/>
    <w:rsid w:val="00ED70C5"/>
    <w:pPr>
      <w:pBdr>
        <w:top w:val="single" w:sz="18" w:space="1" w:color="auto"/>
      </w:pBdr>
    </w:pPr>
    <w:rPr>
      <w:rFonts w:ascii="Times New Roman" w:hAnsi="Times New Roman"/>
      <w:color w:val="FFFFFF"/>
      <w:sz w:val="2"/>
    </w:rPr>
  </w:style>
  <w:style w:type="character" w:styleId="IntenseEmphasis">
    <w:name w:val="Intense Emphasis"/>
    <w:uiPriority w:val="21"/>
    <w:qFormat/>
    <w:rsid w:val="00ED70C5"/>
    <w:rPr>
      <w:b/>
      <w:bCs/>
      <w:i/>
      <w:iCs/>
      <w:color w:val="auto"/>
    </w:rPr>
  </w:style>
  <w:style w:type="paragraph" w:styleId="IntenseQuote">
    <w:name w:val="Intense Quote"/>
    <w:basedOn w:val="Normal"/>
    <w:next w:val="Normal"/>
    <w:link w:val="IntenseQuoteChar"/>
    <w:uiPriority w:val="30"/>
    <w:qFormat/>
    <w:rsid w:val="00ED70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D70C5"/>
    <w:rPr>
      <w:rFonts w:ascii="Courier New" w:eastAsia="Times New Roman" w:hAnsi="Courier New" w:cs="Times New Roman"/>
      <w:b/>
      <w:bCs/>
      <w:i/>
      <w:iCs/>
      <w:szCs w:val="20"/>
      <w:lang w:val="en-US" w:eastAsia="en-US"/>
    </w:rPr>
  </w:style>
  <w:style w:type="character" w:styleId="SubtleReference">
    <w:name w:val="Subtle Reference"/>
    <w:uiPriority w:val="31"/>
    <w:qFormat/>
    <w:rsid w:val="00ED70C5"/>
    <w:rPr>
      <w:smallCaps/>
      <w:color w:val="auto"/>
      <w:u w:val="single"/>
    </w:rPr>
  </w:style>
  <w:style w:type="character" w:styleId="IntenseReference">
    <w:name w:val="Intense Reference"/>
    <w:uiPriority w:val="32"/>
    <w:qFormat/>
    <w:rsid w:val="00ED70C5"/>
    <w:rPr>
      <w:b/>
      <w:bCs/>
      <w:smallCaps/>
      <w:color w:val="auto"/>
      <w:spacing w:val="5"/>
      <w:u w:val="single"/>
    </w:rPr>
  </w:style>
  <w:style w:type="paragraph" w:customStyle="1" w:styleId="2ColumnHeading">
    <w:name w:val="2Column Heading"/>
    <w:basedOn w:val="BodyText"/>
    <w:qFormat/>
    <w:rsid w:val="00ED70C5"/>
    <w:pPr>
      <w:spacing w:after="60"/>
      <w:ind w:left="-2268"/>
    </w:pPr>
    <w:rPr>
      <w:b/>
    </w:rPr>
  </w:style>
  <w:style w:type="paragraph" w:customStyle="1" w:styleId="Heading1TOC">
    <w:name w:val="Heading1 TOC"/>
    <w:basedOn w:val="Normal"/>
    <w:qFormat/>
    <w:rsid w:val="00ED70C5"/>
    <w:pPr>
      <w:spacing w:before="240" w:after="120"/>
    </w:pPr>
    <w:rPr>
      <w:rFonts w:ascii="Times New Roman" w:hAnsi="Times New Roman"/>
      <w:b/>
      <w:sz w:val="32"/>
    </w:rPr>
  </w:style>
  <w:style w:type="paragraph" w:customStyle="1" w:styleId="Heading2TOC">
    <w:name w:val="Heading2 TOC"/>
    <w:basedOn w:val="Normal"/>
    <w:qFormat/>
    <w:rsid w:val="00ED70C5"/>
    <w:pPr>
      <w:spacing w:before="240" w:after="60"/>
    </w:pPr>
    <w:rPr>
      <w:rFonts w:ascii="Times New Roman" w:hAnsi="Times New Roman"/>
      <w:b/>
      <w:sz w:val="28"/>
    </w:rPr>
  </w:style>
  <w:style w:type="character" w:customStyle="1" w:styleId="Underline">
    <w:name w:val="Underline"/>
    <w:qFormat/>
    <w:rsid w:val="00ED70C5"/>
    <w:rPr>
      <w:u w:val="single"/>
    </w:rPr>
  </w:style>
  <w:style w:type="character" w:customStyle="1" w:styleId="BoldandItalics">
    <w:name w:val="Bold and Italics"/>
    <w:qFormat/>
    <w:rsid w:val="00ED70C5"/>
    <w:rPr>
      <w:b/>
      <w:i/>
      <w:u w:val="none"/>
    </w:rPr>
  </w:style>
  <w:style w:type="paragraph" w:styleId="BalloonText">
    <w:name w:val="Balloon Text"/>
    <w:basedOn w:val="Normal"/>
    <w:link w:val="BalloonTextChar"/>
    <w:rsid w:val="00ED70C5"/>
    <w:rPr>
      <w:rFonts w:ascii="Tahoma" w:hAnsi="Tahoma" w:cs="Tahoma"/>
      <w:sz w:val="16"/>
      <w:szCs w:val="16"/>
    </w:rPr>
  </w:style>
  <w:style w:type="character" w:customStyle="1" w:styleId="BalloonTextChar">
    <w:name w:val="Balloon Text Char"/>
    <w:link w:val="BalloonText"/>
    <w:rsid w:val="00ED70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70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D70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8D78BF2A.dotm</Template>
  <TotalTime>0</TotalTime>
  <Pages>6</Pages>
  <Words>1116</Words>
  <Characters>7604</Characters>
  <Application>Microsoft Office Word</Application>
  <DocSecurity>0</DocSecurity>
  <Lines>258</Lines>
  <Paragraphs>163</Paragraphs>
  <ScaleCrop>false</ScaleCrop>
  <Company>Author-it Software Corporation Ltd.</Company>
  <LinksUpToDate>false</LinksUpToDate>
  <CharactersWithSpaces>8647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TLIP4039A Monitor transport operations</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2012-05-27T04:04:00Z</dcterms:created>
  <dcterms:modified xsi:type="dcterms:W3CDTF">2012-05-27T04:04:00Z</dcterms:modified>
</cp:coreProperties>
</file>