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4F3" w:rsidP="00F374F3">
      <w:pPr>
        <w:pStyle w:val="Title"/>
      </w:pPr>
      <w:r>
        <w:fldChar w:fldCharType="begin"/>
      </w:r>
      <w:r>
        <w:instrText xml:space="preserve"> TITLE   \* MERGEFORMAT </w:instrText>
      </w:r>
      <w:r>
        <w:fldChar w:fldCharType="separate"/>
      </w:r>
      <w:r>
        <w:t>TLIP2038A Conduct, balance and secure financial transactions</w:t>
      </w:r>
      <w:r>
        <w:fldChar w:fldCharType="end"/>
      </w:r>
    </w:p>
    <w:p w:rsidR="00F374F3" w:rsidP="00F374F3">
      <w:pPr>
        <w:pStyle w:val="Version"/>
        <w:sectPr w:rsidSect="00B77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AF3" w:rsidP="00B77AF3">
      <w:pPr>
        <w:pStyle w:val="SuperHeading"/>
      </w:pPr>
      <w:r w:rsidRPr="00B77AF3">
        <w:t>TLIP2038A Conduct, balance and secure financial transactions</w:t>
      </w:r>
    </w:p>
    <w:p w:rsidR="00000000" w:rsidRPr="00B77AF3" w:rsidP="00B77AF3">
      <w:pPr>
        <w:pStyle w:val="Heading1"/>
      </w:pPr>
      <w:bookmarkStart w:id="1" w:name="O_628558"/>
      <w:bookmarkEnd w:id="1"/>
      <w:r w:rsidRPr="00B77AF3">
        <w:t>Modification History</w:t>
      </w:r>
    </w:p>
    <w:p w:rsidR="00000000" w:rsidRPr="00B77AF3" w:rsidP="00B77AF3">
      <w:pPr>
        <w:pStyle w:val="BodyText"/>
      </w:pPr>
      <w:r w:rsidRPr="00B77AF3">
        <w:t xml:space="preserve">Release 1. This is the first release of this unit. </w:t>
      </w:r>
    </w:p>
    <w:p w:rsidR="00000000" w:rsidRPr="00B77AF3" w:rsidP="00B77AF3">
      <w:pPr>
        <w:pStyle w:val="AllowPageBreak"/>
      </w:pPr>
    </w:p>
    <w:p w:rsidR="00000000" w:rsidRPr="00B77AF3" w:rsidP="00B77AF3">
      <w:pPr>
        <w:pStyle w:val="Heading1"/>
      </w:pPr>
      <w:bookmarkStart w:id="2" w:name="O_628559"/>
      <w:bookmarkEnd w:id="2"/>
      <w:r w:rsidRPr="00B77AF3">
        <w:t>Unit Descriptor</w:t>
      </w:r>
    </w:p>
    <w:p w:rsidR="00000000" w:rsidRPr="00B77AF3" w:rsidP="00B77AF3">
      <w:pPr>
        <w:pStyle w:val="BodyText"/>
      </w:pPr>
      <w:r w:rsidRPr="00B77AF3">
        <w:t>This unit involves the knowledge and skills required to communicate with customers and operate a range of point-of-sale equipment to p</w:t>
      </w:r>
      <w:r w:rsidRPr="00B77AF3">
        <w:t>erform sales transactions, and to balance and reconcile a register or terminal. It involves conducting transactions, clearing the register, counting money, calculating non</w:t>
      </w:r>
      <w:r w:rsidRPr="00B77AF3">
        <w:noBreakHyphen/>
        <w:t xml:space="preserve">cash transactions, and reconciling and recording takings. </w:t>
      </w:r>
    </w:p>
    <w:p w:rsidR="00000000" w:rsidRPr="00B77AF3" w:rsidP="00B77AF3">
      <w:pPr>
        <w:pStyle w:val="BodyText"/>
      </w:pPr>
    </w:p>
    <w:p w:rsidR="00000000" w:rsidRPr="00B77AF3" w:rsidP="00B77AF3">
      <w:pPr>
        <w:pStyle w:val="BodyText"/>
      </w:pPr>
      <w:r w:rsidRPr="00B77AF3">
        <w:t>No licensing, legislativ</w:t>
      </w:r>
      <w:r w:rsidRPr="00B77AF3">
        <w:t>e, regulatory or certification requirements apply to this unit at the time of endorsement.</w:t>
      </w:r>
    </w:p>
    <w:p w:rsidR="00000000" w:rsidRPr="00B77AF3" w:rsidP="00B77AF3">
      <w:pPr>
        <w:pStyle w:val="AllowPageBreak"/>
      </w:pPr>
    </w:p>
    <w:p w:rsidR="00000000" w:rsidRPr="00B77AF3" w:rsidP="00B77AF3">
      <w:pPr>
        <w:pStyle w:val="Heading1"/>
      </w:pPr>
      <w:bookmarkStart w:id="3" w:name="O_628560"/>
      <w:bookmarkEnd w:id="3"/>
      <w:r w:rsidRPr="00B77AF3">
        <w:t>Application of the Unit</w:t>
      </w:r>
    </w:p>
    <w:p w:rsidR="00000000" w:rsidRPr="00B77AF3" w:rsidP="00B77AF3">
      <w:pPr>
        <w:pStyle w:val="BodyText"/>
      </w:pPr>
      <w:r w:rsidRPr="00B77AF3">
        <w:t>This unit applies to frontline staff working under some supervision and requires the application of organisational policy an</w:t>
      </w:r>
      <w:r w:rsidRPr="00B77AF3">
        <w:t>d procedures in undertaking work tasks.</w:t>
      </w:r>
    </w:p>
    <w:p w:rsidR="00000000" w:rsidRPr="00B77AF3" w:rsidP="00B77AF3">
      <w:pPr>
        <w:pStyle w:val="AllowPageBreak"/>
      </w:pPr>
    </w:p>
    <w:p w:rsidR="00000000" w:rsidRPr="00B77AF3" w:rsidP="00B77AF3">
      <w:pPr>
        <w:pStyle w:val="Heading1"/>
      </w:pPr>
      <w:bookmarkStart w:id="4" w:name="O_628561"/>
      <w:bookmarkEnd w:id="4"/>
      <w:r w:rsidRPr="00B77AF3">
        <w:t>Licensing/Regulatory Information</w:t>
      </w:r>
    </w:p>
    <w:p w:rsidR="00000000" w:rsidRPr="00B77AF3" w:rsidP="00B77AF3">
      <w:pPr>
        <w:pStyle w:val="BodyText"/>
      </w:pPr>
      <w:r w:rsidRPr="00B77AF3">
        <w:t>Refer to Unit Descriptor.</w:t>
      </w:r>
    </w:p>
    <w:p w:rsidR="00000000" w:rsidRPr="00B77AF3" w:rsidP="00B77AF3">
      <w:pPr>
        <w:pStyle w:val="AllowPageBreak"/>
      </w:pPr>
    </w:p>
    <w:p w:rsidR="00000000" w:rsidRPr="00B77AF3" w:rsidP="00B77AF3">
      <w:pPr>
        <w:pStyle w:val="Heading1"/>
      </w:pPr>
      <w:bookmarkStart w:id="5" w:name="O_628562"/>
      <w:bookmarkEnd w:id="5"/>
      <w:r w:rsidRPr="00B77AF3">
        <w:t>Pre-Requisites</w:t>
      </w:r>
    </w:p>
    <w:p w:rsidR="00000000" w:rsidRPr="00B77AF3" w:rsidP="00B77AF3">
      <w:pPr>
        <w:pStyle w:val="BodyText"/>
      </w:pPr>
      <w:r w:rsidRPr="00B77AF3">
        <w:t>Nil</w:t>
      </w:r>
    </w:p>
    <w:p w:rsidR="00000000" w:rsidRPr="00B77AF3" w:rsidP="00B77AF3">
      <w:pPr>
        <w:pStyle w:val="AllowPageBreak"/>
      </w:pPr>
    </w:p>
    <w:p w:rsidR="00000000" w:rsidRPr="00B77AF3" w:rsidP="00B77AF3">
      <w:pPr>
        <w:pStyle w:val="Heading1"/>
      </w:pPr>
      <w:bookmarkStart w:id="6" w:name="O_628563"/>
      <w:bookmarkEnd w:id="6"/>
      <w:r w:rsidRPr="00B77AF3">
        <w:t>Employability Skills Information</w:t>
      </w:r>
    </w:p>
    <w:p w:rsidR="00000000" w:rsidRPr="00B77AF3" w:rsidP="00B77AF3">
      <w:pPr>
        <w:pStyle w:val="BodyText"/>
      </w:pPr>
      <w:r w:rsidRPr="00B77AF3">
        <w:t>This unit contains employability skills.</w:t>
      </w:r>
    </w:p>
    <w:p w:rsidR="00000000" w:rsidRPr="00B77AF3" w:rsidP="00B77AF3">
      <w:pPr>
        <w:pStyle w:val="AllowPageBreak"/>
      </w:pPr>
    </w:p>
    <w:p w:rsidR="00000000" w:rsidRPr="00B77AF3" w:rsidP="00B77AF3">
      <w:pPr>
        <w:pStyle w:val="Heading1"/>
      </w:pPr>
      <w:bookmarkStart w:id="7" w:name="O_628564"/>
      <w:bookmarkEnd w:id="7"/>
      <w:r w:rsidRPr="00B77AF3">
        <w:t>Elements and Performance Criteria Pre-Content</w:t>
      </w:r>
    </w:p>
    <w:tbl>
      <w:tblPr>
        <w:tblW w:w="9640" w:type="dxa"/>
        <w:tblLayout w:type="fixed"/>
        <w:tblCellMar>
          <w:left w:w="62" w:type="dxa"/>
          <w:right w:w="62" w:type="dxa"/>
        </w:tblCellMar>
        <w:tblLook w:val="0000"/>
      </w:tblPr>
      <w:tblGrid>
        <w:gridCol w:w="2776"/>
        <w:gridCol w:w="6864"/>
      </w:tblGrid>
      <w:tr w:rsidTr="00F374F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t xml:space="preserve">Performance criteria describe the required performance needed to demonstrate achievement of the element. Assessment of performance is to be </w:t>
            </w:r>
            <w:r w:rsidRPr="00B77AF3">
              <w:t>consistent with the evidence guide.</w:t>
            </w:r>
          </w:p>
        </w:tc>
      </w:tr>
    </w:tbl>
    <w:p w:rsidR="00000000" w:rsidRPr="00B77AF3" w:rsidP="00B77AF3">
      <w:pPr>
        <w:pStyle w:val="BodyText"/>
      </w:pPr>
    </w:p>
    <w:p w:rsidR="00000000" w:rsidRPr="00B77AF3" w:rsidP="00B77AF3">
      <w:pPr>
        <w:pStyle w:val="AllowPageBreak"/>
      </w:pPr>
    </w:p>
    <w:p w:rsidR="00000000" w:rsidRPr="00B77AF3" w:rsidP="00B77AF3">
      <w:pPr>
        <w:pStyle w:val="Heading1"/>
      </w:pPr>
      <w:bookmarkStart w:id="8" w:name="O_628565"/>
      <w:bookmarkEnd w:id="8"/>
      <w:r w:rsidRPr="00B77AF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374F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Operate point-of-sale equipment</w:t>
            </w: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1.1</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equipment is operated in accordance with design specifications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1.2</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terminal is opened and closed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1.3</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terminal is cleared and tender is transferred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1.4</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Cash handling is conducted in accordance with organisational security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1.5</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Supplies of change and cash float are maintained in point-of-sale terminal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1.6</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Records of transaction error</w:t>
            </w:r>
            <w:r w:rsidRPr="00B77AF3">
              <w:t>s are recorded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1.7</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Adequate supplies of dockets, vouchers and point-of-sale documents are maintained</w:t>
            </w:r>
          </w:p>
        </w:tc>
      </w:tr>
      <w:tr w:rsidTr="00F374F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Perform point-of-sale transactions</w:t>
            </w: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2.1</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transactions are completed in accordance with organisational policies and procedures and relevant legislation</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2.2</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Organisational procedures for cash and non-cash transactions are identified and applied</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2.3</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Organisational policies and procedures for exchanges and returns are identified and applied</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2.4</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Information is entered correctly into point-of-sale equipment</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2.5</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Total price and amount of cash received is verbally stated and correct change is tendere</w:t>
            </w:r>
            <w:r w:rsidRPr="00B77AF3">
              <w:t>d</w:t>
            </w:r>
          </w:p>
        </w:tc>
      </w:tr>
      <w:tr w:rsidTr="00F374F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Complete sales</w:t>
            </w: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3.1</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Relevant documentation is completed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3.2</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Sales transactions are processed in a timely manner in accordance with organisational policies and procedures</w:t>
            </w:r>
          </w:p>
        </w:tc>
      </w:tr>
      <w:tr w:rsidTr="00F374F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Remove takings from register or terminal</w:t>
            </w: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4.1</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Register or terminal is balanced at designated times in accordance with 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4.2</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Cash float is separated from takings prior to balancing and is secured in accordance with org</w:t>
            </w:r>
            <w:r w:rsidRPr="00B77AF3">
              <w:t>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4.3</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 xml:space="preserve">Change is supplied to register or terminal in accordance with </w:t>
            </w:r>
            <w:r w:rsidRPr="00B77AF3">
              <w:t>organisational policies and procedures</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4.4</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Register or terminal reading or printout is obtained and interpreted</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4.5</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Cash and non-cash documents are removed and secured in accordance with organisational policies and procedures</w:t>
            </w:r>
          </w:p>
        </w:tc>
      </w:tr>
      <w:tr w:rsidTr="00F374F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Reconcile takings</w:t>
            </w: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5.1</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Cash is counted accurately</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5.2</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Non-cash documents are calculated accurately</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5.3</w:t>
            </w:r>
          </w:p>
        </w:tc>
        <w:tc>
          <w:tcPr>
            <w:tcW w:w="686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Balance between register or terminal reading and sum of cash and non-cash transactions is determined correctly</w:t>
            </w:r>
          </w:p>
        </w:tc>
      </w:tr>
      <w:tr w:rsidTr="00F374F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5.4</w:t>
            </w:r>
          </w:p>
        </w:tc>
        <w:tc>
          <w:tcPr>
            <w:tcW w:w="6864" w:type="dxa"/>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t>Discrepancies between register or terminal reading and sum of cash</w:t>
            </w:r>
          </w:p>
        </w:tc>
      </w:tr>
    </w:tbl>
    <w:p w:rsidR="00000000" w:rsidRPr="00B77AF3" w:rsidP="00B77AF3">
      <w:pPr>
        <w:pStyle w:val="BodyText"/>
      </w:pPr>
    </w:p>
    <w:p w:rsidR="00000000" w:rsidRPr="00B77AF3" w:rsidP="00B77AF3">
      <w:pPr>
        <w:pStyle w:val="AllowPageBreak"/>
      </w:pPr>
    </w:p>
    <w:p w:rsidR="00000000" w:rsidRPr="00B77AF3" w:rsidP="00B77AF3">
      <w:pPr>
        <w:pStyle w:val="Heading1"/>
      </w:pPr>
      <w:bookmarkStart w:id="9" w:name="O_628566"/>
      <w:bookmarkEnd w:id="9"/>
      <w:r w:rsidRPr="00B77AF3">
        <w:t>Required Skills and Knowledge</w:t>
      </w:r>
    </w:p>
    <w:tbl>
      <w:tblPr>
        <w:tblW w:w="9640" w:type="dxa"/>
        <w:tblLayout w:type="fixed"/>
        <w:tblCellMar>
          <w:left w:w="62" w:type="dxa"/>
          <w:right w:w="62" w:type="dxa"/>
        </w:tblCellMar>
        <w:tblLook w:val="0000"/>
      </w:tblPr>
      <w:tblGrid>
        <w:gridCol w:w="9640"/>
      </w:tblGrid>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This section describes the knowledge and skills required for this unit.</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Required knowledge: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Cash and non</w:t>
            </w:r>
            <w:r w:rsidRPr="00B77AF3">
              <w:noBreakHyphen/>
              <w:t>cash handling procedures, including:</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balancing point-of-sale terminal</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calculating non</w:t>
            </w:r>
            <w:r w:rsidRPr="00B77AF3">
              <w:noBreakHyphen/>
              <w:t>cash documents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change required and denominations of ch</w:t>
            </w:r>
            <w:r w:rsidRPr="00B77AF3">
              <w:t>ange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clearance of terminal and transference of tender</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counting cash</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credit and returns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credit cards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EFTPOS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maintenance of cash float</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opening and closing point-of-sale terminal</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recording takings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security of cash and non</w:t>
            </w:r>
            <w:r w:rsidRPr="00B77AF3">
              <w:noBreakHyphen/>
              <w:t>cash transactions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Organisational policy and procedures in relation to:</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cash float</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operation of equipment used at register or terminal</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register or terminal balance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security of cash and non</w:t>
            </w:r>
            <w:r w:rsidRPr="00B77AF3">
              <w:noBreakHyphen/>
              <w:t>cash transactions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Relevant health and hygiene regulations and requirements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Relevant legislation, regulations and codes of practice such as: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consumer law</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work health and safety (WHS)/occupational health and safety (OHS)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privacy</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good and services tax</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Records: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electronic</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manual</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Workplace pol</w:t>
            </w:r>
            <w:r w:rsidRPr="00B77AF3">
              <w:t>icies and procedures in regard to client service and point-of-sale techniques</w:t>
            </w:r>
          </w:p>
        </w:tc>
      </w:tr>
    </w:tbl>
    <w:p w:rsidR="00000000" w:rsidRPr="00B77AF3" w:rsidP="00B77AF3">
      <w:pPr>
        <w:pStyle w:val="BodyText"/>
      </w:pPr>
    </w:p>
    <w:tbl>
      <w:tblPr>
        <w:tblW w:w="9640" w:type="dxa"/>
        <w:tblLayout w:type="fixed"/>
        <w:tblCellMar>
          <w:left w:w="62" w:type="dxa"/>
          <w:right w:w="62" w:type="dxa"/>
        </w:tblCellMar>
        <w:tblLook w:val="0000"/>
      </w:tblPr>
      <w:tblGrid>
        <w:gridCol w:w="9640"/>
      </w:tblGrid>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Required skills: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Balance point-of-sale terminal or register</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Calculate: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total price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non-cash transactions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discrepancies between reported and actual takings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Count cash</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Communicate effectively verbally and non-verbally</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Implement organisational policies and procedure in relation to:</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credits and returns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customer refunds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Interpret and complete documentation</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Manage time effectively and complete tasks in a set timeframe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 xml:space="preserve">Operate terminal or register </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Report on takings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Tender correct change</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
              <w:rPr>
                <w:lang w:val="en-NZ"/>
              </w:rPr>
            </w:pPr>
            <w:r w:rsidRPr="00B77AF3">
              <w:t>Use point-of-sale equipment such as: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calculators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credit cards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7AF3">
            <w:pPr>
              <w:pStyle w:val="ListBullet2"/>
              <w:rPr>
                <w:lang w:val="en-NZ"/>
              </w:rPr>
            </w:pPr>
            <w:r w:rsidRPr="00B77AF3">
              <w:t>EFTPOS</w:t>
            </w:r>
          </w:p>
        </w:tc>
      </w:tr>
      <w:tr w:rsidTr="00B77AF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7AF3" w:rsidP="00B77AF3">
            <w:pPr>
              <w:pStyle w:val="ListBullet2"/>
            </w:pPr>
            <w:r w:rsidRPr="00B77AF3">
              <w:t>registers</w:t>
            </w:r>
          </w:p>
        </w:tc>
      </w:tr>
    </w:tbl>
    <w:p w:rsidR="00000000" w:rsidRPr="00B77AF3" w:rsidP="00B77AF3">
      <w:pPr>
        <w:pStyle w:val="BodyText"/>
      </w:pPr>
    </w:p>
    <w:p w:rsidR="00000000" w:rsidRPr="00B77AF3" w:rsidP="00B77AF3">
      <w:pPr>
        <w:pStyle w:val="AllowPageBreak"/>
      </w:pPr>
    </w:p>
    <w:p w:rsidR="00000000" w:rsidRPr="00B77AF3" w:rsidP="00B77AF3">
      <w:pPr>
        <w:pStyle w:val="Heading1"/>
      </w:pPr>
      <w:bookmarkStart w:id="10" w:name="O_628567"/>
      <w:bookmarkEnd w:id="10"/>
      <w:r w:rsidRPr="00B77AF3">
        <w:t>Evidence Guide</w:t>
      </w:r>
    </w:p>
    <w:tbl>
      <w:tblPr>
        <w:tblW w:w="9640" w:type="dxa"/>
        <w:tblLayout w:type="fixed"/>
        <w:tblCellMar>
          <w:left w:w="62" w:type="dxa"/>
          <w:right w:w="62" w:type="dxa"/>
        </w:tblCellMar>
        <w:tblLook w:val="0000"/>
      </w:tblPr>
      <w:tblGrid>
        <w:gridCol w:w="3338"/>
        <w:gridCol w:w="6302"/>
      </w:tblGrid>
      <w:tr w:rsidTr="00B77AF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The evidence guide provides advice on assessment and must be read in conjunction with the performance criteria, required knowledge and skills, the range statement and the assessment guidelines for this Training Package.</w:t>
            </w:r>
          </w:p>
        </w:tc>
      </w:tr>
      <w:tr w:rsidTr="00B77AF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t>The evidence required to demonstrate competence in this unit must be relevant to and satisfy all of the requirements of the Elements, Performance Criteria, Require</w:t>
            </w:r>
            <w:r w:rsidRPr="00B77AF3">
              <w:t>d Skills, Required Knowledge and include demonstration of applying:</w:t>
            </w:r>
          </w:p>
          <w:p w:rsidR="00000000" w:rsidRPr="00B77AF3" w:rsidP="00B77AF3">
            <w:pPr>
              <w:pStyle w:val="ListBullet"/>
            </w:pPr>
            <w:r w:rsidRPr="00B77AF3">
              <w:t>required knowledge and skills</w:t>
            </w:r>
          </w:p>
          <w:p w:rsidR="00000000" w:rsidRPr="00B77AF3" w:rsidP="00B77AF3">
            <w:pPr>
              <w:pStyle w:val="ListBullet"/>
            </w:pPr>
            <w:r w:rsidRPr="00B77AF3">
              <w:t>relevant legislation and workplace procedures</w:t>
            </w:r>
          </w:p>
          <w:p w:rsidR="00000000" w:rsidRPr="00B77AF3" w:rsidP="00B77AF3">
            <w:pPr>
              <w:pStyle w:val="ListBullet"/>
            </w:pPr>
            <w:r w:rsidRPr="00B77AF3">
              <w:t>other relevant aspects of the range statement.</w:t>
            </w:r>
          </w:p>
          <w:p w:rsidR="00000000" w:rsidRPr="00B77AF3" w:rsidP="00B77AF3">
            <w:pPr>
              <w:pStyle w:val="BodyText"/>
            </w:pPr>
            <w:r w:rsidRPr="00B77AF3">
              <w:t>Assessment must include exercises that demonstrate competent per</w:t>
            </w:r>
            <w:r w:rsidRPr="00B77AF3">
              <w:t>formance of the following in a range of situations:</w:t>
            </w:r>
          </w:p>
          <w:p w:rsidR="00000000" w:rsidRPr="00B77AF3" w:rsidP="00B77AF3">
            <w:pPr>
              <w:pStyle w:val="ListBullet"/>
            </w:pPr>
            <w:r w:rsidRPr="00B77AF3">
              <w:t>operating register or terminal equipment in accordance with manufacturer instructions and organisational policies and procedures</w:t>
            </w:r>
          </w:p>
          <w:p w:rsidR="00000000" w:rsidRPr="00B77AF3" w:rsidP="00B77AF3">
            <w:pPr>
              <w:pStyle w:val="ListBullet"/>
            </w:pPr>
            <w:r w:rsidRPr="00B77AF3">
              <w:t>applying relevant organisational policies and procedures ( handling cash a</w:t>
            </w:r>
            <w:r w:rsidRPr="00B77AF3">
              <w:t>nd removing takings from register or terminal, cash float, reading registers and recording information)</w:t>
            </w:r>
          </w:p>
          <w:p w:rsidR="00000000" w:rsidRPr="00B77AF3" w:rsidP="00B77AF3">
            <w:pPr>
              <w:pStyle w:val="ListBullet"/>
            </w:pPr>
            <w:r w:rsidRPr="00B77AF3">
              <w:t>processing documentation and records responsibly in accordance with organisational policies and procedures</w:t>
            </w:r>
          </w:p>
          <w:p w:rsidR="00000000" w:rsidP="00B77AF3">
            <w:pPr>
              <w:pStyle w:val="ListBullet"/>
              <w:rPr>
                <w:lang w:val="en-NZ"/>
              </w:rPr>
            </w:pPr>
            <w:r w:rsidRPr="00B77AF3">
              <w:t>reconciling takings in accordance with organi</w:t>
            </w:r>
            <w:r w:rsidRPr="00B77AF3">
              <w:t>sational policies and procedures.</w:t>
            </w:r>
          </w:p>
        </w:tc>
      </w:tr>
      <w:tr w:rsidTr="00B77AF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t>Performance is demonstrated consistently over time and in a suitable range of contexts.</w:t>
            </w:r>
          </w:p>
          <w:p w:rsidR="00000000" w:rsidRPr="00B77AF3" w:rsidP="00B77AF3">
            <w:pPr>
              <w:pStyle w:val="BodyText"/>
            </w:pPr>
            <w:r w:rsidRPr="00B77AF3">
              <w:t>Resources for assessment include access to:</w:t>
            </w:r>
          </w:p>
          <w:p w:rsidR="00000000" w:rsidRPr="00B77AF3" w:rsidP="00B77AF3">
            <w:pPr>
              <w:pStyle w:val="ListBullet"/>
            </w:pPr>
            <w:r w:rsidRPr="00B77AF3">
              <w:t>a range of relevant exercises, case studies and/or other simulated practical and knowledge assessment, and/or</w:t>
            </w:r>
          </w:p>
          <w:p w:rsidR="00000000" w:rsidRPr="00B77AF3" w:rsidP="00B77AF3">
            <w:pPr>
              <w:pStyle w:val="ListBullet"/>
            </w:pPr>
            <w:r w:rsidRPr="00B77AF3">
              <w:t>an appropriate range of relevant operational situations in the workplace.</w:t>
            </w:r>
          </w:p>
          <w:p w:rsidR="00000000" w:rsidRPr="00B77AF3" w:rsidP="00B77AF3">
            <w:pPr>
              <w:pStyle w:val="BodyText"/>
            </w:pPr>
            <w:r w:rsidRPr="00B77AF3">
              <w:t>In both real and simulated environments, access is required to:</w:t>
            </w:r>
          </w:p>
          <w:p w:rsidR="00000000" w:rsidRPr="00B77AF3" w:rsidP="00B77AF3">
            <w:pPr>
              <w:pStyle w:val="ListBullet"/>
            </w:pPr>
            <w:r w:rsidRPr="00B77AF3">
              <w:t>relevan</w:t>
            </w:r>
            <w:r w:rsidRPr="00B77AF3">
              <w:t>t and appropriate materials and equipment, and</w:t>
            </w:r>
          </w:p>
          <w:p w:rsidR="00000000" w:rsidP="00B77AF3">
            <w:pPr>
              <w:pStyle w:val="ListBullet"/>
              <w:rPr>
                <w:lang w:val="en-NZ"/>
              </w:rPr>
            </w:pPr>
            <w:r w:rsidRPr="00B77AF3">
              <w:t>applicable documentation including workplace procedures, regulations, codes of practice and operation manuals.</w:t>
            </w:r>
          </w:p>
        </w:tc>
      </w:tr>
      <w:tr w:rsidTr="00B77AF3">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B77AF3" w:rsidP="00B77AF3">
            <w:pPr>
              <w:pStyle w:val="BodyText"/>
            </w:pPr>
            <w:r w:rsidRPr="00B77AF3">
              <w:t xml:space="preserve">As a minimum, assessment of knowledge must be conducted through appropriate </w:t>
            </w:r>
            <w:r w:rsidRPr="00B77AF3">
              <w:t>written/oral tests.</w:t>
            </w:r>
          </w:p>
          <w:p w:rsidR="00000000" w:rsidRPr="00B77AF3" w:rsidP="00B77AF3">
            <w:pPr>
              <w:pStyle w:val="BodyText"/>
            </w:pPr>
            <w:r w:rsidRPr="00B77AF3">
              <w:t>Practical assessment must occur:</w:t>
            </w:r>
          </w:p>
          <w:p w:rsidR="00000000" w:rsidRPr="00B77AF3" w:rsidP="00B77AF3">
            <w:pPr>
              <w:pStyle w:val="ListBullet"/>
            </w:pPr>
            <w:r w:rsidRPr="00B77AF3">
              <w:t>through activities in an appropriately simulated environment, and/or</w:t>
            </w:r>
          </w:p>
          <w:p w:rsidR="00000000" w:rsidRPr="00B77AF3" w:rsidP="00B77AF3">
            <w:pPr>
              <w:pStyle w:val="ListBullet"/>
            </w:pPr>
            <w:r w:rsidRPr="00B77AF3">
              <w:t>in an appropriate range of situations in the workplace</w:t>
            </w:r>
          </w:p>
        </w:tc>
      </w:tr>
    </w:tbl>
    <w:p w:rsidR="00000000" w:rsidRPr="00B77AF3" w:rsidP="00B77AF3">
      <w:pPr>
        <w:pStyle w:val="BodyText"/>
      </w:pPr>
    </w:p>
    <w:p w:rsidR="00000000" w:rsidRPr="00B77AF3" w:rsidP="00B77AF3">
      <w:pPr>
        <w:pStyle w:val="AllowPageBreak"/>
      </w:pPr>
    </w:p>
    <w:p w:rsidR="00000000" w:rsidRPr="00B77AF3" w:rsidP="00B77AF3">
      <w:pPr>
        <w:pStyle w:val="Heading1"/>
      </w:pPr>
      <w:bookmarkStart w:id="11" w:name="O_628568"/>
      <w:bookmarkEnd w:id="11"/>
      <w:r w:rsidRPr="00B77AF3">
        <w:t>Range Statement</w:t>
      </w:r>
    </w:p>
    <w:tbl>
      <w:tblPr>
        <w:tblW w:w="0" w:type="auto"/>
        <w:tblCellMar>
          <w:left w:w="62" w:type="dxa"/>
          <w:right w:w="62" w:type="dxa"/>
        </w:tblCellMar>
        <w:tblLook w:val="0000"/>
      </w:tblPr>
      <w:tblGrid>
        <w:gridCol w:w="2586"/>
        <w:gridCol w:w="6610"/>
      </w:tblGrid>
      <w:tr w:rsidTr="00F374F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The range statement relates to the unit of competency as a whole. It allows for different work environments and situations that may affect performance.</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equipment may include:</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electronic:</w:t>
            </w:r>
          </w:p>
          <w:p w:rsidR="00000000" w:rsidRPr="00B77AF3" w:rsidP="00B77AF3">
            <w:pPr>
              <w:pStyle w:val="ListBullet2"/>
            </w:pPr>
            <w:r w:rsidRPr="00B77AF3">
              <w:t>terminal and screen</w:t>
            </w:r>
          </w:p>
          <w:p w:rsidR="00000000" w:rsidRPr="00B77AF3" w:rsidP="00B77AF3">
            <w:pPr>
              <w:pStyle w:val="ListBullet2"/>
            </w:pPr>
            <w:r w:rsidRPr="00B77AF3">
              <w:t>bar code scanner</w:t>
            </w:r>
          </w:p>
          <w:p w:rsidR="00000000" w:rsidRPr="00B77AF3" w:rsidP="00B77AF3">
            <w:pPr>
              <w:pStyle w:val="ListBullet2"/>
            </w:pPr>
            <w:r w:rsidRPr="00B77AF3">
              <w:t>EFTPOS equipment</w:t>
            </w:r>
          </w:p>
          <w:p w:rsidR="00000000" w:rsidRPr="00B77AF3" w:rsidP="00B77AF3">
            <w:pPr>
              <w:pStyle w:val="ListBullet"/>
            </w:pPr>
            <w:r w:rsidRPr="00B77AF3">
              <w:t>manual:</w:t>
            </w:r>
          </w:p>
          <w:p w:rsidR="00000000" w:rsidRPr="00B77AF3" w:rsidP="00B77AF3">
            <w:pPr>
              <w:pStyle w:val="ListBullet2"/>
            </w:pPr>
            <w:r w:rsidRPr="00B77AF3">
              <w:t>cash register</w:t>
            </w:r>
          </w:p>
          <w:p w:rsidR="00000000" w:rsidP="00B77AF3">
            <w:pPr>
              <w:pStyle w:val="ListBullet2"/>
              <w:rPr>
                <w:lang w:val="en-NZ"/>
              </w:rPr>
            </w:pPr>
            <w:r w:rsidRPr="00B77AF3">
              <w:t>credit card equipment</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 xml:space="preserve">Organisational policies and procedures may include: </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cash handling security</w:t>
            </w:r>
          </w:p>
          <w:p w:rsidR="00000000" w:rsidRPr="00B77AF3" w:rsidP="00B77AF3">
            <w:pPr>
              <w:pStyle w:val="ListBullet"/>
            </w:pPr>
            <w:r w:rsidRPr="00B77AF3">
              <w:t>health and hygiene requirements</w:t>
            </w:r>
          </w:p>
          <w:p w:rsidR="00000000" w:rsidRPr="00B77AF3" w:rsidP="00B77AF3">
            <w:pPr>
              <w:pStyle w:val="ListBullet"/>
            </w:pPr>
            <w:r w:rsidRPr="00B77AF3">
              <w:t>operation of point-of-sale equipment</w:t>
            </w:r>
          </w:p>
          <w:p w:rsidR="00000000" w:rsidRPr="00B77AF3" w:rsidP="00B77AF3">
            <w:pPr>
              <w:pStyle w:val="ListBullet"/>
            </w:pPr>
            <w:r w:rsidRPr="00B77AF3">
              <w:t>sales transactions</w:t>
            </w:r>
          </w:p>
          <w:p w:rsidR="00000000" w:rsidP="00B77AF3">
            <w:pPr>
              <w:pStyle w:val="ListBullet"/>
              <w:rPr>
                <w:lang w:val="en-NZ"/>
              </w:rPr>
            </w:pPr>
            <w:r w:rsidRPr="00B77AF3">
              <w:t>staffing</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 xml:space="preserve">Cash handling may include: </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balancing point-of-sale terminal</w:t>
            </w:r>
          </w:p>
          <w:p w:rsidR="00000000" w:rsidRPr="00B77AF3" w:rsidP="00B77AF3">
            <w:pPr>
              <w:pStyle w:val="ListBullet"/>
            </w:pPr>
            <w:r w:rsidRPr="00B77AF3">
              <w:t>calculating non-cash documents</w:t>
            </w:r>
          </w:p>
          <w:p w:rsidR="00000000" w:rsidRPr="00B77AF3" w:rsidP="00B77AF3">
            <w:pPr>
              <w:pStyle w:val="ListBullet"/>
            </w:pPr>
            <w:r w:rsidRPr="00B77AF3">
              <w:t>clearing terminal and transferring tender</w:t>
            </w:r>
          </w:p>
          <w:p w:rsidR="00000000" w:rsidRPr="00B77AF3" w:rsidP="00B77AF3">
            <w:pPr>
              <w:pStyle w:val="ListBullet"/>
            </w:pPr>
            <w:r w:rsidRPr="00B77AF3">
              <w:t>counting cash</w:t>
            </w:r>
          </w:p>
          <w:p w:rsidR="00000000" w:rsidRPr="00B77AF3" w:rsidP="00B77AF3">
            <w:pPr>
              <w:pStyle w:val="ListBullet"/>
            </w:pPr>
            <w:r w:rsidRPr="00B77AF3">
              <w:t>ensuring security of cash and non-cash transactions</w:t>
            </w:r>
          </w:p>
          <w:p w:rsidR="00000000" w:rsidRPr="00B77AF3" w:rsidP="00B77AF3">
            <w:pPr>
              <w:pStyle w:val="ListBullet"/>
            </w:pPr>
            <w:r w:rsidRPr="00B77AF3">
              <w:t>maintaining cash float</w:t>
            </w:r>
          </w:p>
          <w:p w:rsidR="00000000" w:rsidRPr="00B77AF3" w:rsidP="00B77AF3">
            <w:pPr>
              <w:pStyle w:val="ListBullet"/>
            </w:pPr>
            <w:r w:rsidRPr="00B77AF3">
              <w:t>opening and closing point-of-sal</w:t>
            </w:r>
            <w:r w:rsidRPr="00B77AF3">
              <w:t>e terminal</w:t>
            </w:r>
          </w:p>
          <w:p w:rsidR="00000000" w:rsidRPr="00B77AF3" w:rsidP="00B77AF3">
            <w:pPr>
              <w:pStyle w:val="ListBullet"/>
            </w:pPr>
            <w:r w:rsidRPr="00B77AF3">
              <w:t xml:space="preserve">recording takings </w:t>
            </w:r>
          </w:p>
          <w:p w:rsidR="00000000" w:rsidP="00B77AF3">
            <w:pPr>
              <w:pStyle w:val="ListBullet"/>
              <w:rPr>
                <w:lang w:val="en-NZ"/>
              </w:rPr>
            </w:pPr>
            <w:r w:rsidRPr="00B77AF3">
              <w:t>tendering change</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Point-of-sale transactions may include:</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cheques</w:t>
            </w:r>
          </w:p>
          <w:p w:rsidR="00000000" w:rsidRPr="00B77AF3" w:rsidP="00B77AF3">
            <w:pPr>
              <w:pStyle w:val="ListBullet"/>
            </w:pPr>
            <w:r w:rsidRPr="00B77AF3">
              <w:t>credit cards</w:t>
            </w:r>
          </w:p>
          <w:p w:rsidR="00000000" w:rsidRPr="00B77AF3" w:rsidP="00B77AF3">
            <w:pPr>
              <w:pStyle w:val="ListBullet"/>
            </w:pPr>
            <w:r w:rsidRPr="00B77AF3">
              <w:t xml:space="preserve">customer refunds </w:t>
            </w:r>
          </w:p>
          <w:p w:rsidR="00000000" w:rsidRPr="00B77AF3" w:rsidP="00B77AF3">
            <w:pPr>
              <w:pStyle w:val="ListBullet"/>
            </w:pPr>
            <w:r w:rsidRPr="00B77AF3">
              <w:t>EFTPOS</w:t>
            </w:r>
          </w:p>
          <w:p w:rsidR="00000000" w:rsidP="00B77AF3">
            <w:pPr>
              <w:pStyle w:val="ListBullet"/>
              <w:rPr>
                <w:lang w:val="en-NZ"/>
              </w:rPr>
            </w:pPr>
            <w:r w:rsidRPr="00B77AF3">
              <w:t>smart cards</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Non</w:t>
            </w:r>
            <w:r w:rsidRPr="00B77AF3">
              <w:noBreakHyphen/>
              <w:t>cash documents may include:</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cash on delivery (COD)</w:t>
            </w:r>
          </w:p>
          <w:p w:rsidR="00000000" w:rsidRPr="00B77AF3" w:rsidP="00B77AF3">
            <w:pPr>
              <w:pStyle w:val="ListBullet"/>
            </w:pPr>
            <w:r w:rsidRPr="00B77AF3">
              <w:t>cheques</w:t>
            </w:r>
          </w:p>
          <w:p w:rsidR="00000000" w:rsidRPr="00B77AF3" w:rsidP="00B77AF3">
            <w:pPr>
              <w:pStyle w:val="ListBullet"/>
            </w:pPr>
            <w:r w:rsidRPr="00B77AF3">
              <w:t>credit cards</w:t>
            </w:r>
          </w:p>
          <w:p w:rsidR="00000000" w:rsidP="00B77AF3">
            <w:pPr>
              <w:pStyle w:val="ListBullet"/>
              <w:rPr>
                <w:lang w:val="en-NZ"/>
              </w:rPr>
            </w:pPr>
            <w:r w:rsidRPr="00B77AF3">
              <w:t>refunds</w:t>
            </w:r>
          </w:p>
        </w:tc>
      </w:tr>
      <w:tr w:rsidTr="00F374F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77AF3">
            <w:pPr>
              <w:pStyle w:val="BodyText"/>
              <w:rPr>
                <w:lang w:val="en-NZ"/>
              </w:rPr>
            </w:pPr>
            <w:r w:rsidRPr="00B77AF3">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B77AF3" w:rsidP="00B77AF3">
            <w:pPr>
              <w:pStyle w:val="ListBullet"/>
            </w:pPr>
            <w:r w:rsidRPr="00B77AF3">
              <w:t>manager</w:t>
            </w:r>
          </w:p>
          <w:p w:rsidR="00000000" w:rsidRPr="00B77AF3" w:rsidP="00B77AF3">
            <w:pPr>
              <w:pStyle w:val="ListBullet"/>
            </w:pPr>
            <w:r w:rsidRPr="00B77AF3">
              <w:t>supervisor</w:t>
            </w:r>
          </w:p>
          <w:p w:rsidR="00000000" w:rsidRPr="00B77AF3" w:rsidP="00B77AF3">
            <w:pPr>
              <w:pStyle w:val="ListBullet"/>
            </w:pPr>
            <w:r w:rsidRPr="00B77AF3">
              <w:t>team leader</w:t>
            </w:r>
          </w:p>
        </w:tc>
      </w:tr>
    </w:tbl>
    <w:p w:rsidR="00000000" w:rsidRPr="00B77AF3" w:rsidP="00B77AF3">
      <w:pPr>
        <w:pStyle w:val="BodyText"/>
      </w:pPr>
    </w:p>
    <w:p w:rsidR="00000000" w:rsidRPr="00B77AF3" w:rsidP="00B77AF3">
      <w:pPr>
        <w:pStyle w:val="AllowPageBreak"/>
      </w:pPr>
    </w:p>
    <w:p w:rsidR="00000000" w:rsidRPr="00B77AF3" w:rsidP="00B77AF3">
      <w:pPr>
        <w:pStyle w:val="Heading1"/>
      </w:pPr>
      <w:bookmarkStart w:id="12" w:name="O_628569"/>
      <w:bookmarkEnd w:id="12"/>
      <w:r w:rsidRPr="00B77AF3">
        <w:t>Unit Sector(s)</w:t>
      </w:r>
    </w:p>
    <w:p w:rsidR="00000000" w:rsidRPr="00B77AF3" w:rsidP="00B77AF3">
      <w:pPr>
        <w:pStyle w:val="BodyText"/>
      </w:pPr>
      <w:r w:rsidRPr="00B77AF3">
        <w:t>Cross sector</w:t>
      </w:r>
    </w:p>
    <w:p w:rsidR="00000000" w:rsidRPr="00B77AF3" w:rsidP="00B77AF3">
      <w:pPr>
        <w:pStyle w:val="AllowPageBreak"/>
      </w:pPr>
    </w:p>
    <w:p w:rsidR="00000000" w:rsidRPr="00B77AF3" w:rsidP="00B77AF3">
      <w:pPr>
        <w:pStyle w:val="Heading1"/>
      </w:pPr>
      <w:bookmarkStart w:id="13" w:name="O_628570"/>
      <w:bookmarkEnd w:id="13"/>
      <w:r w:rsidRPr="00B77AF3">
        <w:t>Competency Field</w:t>
      </w:r>
    </w:p>
    <w:p w:rsidR="00000000" w:rsidRPr="00B77AF3" w:rsidP="00B77AF3">
      <w:pPr>
        <w:pStyle w:val="BodyText"/>
      </w:pPr>
      <w:r w:rsidRPr="00B77AF3">
        <w:t>P – Administration &amp; Finance</w:t>
      </w:r>
    </w:p>
    <w:p w:rsidR="00000000" w:rsidRPr="00B77AF3" w:rsidP="00B77AF3"/>
    <w:sectPr w:rsidSect="00B77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rsidRPr="00F374F3" w:rsidP="00F37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F3" w:rsidP="00B77A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74F3" w:rsidP="00B77A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374F3" w:rsidP="00B77A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rsidRPr="00F374F3" w:rsidP="00F374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4F3" w:rsidRPr="002D2AF8" w:rsidP="00B77AF3">
    <w:pPr>
      <w:pStyle w:val="Header"/>
      <w:framePr w:wrap="around"/>
    </w:pPr>
    <w:r>
      <w:fldChar w:fldCharType="begin"/>
    </w:r>
    <w:r>
      <w:instrText xml:space="preserve"> TITLE   \* MERGEFORMAT </w:instrText>
    </w:r>
    <w:r>
      <w:fldChar w:fldCharType="separate"/>
    </w:r>
    <w:r>
      <w:t>TLIP2038A Conduct, balance and secure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F374F3" w:rsidP="00B77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4A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C63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22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AF3"/>
    <w:pPr>
      <w:spacing w:before="360" w:after="60"/>
      <w:outlineLvl w:val="0"/>
    </w:pPr>
    <w:rPr>
      <w:sz w:val="32"/>
    </w:rPr>
  </w:style>
  <w:style w:type="paragraph" w:styleId="Heading2">
    <w:name w:val="heading 2"/>
    <w:basedOn w:val="HeadingBase"/>
    <w:next w:val="BodyText"/>
    <w:link w:val="Heading2Char"/>
    <w:qFormat/>
    <w:rsid w:val="00B77AF3"/>
    <w:pPr>
      <w:keepLines/>
      <w:spacing w:before="240" w:after="120"/>
      <w:outlineLvl w:val="1"/>
    </w:pPr>
    <w:rPr>
      <w:sz w:val="28"/>
      <w:szCs w:val="40"/>
    </w:rPr>
  </w:style>
  <w:style w:type="paragraph" w:styleId="Heading3">
    <w:name w:val="heading 3"/>
    <w:basedOn w:val="HeadingBase"/>
    <w:next w:val="BodyText"/>
    <w:link w:val="Heading3Char"/>
    <w:qFormat/>
    <w:rsid w:val="00B77AF3"/>
    <w:pPr>
      <w:spacing w:before="180" w:after="120"/>
      <w:outlineLvl w:val="2"/>
    </w:pPr>
    <w:rPr>
      <w:spacing w:val="-10"/>
      <w:kern w:val="32"/>
    </w:rPr>
  </w:style>
  <w:style w:type="paragraph" w:styleId="Heading4">
    <w:name w:val="heading 4"/>
    <w:basedOn w:val="HeadingBase"/>
    <w:next w:val="BodyText"/>
    <w:link w:val="Heading4Char"/>
    <w:qFormat/>
    <w:rsid w:val="00B77AF3"/>
    <w:pPr>
      <w:spacing w:before="160" w:after="120"/>
      <w:outlineLvl w:val="3"/>
    </w:pPr>
    <w:rPr>
      <w:sz w:val="22"/>
    </w:rPr>
  </w:style>
  <w:style w:type="paragraph" w:styleId="Heading5">
    <w:name w:val="heading 5"/>
    <w:basedOn w:val="HeadingBase"/>
    <w:next w:val="Normal"/>
    <w:link w:val="Heading5Char"/>
    <w:qFormat/>
    <w:rsid w:val="00B77AF3"/>
    <w:pPr>
      <w:spacing w:before="80"/>
      <w:outlineLvl w:val="4"/>
    </w:pPr>
    <w:rPr>
      <w:color w:val="918585"/>
      <w:sz w:val="20"/>
    </w:rPr>
  </w:style>
  <w:style w:type="paragraph" w:styleId="Heading6">
    <w:name w:val="heading 6"/>
    <w:basedOn w:val="HeadingBase"/>
    <w:next w:val="Normal"/>
    <w:link w:val="Heading6Char"/>
    <w:qFormat/>
    <w:rsid w:val="00B77AF3"/>
    <w:pPr>
      <w:spacing w:before="60"/>
      <w:outlineLvl w:val="5"/>
    </w:pPr>
    <w:rPr>
      <w:color w:val="918585"/>
      <w:sz w:val="20"/>
    </w:rPr>
  </w:style>
  <w:style w:type="paragraph" w:styleId="Heading7">
    <w:name w:val="heading 7"/>
    <w:basedOn w:val="Normal"/>
    <w:next w:val="Normal"/>
    <w:link w:val="Heading7Char"/>
    <w:qFormat/>
    <w:rsid w:val="00B77AF3"/>
    <w:pPr>
      <w:ind w:left="720"/>
      <w:outlineLvl w:val="6"/>
    </w:pPr>
    <w:rPr>
      <w:i/>
    </w:rPr>
  </w:style>
  <w:style w:type="paragraph" w:styleId="Heading8">
    <w:name w:val="heading 8"/>
    <w:basedOn w:val="Normal"/>
    <w:next w:val="Normal"/>
    <w:link w:val="Heading8Char"/>
    <w:qFormat/>
    <w:rsid w:val="00B77AF3"/>
    <w:pPr>
      <w:ind w:left="720"/>
      <w:outlineLvl w:val="7"/>
    </w:pPr>
    <w:rPr>
      <w:i/>
    </w:rPr>
  </w:style>
  <w:style w:type="paragraph" w:styleId="Heading9">
    <w:name w:val="heading 9"/>
    <w:basedOn w:val="Normal"/>
    <w:next w:val="Normal"/>
    <w:link w:val="Heading9Char"/>
    <w:qFormat/>
    <w:rsid w:val="00B77AF3"/>
    <w:pPr>
      <w:ind w:left="720"/>
      <w:outlineLvl w:val="8"/>
    </w:pPr>
    <w:rPr>
      <w:i/>
    </w:rPr>
  </w:style>
  <w:style w:type="character" w:default="1" w:styleId="DefaultParagraphFont">
    <w:name w:val="Default Paragraph Font"/>
    <w:uiPriority w:val="1"/>
    <w:unhideWhenUsed/>
    <w:rsid w:val="00B77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AF3"/>
  </w:style>
  <w:style w:type="character" w:customStyle="1" w:styleId="Heading1Char">
    <w:name w:val="Heading 1 Char"/>
    <w:basedOn w:val="DefaultParagraphFont"/>
    <w:link w:val="Heading1"/>
    <w:rsid w:val="00B77AF3"/>
    <w:rPr>
      <w:rFonts w:ascii="Times New Roman" w:eastAsia="Times New Roman" w:hAnsi="Times New Roman" w:cs="Times New Roman"/>
      <w:b/>
      <w:sz w:val="32"/>
      <w:szCs w:val="20"/>
      <w:lang w:eastAsia="en-US"/>
    </w:rPr>
  </w:style>
  <w:style w:type="paragraph" w:styleId="BodyText">
    <w:name w:val="Body Text"/>
    <w:basedOn w:val="Normal"/>
    <w:link w:val="BodyTextChar"/>
    <w:rsid w:val="00B77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AF3"/>
    <w:rPr>
      <w:rFonts w:ascii="Times New Roman" w:eastAsia="Times New Roman" w:hAnsi="Times New Roman" w:cs="Times New Roman"/>
      <w:sz w:val="24"/>
      <w:lang w:eastAsia="en-US"/>
    </w:rPr>
  </w:style>
  <w:style w:type="paragraph" w:styleId="ListBullet">
    <w:name w:val="List Bullet"/>
    <w:basedOn w:val="List"/>
    <w:rsid w:val="00B77AF3"/>
    <w:pPr>
      <w:numPr>
        <w:numId w:val="13"/>
      </w:numPr>
      <w:tabs>
        <w:tab w:val="clear" w:pos="340"/>
      </w:tabs>
      <w:spacing w:before="40" w:after="40"/>
    </w:pPr>
  </w:style>
  <w:style w:type="character" w:customStyle="1" w:styleId="SpecialBold">
    <w:name w:val="Special Bold"/>
    <w:basedOn w:val="DefaultParagraphFont"/>
    <w:rsid w:val="00B77AF3"/>
    <w:rPr>
      <w:b/>
      <w:spacing w:val="0"/>
    </w:rPr>
  </w:style>
  <w:style w:type="paragraph" w:styleId="ListBullet2">
    <w:name w:val="List Bullet 2"/>
    <w:basedOn w:val="List2"/>
    <w:rsid w:val="00B77AF3"/>
    <w:pPr>
      <w:numPr>
        <w:numId w:val="14"/>
      </w:numPr>
      <w:tabs>
        <w:tab w:val="clear" w:pos="680"/>
      </w:tabs>
    </w:pPr>
  </w:style>
  <w:style w:type="paragraph" w:customStyle="1" w:styleId="SuperHeading">
    <w:name w:val="SuperHeading"/>
    <w:basedOn w:val="Normal"/>
    <w:rsid w:val="00B77AF3"/>
    <w:pPr>
      <w:spacing w:before="240" w:after="120"/>
      <w:outlineLvl w:val="0"/>
    </w:pPr>
    <w:rPr>
      <w:rFonts w:ascii="Times New Roman" w:hAnsi="Times New Roman"/>
      <w:b/>
      <w:sz w:val="32"/>
    </w:rPr>
  </w:style>
  <w:style w:type="paragraph" w:customStyle="1" w:styleId="AllowPageBreak">
    <w:name w:val="AllowPageBreak"/>
    <w:rsid w:val="00B77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AF3"/>
    <w:rPr>
      <w:rFonts w:ascii="Courier New" w:eastAsia="Times New Roman" w:hAnsi="Courier New" w:cs="Times New Roman"/>
      <w:i/>
      <w:szCs w:val="20"/>
      <w:lang w:eastAsia="en-US"/>
    </w:rPr>
  </w:style>
  <w:style w:type="paragraph" w:customStyle="1" w:styleId="HeadingBase">
    <w:name w:val="Heading Base"/>
    <w:rsid w:val="00B77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AF3"/>
    <w:pPr>
      <w:tabs>
        <w:tab w:val="right" w:leader="dot" w:pos="9072"/>
      </w:tabs>
      <w:ind w:left="567"/>
    </w:pPr>
    <w:rPr>
      <w:szCs w:val="22"/>
    </w:rPr>
  </w:style>
  <w:style w:type="paragraph" w:customStyle="1" w:styleId="TOCBase">
    <w:name w:val="TOC Base"/>
    <w:rsid w:val="00B77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AF3"/>
    <w:pPr>
      <w:tabs>
        <w:tab w:val="right" w:leader="dot" w:pos="9072"/>
      </w:tabs>
      <w:spacing w:before="40" w:after="40"/>
      <w:ind w:left="284"/>
    </w:pPr>
    <w:rPr>
      <w:rFonts w:ascii="Times New Roman" w:hAnsi="Times New Roman"/>
    </w:rPr>
  </w:style>
  <w:style w:type="paragraph" w:styleId="TOC1">
    <w:name w:val="toc 1"/>
    <w:basedOn w:val="TOCBase"/>
    <w:next w:val="Normal"/>
    <w:rsid w:val="00B77A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AF3"/>
    <w:rPr>
      <w:rFonts w:ascii="Times New Roman" w:eastAsia="Times New Roman" w:hAnsi="Times New Roman" w:cs="Times New Roman"/>
      <w:sz w:val="16"/>
      <w:lang w:eastAsia="en-US"/>
    </w:rPr>
  </w:style>
  <w:style w:type="paragraph" w:styleId="Title">
    <w:name w:val="Title"/>
    <w:basedOn w:val="HeadingBase"/>
    <w:link w:val="TitleChar"/>
    <w:qFormat/>
    <w:rsid w:val="00B77AF3"/>
    <w:pPr>
      <w:spacing w:before="5040"/>
      <w:jc w:val="center"/>
    </w:pPr>
    <w:rPr>
      <w:sz w:val="48"/>
      <w:szCs w:val="72"/>
      <w:lang w:val="en-US"/>
    </w:rPr>
  </w:style>
  <w:style w:type="character" w:customStyle="1" w:styleId="TitleChar">
    <w:name w:val="Title Char"/>
    <w:basedOn w:val="DefaultParagraphFont"/>
    <w:link w:val="Title"/>
    <w:rsid w:val="00B77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AF3"/>
    <w:pPr>
      <w:tabs>
        <w:tab w:val="left" w:pos="3600"/>
        <w:tab w:val="left" w:pos="3958"/>
      </w:tabs>
    </w:pPr>
  </w:style>
  <w:style w:type="paragraph" w:styleId="List">
    <w:name w:val="List"/>
    <w:basedOn w:val="BodyText"/>
    <w:next w:val="BodyText"/>
    <w:rsid w:val="00B77AF3"/>
    <w:pPr>
      <w:tabs>
        <w:tab w:val="left" w:pos="340"/>
      </w:tabs>
      <w:spacing w:before="60" w:after="60"/>
      <w:ind w:left="340" w:hanging="340"/>
    </w:pPr>
  </w:style>
  <w:style w:type="paragraph" w:customStyle="1" w:styleId="Note">
    <w:name w:val="Note"/>
    <w:basedOn w:val="BodyText"/>
    <w:rsid w:val="00B77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AF3"/>
    <w:pPr>
      <w:framePr w:wrap="auto" w:hAnchor="text" w:y="6049"/>
    </w:pPr>
    <w:rPr>
      <w:color w:val="000000"/>
      <w:sz w:val="40"/>
    </w:rPr>
  </w:style>
  <w:style w:type="paragraph" w:customStyle="1" w:styleId="TOCTitle">
    <w:name w:val="TOCTitle"/>
    <w:basedOn w:val="Heading1"/>
    <w:rsid w:val="00B77AF3"/>
    <w:pPr>
      <w:spacing w:after="240"/>
      <w:jc w:val="center"/>
      <w:outlineLvl w:val="9"/>
    </w:pPr>
    <w:rPr>
      <w:caps/>
    </w:rPr>
  </w:style>
  <w:style w:type="paragraph" w:customStyle="1" w:styleId="Version">
    <w:name w:val="Version"/>
    <w:rsid w:val="00B77A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AF3"/>
    <w:pPr>
      <w:keepNext w:val="0"/>
      <w:tabs>
        <w:tab w:val="right" w:pos="4176"/>
      </w:tabs>
      <w:ind w:left="198" w:hanging="198"/>
    </w:pPr>
    <w:rPr>
      <w:rFonts w:ascii="Garamond" w:hAnsi="Garamond"/>
    </w:rPr>
  </w:style>
  <w:style w:type="paragraph" w:styleId="IndexHeading">
    <w:name w:val="index heading"/>
    <w:basedOn w:val="Normal"/>
    <w:next w:val="Index1"/>
    <w:semiHidden/>
    <w:rsid w:val="00B77AF3"/>
    <w:pPr>
      <w:spacing w:before="120" w:after="120"/>
    </w:pPr>
    <w:rPr>
      <w:rFonts w:ascii="Arial" w:hAnsi="Arial"/>
      <w:b/>
      <w:color w:val="918585"/>
      <w:sz w:val="24"/>
    </w:rPr>
  </w:style>
  <w:style w:type="paragraph" w:styleId="Header">
    <w:name w:val="header"/>
    <w:basedOn w:val="Normal"/>
    <w:link w:val="HeaderChar"/>
    <w:rsid w:val="00B77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AF3"/>
    <w:rPr>
      <w:rFonts w:ascii="Times New Roman" w:eastAsia="Times New Roman" w:hAnsi="Times New Roman" w:cs="Times New Roman"/>
      <w:sz w:val="16"/>
      <w:szCs w:val="20"/>
      <w:lang w:val="en-GB" w:eastAsia="en-US"/>
    </w:rPr>
  </w:style>
  <w:style w:type="paragraph" w:customStyle="1" w:styleId="Chapter">
    <w:name w:val="Chapter"/>
    <w:basedOn w:val="Normal"/>
    <w:rsid w:val="00B77AF3"/>
    <w:pPr>
      <w:spacing w:before="240"/>
    </w:pPr>
    <w:rPr>
      <w:rFonts w:ascii="Times New Roman" w:hAnsi="Times New Roman"/>
      <w:smallCaps/>
      <w:spacing w:val="80"/>
      <w:sz w:val="28"/>
    </w:rPr>
  </w:style>
  <w:style w:type="paragraph" w:customStyle="1" w:styleId="InChapter">
    <w:name w:val="InChapter"/>
    <w:basedOn w:val="Heading3"/>
    <w:rsid w:val="00B77AF3"/>
    <w:pPr>
      <w:spacing w:after="240"/>
      <w:outlineLvl w:val="9"/>
    </w:pPr>
    <w:rPr>
      <w:noProof/>
    </w:rPr>
  </w:style>
  <w:style w:type="paragraph" w:styleId="Index2">
    <w:name w:val="index 2"/>
    <w:basedOn w:val="Normal"/>
    <w:next w:val="Normal"/>
    <w:semiHidden/>
    <w:rsid w:val="00B77AF3"/>
    <w:pPr>
      <w:tabs>
        <w:tab w:val="right" w:pos="4176"/>
      </w:tabs>
      <w:ind w:left="568" w:hanging="284"/>
    </w:pPr>
    <w:rPr>
      <w:rFonts w:ascii="Garamond" w:hAnsi="Garamond"/>
    </w:rPr>
  </w:style>
  <w:style w:type="paragraph" w:customStyle="1" w:styleId="Byline">
    <w:name w:val="Byline"/>
    <w:rsid w:val="00B77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AF3"/>
    <w:pPr>
      <w:tabs>
        <w:tab w:val="clear" w:pos="3600"/>
        <w:tab w:val="clear" w:pos="3958"/>
      </w:tabs>
      <w:jc w:val="right"/>
    </w:pPr>
  </w:style>
  <w:style w:type="character" w:styleId="Emphasis">
    <w:name w:val="Emphasis"/>
    <w:basedOn w:val="DefaultParagraphFont"/>
    <w:qFormat/>
    <w:rsid w:val="00B77AF3"/>
    <w:rPr>
      <w:i/>
    </w:rPr>
  </w:style>
  <w:style w:type="paragraph" w:styleId="Caption">
    <w:name w:val="caption"/>
    <w:basedOn w:val="BodyText"/>
    <w:next w:val="Normal"/>
    <w:qFormat/>
    <w:rsid w:val="00B77AF3"/>
    <w:pPr>
      <w:framePr w:w="2268" w:hSpace="181" w:vSpace="181" w:wrap="around" w:vAnchor="text" w:hAnchor="page" w:x="1135" w:y="285" w:anchorLock="1"/>
    </w:pPr>
    <w:rPr>
      <w:i/>
    </w:rPr>
  </w:style>
  <w:style w:type="paragraph" w:customStyle="1" w:styleId="MiniTOCTitle">
    <w:name w:val="MiniTOCTitle"/>
    <w:basedOn w:val="Heading4"/>
    <w:rsid w:val="00B77AF3"/>
    <w:pPr>
      <w:spacing w:before="240"/>
      <w:outlineLvl w:val="9"/>
    </w:pPr>
    <w:rPr>
      <w:noProof/>
      <w:sz w:val="24"/>
    </w:rPr>
  </w:style>
  <w:style w:type="paragraph" w:customStyle="1" w:styleId="MiniTOCItem">
    <w:name w:val="MiniTOCItem"/>
    <w:basedOn w:val="ListBullet"/>
    <w:rsid w:val="00B77AF3"/>
    <w:pPr>
      <w:numPr>
        <w:numId w:val="0"/>
      </w:numPr>
      <w:tabs>
        <w:tab w:val="right" w:leader="dot" w:pos="6521"/>
      </w:tabs>
      <w:spacing w:before="0" w:after="0"/>
    </w:pPr>
  </w:style>
  <w:style w:type="paragraph" w:customStyle="1" w:styleId="TOFTitle">
    <w:name w:val="TOFTitle"/>
    <w:basedOn w:val="TOCTitle"/>
    <w:rsid w:val="00B77AF3"/>
  </w:style>
  <w:style w:type="paragraph" w:styleId="TableofFigures">
    <w:name w:val="table of figures"/>
    <w:basedOn w:val="Normal"/>
    <w:next w:val="Normal"/>
    <w:semiHidden/>
    <w:rsid w:val="00B77AF3"/>
    <w:pPr>
      <w:tabs>
        <w:tab w:val="right" w:leader="dot" w:pos="9072"/>
      </w:tabs>
      <w:ind w:left="970" w:hanging="403"/>
    </w:pPr>
    <w:rPr>
      <w:rFonts w:ascii="Times New Roman" w:hAnsi="Times New Roman"/>
      <w:b/>
    </w:rPr>
  </w:style>
  <w:style w:type="paragraph" w:styleId="ListNumber">
    <w:name w:val="List Number"/>
    <w:basedOn w:val="List"/>
    <w:rsid w:val="00B77AF3"/>
    <w:pPr>
      <w:numPr>
        <w:numId w:val="11"/>
      </w:numPr>
    </w:pPr>
  </w:style>
  <w:style w:type="character" w:customStyle="1" w:styleId="WingdingSymbols">
    <w:name w:val="Wingding Symbols"/>
    <w:rsid w:val="00B77AF3"/>
    <w:rPr>
      <w:rFonts w:ascii="Wingdings" w:hAnsi="Wingdings"/>
    </w:rPr>
  </w:style>
  <w:style w:type="paragraph" w:customStyle="1" w:styleId="TableHeading">
    <w:name w:val="Table Heading"/>
    <w:basedOn w:val="HeadingBase"/>
    <w:rsid w:val="00B77AF3"/>
    <w:pPr>
      <w:keepLines/>
      <w:pBdr>
        <w:bottom w:val="single" w:sz="6" w:space="1" w:color="918585"/>
      </w:pBdr>
      <w:spacing w:before="240"/>
    </w:pPr>
  </w:style>
  <w:style w:type="character" w:customStyle="1" w:styleId="HotSpot">
    <w:name w:val="HotSpot"/>
    <w:rsid w:val="00B77AF3"/>
    <w:rPr>
      <w:color w:val="0033CC"/>
      <w:u w:val="none"/>
    </w:rPr>
  </w:style>
  <w:style w:type="paragraph" w:customStyle="1" w:styleId="BodyTextRight">
    <w:name w:val="Body Text Right"/>
    <w:basedOn w:val="BodyText"/>
    <w:rsid w:val="00B77AF3"/>
    <w:pPr>
      <w:spacing w:before="0" w:after="0"/>
      <w:jc w:val="right"/>
    </w:pPr>
  </w:style>
  <w:style w:type="paragraph" w:styleId="Index3">
    <w:name w:val="index 3"/>
    <w:basedOn w:val="ListNumber2"/>
    <w:next w:val="Normal"/>
    <w:semiHidden/>
    <w:rsid w:val="00B77AF3"/>
    <w:pPr>
      <w:numPr>
        <w:numId w:val="0"/>
      </w:numPr>
      <w:tabs>
        <w:tab w:val="right" w:leader="dot" w:pos="4176"/>
      </w:tabs>
    </w:pPr>
  </w:style>
  <w:style w:type="paragraph" w:styleId="ListNumber2">
    <w:name w:val="List Number 2"/>
    <w:basedOn w:val="List2"/>
    <w:rsid w:val="00B77AF3"/>
    <w:pPr>
      <w:numPr>
        <w:numId w:val="10"/>
      </w:numPr>
      <w:tabs>
        <w:tab w:val="clear" w:pos="1060"/>
      </w:tabs>
    </w:pPr>
  </w:style>
  <w:style w:type="paragraph" w:customStyle="1" w:styleId="MarginNote">
    <w:name w:val="Margin Note"/>
    <w:basedOn w:val="BodyText"/>
    <w:rsid w:val="00B77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AF3"/>
    <w:rPr>
      <w:sz w:val="32"/>
    </w:rPr>
  </w:style>
  <w:style w:type="paragraph" w:customStyle="1" w:styleId="HeadingProcedure">
    <w:name w:val="Heading Procedure"/>
    <w:basedOn w:val="HeadingBase"/>
    <w:next w:val="Normal"/>
    <w:rsid w:val="00B77AF3"/>
    <w:pPr>
      <w:tabs>
        <w:tab w:val="left" w:pos="0"/>
      </w:tabs>
      <w:spacing w:before="120" w:after="60"/>
    </w:pPr>
    <w:rPr>
      <w:i/>
      <w:color w:val="918585"/>
      <w:sz w:val="22"/>
    </w:rPr>
  </w:style>
  <w:style w:type="paragraph" w:customStyle="1" w:styleId="TableBodyText">
    <w:name w:val="Table Body Text"/>
    <w:basedOn w:val="BodyText"/>
    <w:rsid w:val="00B77AF3"/>
    <w:pPr>
      <w:spacing w:before="60" w:after="60"/>
    </w:pPr>
  </w:style>
  <w:style w:type="paragraph" w:styleId="ListContinue">
    <w:name w:val="List Continue"/>
    <w:basedOn w:val="List"/>
    <w:rsid w:val="00B77AF3"/>
    <w:pPr>
      <w:ind w:firstLine="0"/>
    </w:pPr>
  </w:style>
  <w:style w:type="paragraph" w:customStyle="1" w:styleId="ListNote">
    <w:name w:val="List Note"/>
    <w:basedOn w:val="List"/>
    <w:rsid w:val="00B77AF3"/>
    <w:pPr>
      <w:pBdr>
        <w:top w:val="single" w:sz="6" w:space="2" w:color="918585"/>
        <w:bottom w:val="single" w:sz="6" w:space="2" w:color="918585"/>
      </w:pBdr>
      <w:tabs>
        <w:tab w:val="left" w:pos="1021"/>
      </w:tabs>
      <w:ind w:firstLine="0"/>
    </w:pPr>
  </w:style>
  <w:style w:type="paragraph" w:customStyle="1" w:styleId="Warning">
    <w:name w:val="Warning"/>
    <w:basedOn w:val="BodyText"/>
    <w:rsid w:val="00B77AF3"/>
    <w:pPr>
      <w:shd w:val="clear" w:color="auto" w:fill="D9D9D9"/>
      <w:tabs>
        <w:tab w:val="left" w:pos="992"/>
      </w:tabs>
      <w:ind w:left="119" w:right="119"/>
    </w:pPr>
    <w:rPr>
      <w:sz w:val="20"/>
    </w:rPr>
  </w:style>
  <w:style w:type="paragraph" w:customStyle="1" w:styleId="MarginIcons">
    <w:name w:val="Margin Icons"/>
    <w:basedOn w:val="BodyText"/>
    <w:rsid w:val="00B77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AF3"/>
    <w:rPr>
      <w:rFonts w:ascii="Courier New" w:hAnsi="Courier New"/>
    </w:rPr>
  </w:style>
  <w:style w:type="paragraph" w:customStyle="1" w:styleId="NoteBullet">
    <w:name w:val="Note Bullet"/>
    <w:basedOn w:val="Note"/>
    <w:rsid w:val="00B77AF3"/>
    <w:pPr>
      <w:tabs>
        <w:tab w:val="clear" w:pos="680"/>
      </w:tabs>
      <w:spacing w:before="60" w:after="60"/>
    </w:pPr>
  </w:style>
  <w:style w:type="paragraph" w:customStyle="1" w:styleId="SubHeading2">
    <w:name w:val="SubHeading2"/>
    <w:basedOn w:val="HeadingBase"/>
    <w:rsid w:val="00B77AF3"/>
    <w:pPr>
      <w:spacing w:before="240" w:after="60"/>
    </w:pPr>
    <w:rPr>
      <w:sz w:val="20"/>
    </w:rPr>
  </w:style>
  <w:style w:type="paragraph" w:customStyle="1" w:styleId="SubHeading1">
    <w:name w:val="SubHeading1"/>
    <w:basedOn w:val="HeadingBase"/>
    <w:rsid w:val="00B77AF3"/>
    <w:pPr>
      <w:spacing w:before="240" w:after="60"/>
    </w:pPr>
    <w:rPr>
      <w:color w:val="918585"/>
      <w:sz w:val="22"/>
    </w:rPr>
  </w:style>
  <w:style w:type="paragraph" w:customStyle="1" w:styleId="SideHeading">
    <w:name w:val="Side Heading"/>
    <w:basedOn w:val="HeadingBase"/>
    <w:rsid w:val="00B77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AF3"/>
    <w:pPr>
      <w:numPr>
        <w:numId w:val="12"/>
      </w:numPr>
    </w:pPr>
  </w:style>
  <w:style w:type="paragraph" w:styleId="PlainText">
    <w:name w:val="Plain Text"/>
    <w:basedOn w:val="Normal"/>
    <w:link w:val="PlainTextChar"/>
    <w:rsid w:val="00B77AF3"/>
    <w:rPr>
      <w:sz w:val="20"/>
    </w:rPr>
  </w:style>
  <w:style w:type="character" w:customStyle="1" w:styleId="PlainTextChar">
    <w:name w:val="Plain Text Char"/>
    <w:basedOn w:val="DefaultParagraphFont"/>
    <w:link w:val="PlainText"/>
    <w:rsid w:val="00B77AF3"/>
    <w:rPr>
      <w:rFonts w:ascii="Courier New" w:eastAsia="Times New Roman" w:hAnsi="Courier New" w:cs="Times New Roman"/>
      <w:sz w:val="20"/>
      <w:szCs w:val="20"/>
      <w:lang w:eastAsia="en-US"/>
    </w:rPr>
  </w:style>
  <w:style w:type="character" w:customStyle="1" w:styleId="MenuOption">
    <w:name w:val="Menu Option"/>
    <w:basedOn w:val="DefaultParagraphFont"/>
    <w:rsid w:val="00B77AF3"/>
    <w:rPr>
      <w:b/>
      <w:smallCaps/>
    </w:rPr>
  </w:style>
  <w:style w:type="paragraph" w:customStyle="1" w:styleId="TableListNumber">
    <w:name w:val="Table List Number"/>
    <w:basedOn w:val="ListNumber"/>
    <w:rsid w:val="00B77AF3"/>
    <w:pPr>
      <w:numPr>
        <w:numId w:val="0"/>
      </w:numPr>
    </w:pPr>
  </w:style>
  <w:style w:type="paragraph" w:styleId="TOC4">
    <w:name w:val="toc 4"/>
    <w:basedOn w:val="TOCBase"/>
    <w:next w:val="Normal"/>
    <w:semiHidden/>
    <w:rsid w:val="00B77AF3"/>
    <w:pPr>
      <w:tabs>
        <w:tab w:val="right" w:leader="dot" w:pos="9071"/>
      </w:tabs>
      <w:ind w:left="1701"/>
    </w:pPr>
  </w:style>
  <w:style w:type="paragraph" w:customStyle="1" w:styleId="ListAlpha">
    <w:name w:val="List Alpha"/>
    <w:basedOn w:val="List"/>
    <w:rsid w:val="00B77AF3"/>
    <w:pPr>
      <w:numPr>
        <w:numId w:val="9"/>
      </w:numPr>
    </w:pPr>
  </w:style>
  <w:style w:type="paragraph" w:customStyle="1" w:styleId="ListAlpha2">
    <w:name w:val="List Alpha 2"/>
    <w:basedOn w:val="List2"/>
    <w:rsid w:val="00B77AF3"/>
    <w:pPr>
      <w:numPr>
        <w:numId w:val="8"/>
      </w:numPr>
    </w:pPr>
  </w:style>
  <w:style w:type="paragraph" w:styleId="List2">
    <w:name w:val="List 2"/>
    <w:basedOn w:val="BodyText"/>
    <w:rsid w:val="00B77AF3"/>
    <w:pPr>
      <w:tabs>
        <w:tab w:val="left" w:pos="680"/>
      </w:tabs>
      <w:spacing w:before="60" w:after="60"/>
      <w:ind w:left="680" w:hanging="340"/>
    </w:pPr>
  </w:style>
  <w:style w:type="paragraph" w:styleId="List3">
    <w:name w:val="List 3"/>
    <w:basedOn w:val="BodyText"/>
    <w:rsid w:val="00B77AF3"/>
    <w:pPr>
      <w:tabs>
        <w:tab w:val="left" w:pos="1021"/>
      </w:tabs>
      <w:spacing w:before="60" w:after="60"/>
      <w:ind w:left="1020" w:hanging="340"/>
    </w:pPr>
  </w:style>
  <w:style w:type="paragraph" w:styleId="List4">
    <w:name w:val="List 4"/>
    <w:basedOn w:val="BodyText"/>
    <w:rsid w:val="00B77AF3"/>
    <w:pPr>
      <w:tabs>
        <w:tab w:val="left" w:pos="1361"/>
      </w:tabs>
      <w:spacing w:before="60" w:after="60"/>
      <w:ind w:left="1361" w:hanging="340"/>
    </w:pPr>
  </w:style>
  <w:style w:type="paragraph" w:styleId="List5">
    <w:name w:val="List 5"/>
    <w:basedOn w:val="BodyText"/>
    <w:rsid w:val="00B77AF3"/>
    <w:pPr>
      <w:tabs>
        <w:tab w:val="left" w:pos="1701"/>
      </w:tabs>
      <w:spacing w:before="60" w:after="60"/>
      <w:ind w:left="1701" w:hanging="340"/>
    </w:pPr>
  </w:style>
  <w:style w:type="paragraph" w:styleId="ListBullet3">
    <w:name w:val="List Bullet 3"/>
    <w:basedOn w:val="List3"/>
    <w:rsid w:val="00B77AF3"/>
    <w:pPr>
      <w:numPr>
        <w:numId w:val="15"/>
      </w:numPr>
      <w:tabs>
        <w:tab w:val="clear" w:pos="1021"/>
      </w:tabs>
      <w:ind w:left="1037" w:hanging="357"/>
    </w:pPr>
  </w:style>
  <w:style w:type="paragraph" w:styleId="ListBullet4">
    <w:name w:val="List Bullet 4"/>
    <w:basedOn w:val="List4"/>
    <w:rsid w:val="00B77AF3"/>
    <w:pPr>
      <w:numPr>
        <w:numId w:val="3"/>
      </w:numPr>
    </w:pPr>
  </w:style>
  <w:style w:type="paragraph" w:styleId="ListBullet5">
    <w:name w:val="List Bullet 5"/>
    <w:basedOn w:val="List5"/>
    <w:rsid w:val="00B77AF3"/>
    <w:pPr>
      <w:numPr>
        <w:numId w:val="4"/>
      </w:numPr>
    </w:pPr>
  </w:style>
  <w:style w:type="paragraph" w:styleId="ListContinue2">
    <w:name w:val="List Continue 2"/>
    <w:basedOn w:val="List2"/>
    <w:rsid w:val="00B77AF3"/>
    <w:pPr>
      <w:ind w:firstLine="0"/>
    </w:pPr>
  </w:style>
  <w:style w:type="paragraph" w:styleId="ListContinue3">
    <w:name w:val="List Continue 3"/>
    <w:basedOn w:val="List3"/>
    <w:rsid w:val="00B77AF3"/>
    <w:pPr>
      <w:ind w:left="1021" w:firstLine="0"/>
    </w:pPr>
  </w:style>
  <w:style w:type="paragraph" w:styleId="ListContinue4">
    <w:name w:val="List Continue 4"/>
    <w:basedOn w:val="List4"/>
    <w:rsid w:val="00B77AF3"/>
    <w:pPr>
      <w:ind w:firstLine="0"/>
    </w:pPr>
  </w:style>
  <w:style w:type="paragraph" w:styleId="ListContinue5">
    <w:name w:val="List Continue 5"/>
    <w:basedOn w:val="List5"/>
    <w:rsid w:val="00B77AF3"/>
    <w:pPr>
      <w:ind w:firstLine="0"/>
    </w:pPr>
  </w:style>
  <w:style w:type="paragraph" w:styleId="ListNumber3">
    <w:name w:val="List Number 3"/>
    <w:basedOn w:val="List3"/>
    <w:rsid w:val="00B77AF3"/>
    <w:pPr>
      <w:numPr>
        <w:numId w:val="5"/>
      </w:numPr>
    </w:pPr>
  </w:style>
  <w:style w:type="paragraph" w:styleId="ListNumber4">
    <w:name w:val="List Number 4"/>
    <w:basedOn w:val="List4"/>
    <w:rsid w:val="00B77AF3"/>
    <w:pPr>
      <w:numPr>
        <w:numId w:val="6"/>
      </w:numPr>
    </w:pPr>
  </w:style>
  <w:style w:type="paragraph" w:styleId="ListNumber5">
    <w:name w:val="List Number 5"/>
    <w:basedOn w:val="List5"/>
    <w:rsid w:val="00B77AF3"/>
    <w:pPr>
      <w:numPr>
        <w:numId w:val="7"/>
      </w:numPr>
    </w:pPr>
  </w:style>
  <w:style w:type="paragraph" w:styleId="BlockText">
    <w:name w:val="Block Text"/>
    <w:basedOn w:val="Normal"/>
    <w:rsid w:val="00B77AF3"/>
    <w:pPr>
      <w:spacing w:after="120"/>
      <w:ind w:left="1440" w:right="1440"/>
    </w:pPr>
  </w:style>
  <w:style w:type="character" w:customStyle="1" w:styleId="Subscript">
    <w:name w:val="Subscript"/>
    <w:basedOn w:val="DefaultParagraphFont"/>
    <w:rsid w:val="00B77AF3"/>
    <w:rPr>
      <w:sz w:val="16"/>
      <w:vertAlign w:val="subscript"/>
    </w:rPr>
  </w:style>
  <w:style w:type="character" w:customStyle="1" w:styleId="Superscript">
    <w:name w:val="Superscript"/>
    <w:basedOn w:val="DefaultParagraphFont"/>
    <w:rsid w:val="00B77AF3"/>
    <w:rPr>
      <w:sz w:val="16"/>
      <w:vertAlign w:val="superscript"/>
    </w:rPr>
  </w:style>
  <w:style w:type="character" w:customStyle="1" w:styleId="Symbols">
    <w:name w:val="Symbols"/>
    <w:basedOn w:val="DefaultParagraphFont"/>
    <w:rsid w:val="00B77AF3"/>
    <w:rPr>
      <w:rFonts w:ascii="Symbol" w:hAnsi="Symbol"/>
    </w:rPr>
  </w:style>
  <w:style w:type="character" w:customStyle="1" w:styleId="MenuOptions">
    <w:name w:val="Menu Options"/>
    <w:basedOn w:val="DefaultParagraphFont"/>
    <w:rsid w:val="00B77AF3"/>
    <w:rPr>
      <w:rFonts w:ascii="Arial Narrow" w:hAnsi="Arial Narrow"/>
      <w:smallCaps/>
    </w:rPr>
  </w:style>
  <w:style w:type="character" w:customStyle="1" w:styleId="Buttons">
    <w:name w:val="Buttons"/>
    <w:basedOn w:val="DefaultParagraphFont"/>
    <w:rsid w:val="00B77AF3"/>
    <w:rPr>
      <w:b/>
    </w:rPr>
  </w:style>
  <w:style w:type="character" w:customStyle="1" w:styleId="Underlined">
    <w:name w:val="Underlined"/>
    <w:basedOn w:val="DefaultParagraphFont"/>
    <w:rsid w:val="00B77AF3"/>
    <w:rPr>
      <w:u w:val="single"/>
    </w:rPr>
  </w:style>
  <w:style w:type="paragraph" w:customStyle="1" w:styleId="TableBodyTextRight">
    <w:name w:val="Table Body Text Right"/>
    <w:basedOn w:val="TableBodyText"/>
    <w:rsid w:val="00B77AF3"/>
    <w:pPr>
      <w:widowControl w:val="0"/>
      <w:autoSpaceDE w:val="0"/>
      <w:autoSpaceDN w:val="0"/>
      <w:adjustRightInd w:val="0"/>
      <w:jc w:val="right"/>
    </w:pPr>
    <w:rPr>
      <w:rFonts w:cs="Arial"/>
      <w:szCs w:val="18"/>
    </w:rPr>
  </w:style>
  <w:style w:type="paragraph" w:customStyle="1" w:styleId="CopyrightText">
    <w:name w:val="Copyright Text"/>
    <w:basedOn w:val="BodyText"/>
    <w:rsid w:val="00B77AF3"/>
    <w:rPr>
      <w:sz w:val="18"/>
    </w:rPr>
  </w:style>
  <w:style w:type="paragraph" w:customStyle="1" w:styleId="BodySmallRight">
    <w:name w:val="Body Small Right"/>
    <w:basedOn w:val="BodyTextRight"/>
    <w:rsid w:val="00B77AF3"/>
    <w:rPr>
      <w:sz w:val="18"/>
      <w:szCs w:val="18"/>
    </w:rPr>
  </w:style>
  <w:style w:type="paragraph" w:customStyle="1" w:styleId="MarginEdition">
    <w:name w:val="Margin Edition"/>
    <w:basedOn w:val="MarginNote"/>
    <w:rsid w:val="00B77AF3"/>
    <w:pPr>
      <w:spacing w:before="0" w:after="0"/>
    </w:pPr>
    <w:rPr>
      <w:rFonts w:ascii="Times New Roman" w:hAnsi="Times New Roman"/>
      <w:color w:val="999999"/>
    </w:rPr>
  </w:style>
  <w:style w:type="paragraph" w:customStyle="1" w:styleId="Spacer">
    <w:name w:val="Spacer"/>
    <w:basedOn w:val="Normal"/>
    <w:rsid w:val="00B77AF3"/>
    <w:rPr>
      <w:sz w:val="2"/>
      <w:szCs w:val="2"/>
    </w:rPr>
  </w:style>
  <w:style w:type="character" w:customStyle="1" w:styleId="Small">
    <w:name w:val="Small"/>
    <w:basedOn w:val="DefaultParagraphFont"/>
    <w:rsid w:val="00B77AF3"/>
    <w:rPr>
      <w:sz w:val="16"/>
    </w:rPr>
  </w:style>
  <w:style w:type="paragraph" w:customStyle="1" w:styleId="WideTable">
    <w:name w:val="Wide Table"/>
    <w:basedOn w:val="Normal"/>
    <w:rsid w:val="00B77AF3"/>
    <w:pPr>
      <w:ind w:left="-1418"/>
    </w:pPr>
    <w:rPr>
      <w:sz w:val="2"/>
      <w:szCs w:val="2"/>
    </w:rPr>
  </w:style>
  <w:style w:type="character" w:styleId="PageNumber">
    <w:name w:val="page number"/>
    <w:basedOn w:val="DefaultParagraphFont"/>
    <w:rsid w:val="00B77AF3"/>
  </w:style>
  <w:style w:type="paragraph" w:styleId="Quote">
    <w:name w:val="Quote"/>
    <w:basedOn w:val="Heading1"/>
    <w:link w:val="QuoteChar"/>
    <w:qFormat/>
    <w:rsid w:val="00B77AF3"/>
    <w:rPr>
      <w:b w:val="0"/>
      <w:sz w:val="72"/>
      <w:szCs w:val="72"/>
      <w:lang w:val="en-NZ"/>
    </w:rPr>
  </w:style>
  <w:style w:type="character" w:customStyle="1" w:styleId="QuoteChar">
    <w:name w:val="Quote Char"/>
    <w:basedOn w:val="DefaultParagraphFont"/>
    <w:link w:val="Quote"/>
    <w:rsid w:val="00B77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AF3"/>
    <w:pPr>
      <w:pageBreakBefore/>
    </w:pPr>
  </w:style>
  <w:style w:type="paragraph" w:customStyle="1" w:styleId="Border">
    <w:name w:val="Border"/>
    <w:basedOn w:val="Normal"/>
    <w:qFormat/>
    <w:rsid w:val="00B77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AF3"/>
    <w:rPr>
      <w:b/>
      <w:bCs/>
      <w:i/>
      <w:iCs/>
      <w:color w:val="auto"/>
    </w:rPr>
  </w:style>
  <w:style w:type="paragraph" w:styleId="IntenseQuote">
    <w:name w:val="Intense Quote"/>
    <w:basedOn w:val="Normal"/>
    <w:next w:val="Normal"/>
    <w:link w:val="IntenseQuoteChar"/>
    <w:uiPriority w:val="30"/>
    <w:qFormat/>
    <w:rsid w:val="00B77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AF3"/>
    <w:rPr>
      <w:smallCaps/>
      <w:color w:val="auto"/>
      <w:u w:val="single"/>
    </w:rPr>
  </w:style>
  <w:style w:type="character" w:styleId="IntenseReference">
    <w:name w:val="Intense Reference"/>
    <w:basedOn w:val="DefaultParagraphFont"/>
    <w:uiPriority w:val="32"/>
    <w:qFormat/>
    <w:rsid w:val="00B77AF3"/>
    <w:rPr>
      <w:b/>
      <w:bCs/>
      <w:smallCaps/>
      <w:color w:val="auto"/>
      <w:spacing w:val="5"/>
      <w:u w:val="single"/>
    </w:rPr>
  </w:style>
  <w:style w:type="paragraph" w:customStyle="1" w:styleId="2ColumnHeading">
    <w:name w:val="2Column Heading"/>
    <w:basedOn w:val="BodyText"/>
    <w:qFormat/>
    <w:rsid w:val="00B77AF3"/>
    <w:pPr>
      <w:spacing w:after="60"/>
      <w:ind w:left="-2268"/>
    </w:pPr>
    <w:rPr>
      <w:b/>
    </w:rPr>
  </w:style>
  <w:style w:type="paragraph" w:customStyle="1" w:styleId="Heading1TOC">
    <w:name w:val="Heading1 TOC"/>
    <w:basedOn w:val="Normal"/>
    <w:qFormat/>
    <w:rsid w:val="00B77AF3"/>
    <w:pPr>
      <w:spacing w:before="240" w:after="120"/>
    </w:pPr>
    <w:rPr>
      <w:rFonts w:ascii="Times New Roman" w:hAnsi="Times New Roman"/>
      <w:b/>
      <w:sz w:val="32"/>
    </w:rPr>
  </w:style>
  <w:style w:type="paragraph" w:customStyle="1" w:styleId="Heading2TOC">
    <w:name w:val="Heading2 TOC"/>
    <w:basedOn w:val="Normal"/>
    <w:qFormat/>
    <w:rsid w:val="00B77AF3"/>
    <w:pPr>
      <w:spacing w:before="240" w:after="60"/>
    </w:pPr>
    <w:rPr>
      <w:rFonts w:ascii="Times New Roman" w:hAnsi="Times New Roman"/>
      <w:b/>
      <w:sz w:val="28"/>
    </w:rPr>
  </w:style>
  <w:style w:type="character" w:customStyle="1" w:styleId="Underline">
    <w:name w:val="Underline"/>
    <w:basedOn w:val="DefaultParagraphFont"/>
    <w:qFormat/>
    <w:rsid w:val="00B77AF3"/>
    <w:rPr>
      <w:u w:val="single"/>
    </w:rPr>
  </w:style>
  <w:style w:type="character" w:customStyle="1" w:styleId="BoldandItalics">
    <w:name w:val="Bold and Italics"/>
    <w:qFormat/>
    <w:rsid w:val="00B77AF3"/>
    <w:rPr>
      <w:b/>
      <w:i/>
      <w:u w:val="none"/>
    </w:rPr>
  </w:style>
  <w:style w:type="paragraph" w:styleId="BalloonText">
    <w:name w:val="Balloon Text"/>
    <w:basedOn w:val="Normal"/>
    <w:link w:val="BalloonTextChar"/>
    <w:rsid w:val="00B77AF3"/>
    <w:rPr>
      <w:rFonts w:ascii="Tahoma" w:hAnsi="Tahoma" w:cs="Tahoma"/>
      <w:sz w:val="16"/>
      <w:szCs w:val="16"/>
    </w:rPr>
  </w:style>
  <w:style w:type="character" w:customStyle="1" w:styleId="BalloonTextChar">
    <w:name w:val="Balloon Text Char"/>
    <w:basedOn w:val="DefaultParagraphFont"/>
    <w:link w:val="BalloonText"/>
    <w:rsid w:val="00B77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AF3"/>
    <w:rPr>
      <w:b/>
      <w:color w:val="660033"/>
      <w:spacing w:val="0"/>
    </w:rPr>
  </w:style>
  <w:style w:type="paragraph" w:customStyle="1" w:styleId="Nameditemlist">
    <w:name w:val="Named item list"/>
    <w:basedOn w:val="BodyText"/>
    <w:qFormat/>
    <w:rsid w:val="00B77A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1149</Words>
  <Characters>7548</Characters>
  <Application>Microsoft Office Word</Application>
  <DocSecurity>0</DocSecurity>
  <Lines>320</Lines>
  <Paragraphs>198</Paragraphs>
  <ScaleCrop>false</ScaleCrop>
  <Company>Author-it Software Corporation Ltd.</Company>
  <LinksUpToDate>false</LinksUpToDate>
  <CharactersWithSpaces>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TLIP2038A Conduct, balance and secure financial transactions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2013-12-24T08:53:56Z</dcterms:created>
  <dcterms:modified xsi:type="dcterms:W3CDTF">2013-12-23T05:26:00Z</dcterms:modified>
</cp:coreProperties>
</file>