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300" w:rsidP="00F90300">
      <w:pPr>
        <w:pStyle w:val="Title"/>
      </w:pPr>
      <w:r>
        <w:fldChar w:fldCharType="begin"/>
      </w:r>
      <w:r>
        <w:instrText xml:space="preserve"> TITLE   \* MERGEFORMAT </w:instrText>
      </w:r>
      <w:r>
        <w:fldChar w:fldCharType="separate"/>
      </w:r>
      <w:r>
        <w:t>TLIP2024A Conduct financial transactions</w:t>
      </w:r>
      <w:r>
        <w:fldChar w:fldCharType="end"/>
      </w:r>
    </w:p>
    <w:p w:rsidR="00F90300" w:rsidP="00F90300">
      <w:pPr>
        <w:pStyle w:val="Version"/>
        <w:sectPr w:rsidSect="00F84F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F3E" w:rsidP="00F84F3E">
      <w:pPr>
        <w:pStyle w:val="SuperHeading"/>
      </w:pPr>
      <w:r w:rsidRPr="00F84F3E">
        <w:t>TLIP2024A Conduct financial transactions</w:t>
      </w:r>
    </w:p>
    <w:p w:rsidR="00000000" w:rsidRPr="00F84F3E" w:rsidP="00F84F3E">
      <w:pPr>
        <w:pStyle w:val="Heading1"/>
      </w:pPr>
      <w:bookmarkStart w:id="1" w:name="O_274271"/>
      <w:bookmarkEnd w:id="1"/>
      <w:r w:rsidRPr="00F84F3E">
        <w:t>Modification History</w:t>
      </w:r>
    </w:p>
    <w:p w:rsidR="00000000" w:rsidRPr="00F84F3E" w:rsidP="00F84F3E">
      <w:pPr>
        <w:pStyle w:val="BodyText"/>
      </w:pPr>
      <w:r w:rsidRPr="00F84F3E">
        <w:t>Not Applicable</w:t>
      </w:r>
    </w:p>
    <w:p w:rsidR="00000000" w:rsidRPr="00F84F3E" w:rsidP="00F84F3E">
      <w:pPr>
        <w:pStyle w:val="AllowPageBreak"/>
      </w:pPr>
    </w:p>
    <w:p w:rsidR="00000000" w:rsidRPr="00F84F3E" w:rsidP="00F84F3E">
      <w:pPr>
        <w:pStyle w:val="Heading1"/>
      </w:pPr>
      <w:bookmarkStart w:id="2" w:name="O_224146"/>
      <w:bookmarkEnd w:id="2"/>
      <w:r w:rsidRPr="00F84F3E">
        <w:t>Unit Descriptor</w:t>
      </w:r>
    </w:p>
    <w:tbl>
      <w:tblPr>
        <w:tblW w:w="9640" w:type="dxa"/>
        <w:tblLayout w:type="fixed"/>
        <w:tblCellMar>
          <w:left w:w="62" w:type="dxa"/>
          <w:right w:w="62" w:type="dxa"/>
        </w:tblCellMar>
        <w:tblLook w:val="0000"/>
      </w:tblPr>
      <w:tblGrid>
        <w:gridCol w:w="2978"/>
        <w:gridCol w:w="6662"/>
      </w:tblGrid>
      <w:tr w:rsidTr="00F903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84F3E" w:rsidP="00F84F3E">
            <w:pPr>
              <w:pStyle w:val="BodyText"/>
            </w:pPr>
            <w:r w:rsidRPr="00F84F3E">
              <w:t>This unit involves the skills and knowledge required to conduct direct financial transactions as</w:t>
            </w:r>
            <w:r w:rsidRPr="00F84F3E">
              <w:t xml:space="preserve"> part of courier operations, including operating point of sale equipment, transacting sales, clearing register, and maintaining sales documents. Licensing, legislative, regulatory or certification requirements are applicable to this unit.</w:t>
            </w:r>
          </w:p>
        </w:tc>
      </w:tr>
    </w:tbl>
    <w:p w:rsidR="00F90300" w:rsidP="00F84F3E">
      <w:pPr>
        <w:pStyle w:val="BodyText"/>
      </w:pPr>
    </w:p>
    <w:p w:rsidR="00F90300" w:rsidP="00F84F3E">
      <w:pPr>
        <w:pStyle w:val="BodyText"/>
      </w:pPr>
    </w:p>
    <w:p w:rsidR="00000000" w:rsidRPr="00F84F3E" w:rsidP="00F84F3E">
      <w:pPr>
        <w:pStyle w:val="Heading1"/>
      </w:pPr>
      <w:bookmarkStart w:id="3" w:name="O_224148"/>
      <w:bookmarkEnd w:id="3"/>
      <w:r w:rsidRPr="00F84F3E">
        <w:t>Application of the Unit</w:t>
      </w:r>
    </w:p>
    <w:tbl>
      <w:tblPr>
        <w:tblW w:w="9640" w:type="dxa"/>
        <w:tblLayout w:type="fixed"/>
        <w:tblCellMar>
          <w:left w:w="62" w:type="dxa"/>
          <w:right w:w="62" w:type="dxa"/>
        </w:tblCellMar>
        <w:tblLook w:val="0000"/>
      </w:tblPr>
      <w:tblGrid>
        <w:gridCol w:w="2978"/>
        <w:gridCol w:w="6662"/>
      </w:tblGrid>
      <w:tr w:rsidTr="00F903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84F3E" w:rsidP="00F84F3E">
            <w:pPr>
              <w:pStyle w:val="BodyText"/>
            </w:pPr>
            <w:r w:rsidRPr="00F84F3E">
              <w:t>Work must be carried out in compliance with relevant codes and regulations concerned with the conduct of direct financial transactions during the collection and delivery of valuables, secured products</w:t>
            </w:r>
            <w:r w:rsidRPr="00F84F3E">
              <w:t>, documents and materials.</w:t>
            </w:r>
          </w:p>
          <w:p w:rsidR="00000000" w:rsidRPr="00F84F3E" w:rsidP="00F84F3E">
            <w:pPr>
              <w:pStyle w:val="BodyText"/>
            </w:pPr>
            <w:r w:rsidRPr="00F84F3E">
              <w:t>Work is performed under general supervision. It involves the application of the basic financial transaction principles, routine procedures and regulatory requirements to conduct direct financial transactions as part of courier op</w:t>
            </w:r>
            <w:r w:rsidRPr="00F84F3E">
              <w:t>erations.</w:t>
            </w:r>
          </w:p>
        </w:tc>
      </w:tr>
    </w:tbl>
    <w:p w:rsidR="00F90300" w:rsidP="00F84F3E">
      <w:pPr>
        <w:pStyle w:val="BodyText"/>
      </w:pPr>
    </w:p>
    <w:p w:rsidR="00F90300" w:rsidP="00F84F3E">
      <w:pPr>
        <w:pStyle w:val="BodyText"/>
      </w:pPr>
    </w:p>
    <w:p w:rsidR="00000000" w:rsidRPr="00F84F3E" w:rsidP="00F84F3E">
      <w:pPr>
        <w:pStyle w:val="Heading1"/>
      </w:pPr>
      <w:bookmarkStart w:id="4" w:name="O_282531"/>
      <w:bookmarkEnd w:id="4"/>
      <w:r w:rsidRPr="00F84F3E">
        <w:t>Licensing/Regulatory Information</w:t>
      </w:r>
    </w:p>
    <w:p w:rsidR="00000000" w:rsidRPr="00F84F3E" w:rsidP="00F84F3E">
      <w:pPr>
        <w:pStyle w:val="BodyText"/>
      </w:pPr>
      <w:r w:rsidRPr="00F84F3E">
        <w:t>Refer to Unit Descriptor</w:t>
      </w:r>
    </w:p>
    <w:p w:rsidR="00000000" w:rsidRPr="00F84F3E" w:rsidP="00F84F3E">
      <w:pPr>
        <w:pStyle w:val="AllowPageBreak"/>
      </w:pPr>
    </w:p>
    <w:p w:rsidR="00000000" w:rsidRPr="00F84F3E" w:rsidP="00F84F3E">
      <w:pPr>
        <w:pStyle w:val="Heading1"/>
      </w:pPr>
      <w:bookmarkStart w:id="5" w:name="O_284981"/>
      <w:bookmarkEnd w:id="5"/>
      <w:r w:rsidRPr="00F84F3E">
        <w:t>Pre-Requisites</w:t>
      </w:r>
    </w:p>
    <w:p w:rsidR="00000000" w:rsidRPr="00F84F3E" w:rsidP="00F84F3E">
      <w:pPr>
        <w:pStyle w:val="BodyText"/>
      </w:pPr>
      <w:r w:rsidRPr="00F84F3E">
        <w:t>Not Applicable</w:t>
      </w:r>
    </w:p>
    <w:p w:rsidR="00000000" w:rsidRPr="00F84F3E" w:rsidP="00F84F3E">
      <w:pPr>
        <w:pStyle w:val="AllowPageBreak"/>
      </w:pPr>
    </w:p>
    <w:p w:rsidR="00000000" w:rsidRPr="00F84F3E" w:rsidP="00F84F3E">
      <w:pPr>
        <w:pStyle w:val="Heading1"/>
      </w:pPr>
      <w:bookmarkStart w:id="6" w:name="O_224147"/>
      <w:bookmarkEnd w:id="6"/>
      <w:r w:rsidRPr="00F84F3E">
        <w:t>Employability Skills Information</w:t>
      </w:r>
    </w:p>
    <w:tbl>
      <w:tblPr>
        <w:tblW w:w="9640" w:type="dxa"/>
        <w:tblLayout w:type="fixed"/>
        <w:tblCellMar>
          <w:left w:w="62" w:type="dxa"/>
          <w:right w:w="62" w:type="dxa"/>
        </w:tblCellMar>
        <w:tblLook w:val="0000"/>
      </w:tblPr>
      <w:tblGrid>
        <w:gridCol w:w="2978"/>
        <w:gridCol w:w="6662"/>
      </w:tblGrid>
      <w:tr w:rsidTr="00F903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84F3E" w:rsidP="00F84F3E">
            <w:pPr>
              <w:pStyle w:val="BodyText"/>
            </w:pPr>
            <w:r w:rsidRPr="00F84F3E">
              <w:t>This unit contains employability skills.</w:t>
            </w:r>
          </w:p>
        </w:tc>
      </w:tr>
    </w:tbl>
    <w:p w:rsidR="00F90300" w:rsidP="00F84F3E">
      <w:pPr>
        <w:pStyle w:val="BodyText"/>
      </w:pPr>
    </w:p>
    <w:p w:rsidR="00F90300" w:rsidP="00F84F3E">
      <w:pPr>
        <w:pStyle w:val="BodyText"/>
      </w:pPr>
    </w:p>
    <w:p w:rsidR="00000000" w:rsidRPr="00F84F3E" w:rsidP="00F84F3E">
      <w:pPr>
        <w:pStyle w:val="Heading1"/>
      </w:pPr>
      <w:bookmarkStart w:id="7" w:name="O_292317"/>
      <w:bookmarkEnd w:id="7"/>
      <w:r w:rsidRPr="00F84F3E">
        <w:t>Elements and Performance Criteria Pre-Content</w:t>
      </w:r>
    </w:p>
    <w:tbl>
      <w:tblPr>
        <w:tblW w:w="9640" w:type="dxa"/>
        <w:tblLayout w:type="fixed"/>
        <w:tblCellMar>
          <w:left w:w="62" w:type="dxa"/>
          <w:right w:w="62" w:type="dxa"/>
        </w:tblCellMar>
        <w:tblLook w:val="0000"/>
      </w:tblPr>
      <w:tblGrid>
        <w:gridCol w:w="2978"/>
        <w:gridCol w:w="6662"/>
      </w:tblGrid>
      <w:tr w:rsidTr="00F903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84F3E" w:rsidP="00F84F3E">
            <w:pPr>
              <w:pStyle w:val="BodyText"/>
            </w:pPr>
            <w:r w:rsidRPr="00F84F3E">
              <w:t>Performance criteria describe the required performance needed to demonstrate achievement of the element. Assessment of performan</w:t>
            </w:r>
            <w:r w:rsidRPr="00F84F3E">
              <w:t>ce is to be consistent with the evidence guide.</w:t>
            </w:r>
          </w:p>
        </w:tc>
      </w:tr>
    </w:tbl>
    <w:p w:rsidR="00000000" w:rsidRPr="00F84F3E" w:rsidP="00F84F3E">
      <w:pPr>
        <w:pStyle w:val="BodyText"/>
      </w:pPr>
    </w:p>
    <w:p w:rsidR="00000000" w:rsidRPr="00F84F3E" w:rsidP="00F84F3E">
      <w:pPr>
        <w:pStyle w:val="AllowPageBreak"/>
      </w:pPr>
    </w:p>
    <w:p w:rsidR="00000000" w:rsidRPr="00F84F3E" w:rsidP="00F84F3E">
      <w:pPr>
        <w:pStyle w:val="Heading1"/>
      </w:pPr>
      <w:bookmarkStart w:id="8" w:name="O_238985"/>
      <w:bookmarkEnd w:id="8"/>
      <w:r w:rsidRPr="00F84F3E">
        <w:t>Elements and Performance Criteria</w:t>
      </w:r>
    </w:p>
    <w:tbl>
      <w:tblPr>
        <w:tblW w:w="9640" w:type="dxa"/>
        <w:tblLayout w:type="fixed"/>
        <w:tblCellMar>
          <w:left w:w="62" w:type="dxa"/>
          <w:right w:w="62" w:type="dxa"/>
        </w:tblCellMar>
        <w:tblLook w:val="0000"/>
      </w:tblPr>
      <w:tblGrid>
        <w:gridCol w:w="2978"/>
        <w:gridCol w:w="6662"/>
      </w:tblGrid>
      <w:tr w:rsidTr="00F903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84F3E" w:rsidP="00F84F3E">
            <w:pPr>
              <w:pStyle w:val="List"/>
            </w:pPr>
            <w:r w:rsidRPr="00F84F3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84F3E">
            <w:pPr>
              <w:pStyle w:val="List"/>
              <w:rPr>
                <w:lang w:val="en-NZ"/>
              </w:rPr>
            </w:pPr>
            <w:r w:rsidRPr="00F84F3E">
              <w:rPr>
                <w:rStyle w:val="SpecialBold"/>
              </w:rPr>
              <w:t>PERFORMANCE CRITERIA</w:t>
            </w:r>
          </w:p>
        </w:tc>
      </w:tr>
      <w:tr w:rsidTr="00F903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4F3E">
            <w:pPr>
              <w:pStyle w:val="List"/>
              <w:rPr>
                <w:lang w:val="en-NZ"/>
              </w:rPr>
            </w:pPr>
            <w:r w:rsidRPr="00F84F3E">
              <w:rPr>
                <w:rStyle w:val="SpecialBold"/>
              </w:rPr>
              <w:t>1</w:t>
            </w:r>
            <w:r w:rsidRPr="00F84F3E">
              <w:tab/>
            </w:r>
            <w:r w:rsidRPr="00F84F3E">
              <w:rPr>
                <w:rStyle w:val="SpecialBold"/>
              </w:rPr>
              <w:t>Operate point of sale equipment</w:t>
            </w:r>
          </w:p>
        </w:tc>
        <w:tc>
          <w:tcPr>
            <w:tcW w:w="6662" w:type="dxa"/>
            <w:tcBorders>
              <w:top w:val="nil"/>
              <w:left w:val="nil"/>
              <w:bottom w:val="nil"/>
              <w:right w:val="nil"/>
            </w:tcBorders>
            <w:tcMar>
              <w:top w:w="0" w:type="dxa"/>
              <w:left w:w="62" w:type="dxa"/>
              <w:bottom w:w="0" w:type="dxa"/>
              <w:right w:w="62" w:type="dxa"/>
            </w:tcMar>
          </w:tcPr>
          <w:p w:rsidR="00000000" w:rsidRPr="00F84F3E" w:rsidP="00F84F3E">
            <w:pPr>
              <w:pStyle w:val="List"/>
            </w:pPr>
            <w:r w:rsidRPr="00F84F3E">
              <w:t>1.1</w:t>
            </w:r>
            <w:r w:rsidRPr="00F84F3E">
              <w:tab/>
            </w:r>
            <w:r w:rsidRPr="00F84F3E">
              <w:t>Point of sale equipment is operated and maintained in line with manufacturers specifications and workplace procedures</w:t>
            </w:r>
          </w:p>
          <w:p w:rsidR="00000000" w:rsidRPr="00F84F3E" w:rsidP="00F84F3E">
            <w:pPr>
              <w:pStyle w:val="List"/>
            </w:pPr>
            <w:r w:rsidRPr="00F84F3E">
              <w:t>1.2</w:t>
            </w:r>
            <w:r w:rsidRPr="00F84F3E">
              <w:tab/>
              <w:t>Procedure for opening the sales equipment or register is followed</w:t>
            </w:r>
          </w:p>
          <w:p w:rsidR="00000000" w:rsidRPr="00F84F3E" w:rsidP="00F84F3E">
            <w:pPr>
              <w:pStyle w:val="List"/>
            </w:pPr>
            <w:r w:rsidRPr="00F84F3E">
              <w:t>1.3</w:t>
            </w:r>
            <w:r w:rsidRPr="00F84F3E">
              <w:tab/>
              <w:t>Adequate change is maintained for use in transactions</w:t>
            </w:r>
          </w:p>
          <w:p w:rsidR="00000000" w:rsidP="00F84F3E">
            <w:pPr>
              <w:pStyle w:val="List"/>
              <w:rPr>
                <w:lang w:val="en-NZ"/>
              </w:rPr>
            </w:pPr>
            <w:r w:rsidRPr="00F84F3E">
              <w:t>1.4</w:t>
            </w:r>
            <w:r w:rsidRPr="00F84F3E">
              <w:tab/>
              <w:t xml:space="preserve">Sales </w:t>
            </w:r>
            <w:r w:rsidRPr="00F84F3E">
              <w:t>equipment/register is closed off in accordance with workplace cash security procedures</w:t>
            </w:r>
          </w:p>
        </w:tc>
      </w:tr>
      <w:tr w:rsidTr="00F903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4F3E">
            <w:pPr>
              <w:pStyle w:val="List"/>
              <w:rPr>
                <w:lang w:val="en-NZ"/>
              </w:rPr>
            </w:pPr>
            <w:r w:rsidRPr="00F84F3E">
              <w:rPr>
                <w:rStyle w:val="SpecialBold"/>
              </w:rPr>
              <w:t>2</w:t>
            </w:r>
            <w:r w:rsidRPr="00F84F3E">
              <w:tab/>
            </w:r>
            <w:r w:rsidRPr="00F84F3E">
              <w:rPr>
                <w:rStyle w:val="SpecialBold"/>
              </w:rPr>
              <w:t>Transact sale</w:t>
            </w:r>
          </w:p>
        </w:tc>
        <w:tc>
          <w:tcPr>
            <w:tcW w:w="6662" w:type="dxa"/>
            <w:tcBorders>
              <w:top w:val="nil"/>
              <w:left w:val="nil"/>
              <w:bottom w:val="nil"/>
              <w:right w:val="nil"/>
            </w:tcBorders>
            <w:tcMar>
              <w:top w:w="0" w:type="dxa"/>
              <w:left w:w="62" w:type="dxa"/>
              <w:bottom w:w="0" w:type="dxa"/>
              <w:right w:w="62" w:type="dxa"/>
            </w:tcMar>
          </w:tcPr>
          <w:p w:rsidR="00000000" w:rsidRPr="00F84F3E" w:rsidP="00F84F3E">
            <w:pPr>
              <w:pStyle w:val="List"/>
            </w:pPr>
            <w:r w:rsidRPr="00F84F3E">
              <w:t>2.1</w:t>
            </w:r>
            <w:r w:rsidRPr="00F84F3E">
              <w:tab/>
              <w:t>Amount owing is calculated and customer advised</w:t>
            </w:r>
          </w:p>
          <w:p w:rsidR="00000000" w:rsidP="00F84F3E">
            <w:pPr>
              <w:pStyle w:val="List"/>
              <w:rPr>
                <w:lang w:val="en-NZ"/>
              </w:rPr>
            </w:pPr>
            <w:r w:rsidRPr="00F84F3E">
              <w:t>2.2</w:t>
            </w:r>
            <w:r w:rsidRPr="00F84F3E">
              <w:tab/>
              <w:t>In the case of cash transactions, amount tendered is checked and the correct change is calculate</w:t>
            </w:r>
            <w:r w:rsidRPr="00F84F3E">
              <w:t>d and given</w:t>
            </w:r>
          </w:p>
        </w:tc>
      </w:tr>
      <w:tr w:rsidTr="00F903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4F3E">
            <w:pPr>
              <w:pStyle w:val="List"/>
              <w:rPr>
                <w:lang w:val="en-NZ"/>
              </w:rPr>
            </w:pPr>
            <w:r w:rsidRPr="00F84F3E">
              <w:rPr>
                <w:rStyle w:val="SpecialBold"/>
              </w:rPr>
              <w:t>3</w:t>
            </w:r>
            <w:r w:rsidRPr="00F84F3E">
              <w:tab/>
            </w:r>
            <w:r w:rsidRPr="00F84F3E">
              <w:rPr>
                <w:rStyle w:val="SpecialBold"/>
              </w:rPr>
              <w:t>Clear register</w:t>
            </w:r>
          </w:p>
        </w:tc>
        <w:tc>
          <w:tcPr>
            <w:tcW w:w="6662" w:type="dxa"/>
            <w:tcBorders>
              <w:top w:val="nil"/>
              <w:left w:val="nil"/>
              <w:bottom w:val="nil"/>
              <w:right w:val="nil"/>
            </w:tcBorders>
            <w:tcMar>
              <w:top w:w="0" w:type="dxa"/>
              <w:left w:w="62" w:type="dxa"/>
              <w:bottom w:w="0" w:type="dxa"/>
              <w:right w:w="62" w:type="dxa"/>
            </w:tcMar>
          </w:tcPr>
          <w:p w:rsidR="00000000" w:rsidRPr="00F84F3E" w:rsidP="00F84F3E">
            <w:pPr>
              <w:pStyle w:val="List"/>
            </w:pPr>
            <w:r w:rsidRPr="00F84F3E">
              <w:t>3.1</w:t>
            </w:r>
            <w:r w:rsidRPr="00F84F3E">
              <w:tab/>
              <w:t>Sales equipment/register is cleared and cash is transferred at required times in accordance with workplace policy</w:t>
            </w:r>
          </w:p>
          <w:p w:rsidR="00000000" w:rsidRPr="00F84F3E" w:rsidP="00F84F3E">
            <w:pPr>
              <w:pStyle w:val="List"/>
            </w:pPr>
            <w:r w:rsidRPr="00F84F3E">
              <w:t>3.2</w:t>
            </w:r>
            <w:r w:rsidRPr="00F84F3E">
              <w:tab/>
              <w:t>Cheques, credit and other non-cash transactions are handled in accordance with workplace policy and proc</w:t>
            </w:r>
            <w:r w:rsidRPr="00F84F3E">
              <w:t>edures</w:t>
            </w:r>
          </w:p>
          <w:p w:rsidR="00000000" w:rsidP="00F84F3E">
            <w:pPr>
              <w:pStyle w:val="List"/>
              <w:rPr>
                <w:lang w:val="en-NZ"/>
              </w:rPr>
            </w:pPr>
            <w:r w:rsidRPr="00F84F3E">
              <w:t>3.3</w:t>
            </w:r>
            <w:r w:rsidRPr="00F84F3E">
              <w:tab/>
              <w:t>Due security is maintained when handling cash in accordance with workplace security procedures</w:t>
            </w:r>
          </w:p>
        </w:tc>
      </w:tr>
      <w:tr w:rsidTr="00F9030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4F3E">
            <w:pPr>
              <w:pStyle w:val="List"/>
              <w:rPr>
                <w:lang w:val="en-NZ"/>
              </w:rPr>
            </w:pPr>
            <w:r w:rsidRPr="00F84F3E">
              <w:rPr>
                <w:rStyle w:val="SpecialBold"/>
              </w:rPr>
              <w:t>4</w:t>
            </w:r>
            <w:r w:rsidRPr="00F84F3E">
              <w:tab/>
            </w:r>
            <w:r w:rsidRPr="00F84F3E">
              <w:rPr>
                <w:rStyle w:val="SpecialBold"/>
              </w:rPr>
              <w:t>Maintain sales documents</w:t>
            </w:r>
          </w:p>
        </w:tc>
        <w:tc>
          <w:tcPr>
            <w:tcW w:w="6662" w:type="dxa"/>
            <w:tcBorders>
              <w:top w:val="nil"/>
              <w:left w:val="nil"/>
              <w:bottom w:val="nil"/>
              <w:right w:val="nil"/>
            </w:tcBorders>
            <w:tcMar>
              <w:top w:w="0" w:type="dxa"/>
              <w:left w:w="62" w:type="dxa"/>
              <w:bottom w:w="0" w:type="dxa"/>
              <w:right w:w="62" w:type="dxa"/>
            </w:tcMar>
          </w:tcPr>
          <w:p w:rsidR="00000000" w:rsidRPr="00F84F3E" w:rsidP="00F84F3E">
            <w:pPr>
              <w:pStyle w:val="List"/>
            </w:pPr>
            <w:r w:rsidRPr="00F84F3E">
              <w:t>4.1</w:t>
            </w:r>
            <w:r w:rsidRPr="00F84F3E">
              <w:tab/>
              <w:t>Records are completed for all transactions including 'refunds' and 'no sales'</w:t>
            </w:r>
          </w:p>
          <w:p w:rsidR="00000000" w:rsidRPr="00F84F3E" w:rsidP="00F84F3E">
            <w:pPr>
              <w:pStyle w:val="List"/>
            </w:pPr>
            <w:r w:rsidRPr="00F84F3E">
              <w:t>4.2</w:t>
            </w:r>
            <w:r w:rsidRPr="00F84F3E">
              <w:tab/>
            </w:r>
            <w:r w:rsidRPr="00F84F3E">
              <w:t>Adequate supplies of dockets, vouchers and point of sale documents are maintained</w:t>
            </w:r>
          </w:p>
          <w:p w:rsidR="00000000" w:rsidRPr="00F84F3E" w:rsidP="00F84F3E">
            <w:pPr>
              <w:pStyle w:val="List"/>
            </w:pPr>
            <w:r w:rsidRPr="00F84F3E">
              <w:t>4.3</w:t>
            </w:r>
            <w:r w:rsidRPr="00F84F3E">
              <w:tab/>
              <w:t>Debtor transactions are processed in line with workplace procedures</w:t>
            </w:r>
          </w:p>
        </w:tc>
      </w:tr>
    </w:tbl>
    <w:p w:rsidR="00F90300" w:rsidP="00F84F3E">
      <w:pPr>
        <w:pStyle w:val="BodyText"/>
      </w:pPr>
    </w:p>
    <w:p w:rsidR="00F90300" w:rsidP="00F84F3E">
      <w:pPr>
        <w:pStyle w:val="BodyText"/>
      </w:pPr>
    </w:p>
    <w:p w:rsidR="00000000" w:rsidRPr="00F84F3E" w:rsidP="00F84F3E">
      <w:pPr>
        <w:pStyle w:val="Heading1"/>
      </w:pPr>
      <w:bookmarkStart w:id="9" w:name="O_262776"/>
      <w:bookmarkEnd w:id="9"/>
      <w:r w:rsidRPr="00F84F3E">
        <w:t>Required Skills and Knowledge</w:t>
      </w:r>
    </w:p>
    <w:tbl>
      <w:tblPr>
        <w:tblW w:w="9640" w:type="dxa"/>
        <w:tblLayout w:type="fixed"/>
        <w:tblCellMar>
          <w:left w:w="62" w:type="dxa"/>
          <w:right w:w="62" w:type="dxa"/>
        </w:tblCellMar>
        <w:tblLook w:val="0000"/>
      </w:tblPr>
      <w:tblGrid>
        <w:gridCol w:w="9640"/>
      </w:tblGrid>
      <w:tr w:rsidTr="00F9030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rPr>
                <w:rStyle w:val="SpecialBold"/>
              </w:rPr>
              <w:t>REQUIRED KNOWLEDGE AND SKILLS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 xml:space="preserve">This describes the </w:t>
            </w:r>
            <w:r w:rsidRPr="00F84F3E">
              <w:t>essential knowledge and skills and their level required for this unit.</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rPr>
                <w:rStyle w:val="SpecialBold"/>
              </w:rPr>
              <w:t>Required knowledge</w:t>
            </w:r>
            <w:r w:rsidRPr="00F84F3E">
              <w:t>:</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Relevant state and territory regulations and requirements related to the conduct of transactions within courier operations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Relevant OH&amp;S procedures and guidelines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Risks and hazards when carrying out transactions and related precautions to control security threats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Operational procedures for the conduct of direct financial transactions with customers in the courier industry</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Contingency planning relating to managing and controlling security threats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Implications of credit and financial institution codes of practice</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Requirements of courier work systems, operations and relevant equipment</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84F3E" w:rsidP="00F84F3E">
            <w:pPr>
              <w:pStyle w:val="ListBullet"/>
            </w:pPr>
            <w:r w:rsidRPr="00F84F3E">
              <w:t>Typical problems that can occur when conducting financial transactions and appropriate action that can be taken to prevent or solve them</w:t>
            </w:r>
          </w:p>
        </w:tc>
      </w:tr>
    </w:tbl>
    <w:p w:rsidR="00000000" w:rsidRPr="00F84F3E" w:rsidP="00F84F3E">
      <w:pPr>
        <w:pStyle w:val="BodyText"/>
      </w:pPr>
    </w:p>
    <w:tbl>
      <w:tblPr>
        <w:tblW w:w="9640" w:type="dxa"/>
        <w:tblLayout w:type="fixed"/>
        <w:tblCellMar>
          <w:left w:w="62" w:type="dxa"/>
          <w:right w:w="62" w:type="dxa"/>
        </w:tblCellMar>
        <w:tblLook w:val="0000"/>
      </w:tblPr>
      <w:tblGrid>
        <w:gridCol w:w="9640"/>
      </w:tblGrid>
      <w:tr w:rsidTr="00F9030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rPr>
                <w:rStyle w:val="SpecialBold"/>
              </w:rPr>
              <w:t>Required skills</w:t>
            </w:r>
            <w:r w:rsidRPr="00F84F3E">
              <w:t>:</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Communicate effectively with others when conducting financial transactions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Read and interpret instructions, procedures and information relevant to the conduct of financial transactions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Interpret and follow operational instructions and prioritise work</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Complete documentation related to the conduct of financial transactions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Op</w:t>
            </w:r>
            <w:r w:rsidRPr="00F84F3E">
              <w:t>erate electronic communication equipment to required protocol</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Work collaboratively with others when conducting financial transactions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Adapt appropriately to cultural differences in the workplace, including modes of behaviour and interactions with other</w:t>
            </w:r>
            <w:r w:rsidRPr="00F84F3E">
              <w:t>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Promptly report and/or rectify any identified problems that may arise when conducting financial transactions in accordance with regulatory requirements and workplace procedures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Apply precautions and required action to minimise, control or eliminate h</w:t>
            </w:r>
            <w:r w:rsidRPr="00F84F3E">
              <w:t>azards that may exist during the conduct of financial transactions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Plan own work including predicting consequences and identifying improvements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Apply relevant agreements, codes of practice or other legislative requirements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Monitor work activities in terms of planned schedule</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Modify activities depending on differing workplace contexts, risk situations and environments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Work systematically with required attention to detail without injury to self or others, or damage to good</w:t>
            </w:r>
            <w:r w:rsidRPr="00F84F3E">
              <w:t>s or equipment</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Identify and correctly use transaction equipment, processes and procedures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Adapt to differences in equipment in accordance with standard operating procedures</w:t>
            </w:r>
          </w:p>
        </w:tc>
      </w:tr>
      <w:tr w:rsidTr="00F9030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84F3E" w:rsidP="00F84F3E">
            <w:pPr>
              <w:pStyle w:val="ListBullet"/>
            </w:pPr>
            <w:r w:rsidRPr="00F84F3E">
              <w:t>Safely use correct manual handling techniques</w:t>
            </w:r>
          </w:p>
        </w:tc>
      </w:tr>
    </w:tbl>
    <w:p w:rsidR="00F90300" w:rsidP="00F84F3E">
      <w:pPr>
        <w:pStyle w:val="BodyText"/>
      </w:pPr>
    </w:p>
    <w:p w:rsidR="00F90300" w:rsidP="00F84F3E">
      <w:pPr>
        <w:pStyle w:val="BodyText"/>
      </w:pPr>
    </w:p>
    <w:p w:rsidR="00000000" w:rsidRPr="00F84F3E" w:rsidP="00F84F3E">
      <w:pPr>
        <w:pStyle w:val="Heading1"/>
      </w:pPr>
      <w:bookmarkStart w:id="10" w:name="O_246969"/>
      <w:bookmarkEnd w:id="10"/>
      <w:r w:rsidRPr="00F84F3E">
        <w:t>Evidence Guide</w:t>
      </w:r>
    </w:p>
    <w:tbl>
      <w:tblPr>
        <w:tblW w:w="9499" w:type="dxa"/>
        <w:tblLayout w:type="fixed"/>
        <w:tblCellMar>
          <w:left w:w="62" w:type="dxa"/>
          <w:right w:w="62" w:type="dxa"/>
        </w:tblCellMar>
        <w:tblLook w:val="0000"/>
      </w:tblPr>
      <w:tblGrid>
        <w:gridCol w:w="3524"/>
        <w:gridCol w:w="5975"/>
      </w:tblGrid>
      <w:tr w:rsidTr="00F9030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rPr>
                <w:rStyle w:val="SpecialBold"/>
              </w:rPr>
              <w:t>EVIDENCE GUIDE</w:t>
            </w:r>
          </w:p>
        </w:tc>
      </w:tr>
      <w:tr w:rsidTr="00F9030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The evidence guide provides advice on assessment and must be read in conjunction with the performance criteria, required knowledge and skills, the range statement and the assessment guidelines for this Training Package.</w:t>
            </w:r>
          </w:p>
        </w:tc>
      </w:tr>
      <w:tr w:rsidTr="00F903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84F3E" w:rsidP="00F84F3E">
            <w:pPr>
              <w:pStyle w:val="ListBullet"/>
            </w:pPr>
            <w:r w:rsidRPr="00F84F3E">
              <w:t>The evidence required to demonstrate competency in this unit must be relevant to and satisfy all of the requirements of the elements and performance criteria of t</w:t>
            </w:r>
            <w:r w:rsidRPr="00F84F3E">
              <w:t>his unit and include demonstration of applying:</w:t>
            </w:r>
          </w:p>
          <w:p w:rsidR="00000000" w:rsidRPr="00F84F3E" w:rsidP="00F84F3E">
            <w:pPr>
              <w:pStyle w:val="ListBullet2"/>
            </w:pPr>
            <w:r w:rsidRPr="00F84F3E">
              <w:t>the underpinning knowledge and skills</w:t>
            </w:r>
          </w:p>
          <w:p w:rsidR="00000000" w:rsidRPr="00F84F3E" w:rsidP="00F84F3E">
            <w:pPr>
              <w:pStyle w:val="ListBullet2"/>
            </w:pPr>
            <w:r w:rsidRPr="00F84F3E">
              <w:t>relevant legislation and workplace procedures</w:t>
            </w:r>
          </w:p>
          <w:p w:rsidR="00000000" w:rsidP="00F84F3E">
            <w:pPr>
              <w:pStyle w:val="ListBullet2"/>
              <w:rPr>
                <w:lang w:val="en-NZ"/>
              </w:rPr>
            </w:pPr>
            <w:r w:rsidRPr="00F84F3E">
              <w:t>other relevant aspects of the range statement</w:t>
            </w:r>
          </w:p>
        </w:tc>
      </w:tr>
      <w:tr w:rsidTr="00F903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84F3E" w:rsidP="00F84F3E">
            <w:pPr>
              <w:pStyle w:val="ListBullet"/>
            </w:pPr>
            <w:r w:rsidRPr="00F84F3E">
              <w:t>Performance is demonstrated consistently over a period of time and in a suitable range of contexts</w:t>
            </w:r>
          </w:p>
          <w:p w:rsidR="00000000" w:rsidRPr="00F84F3E" w:rsidP="00F84F3E">
            <w:pPr>
              <w:pStyle w:val="ListBullet"/>
            </w:pPr>
            <w:r w:rsidRPr="00F84F3E">
              <w:t>Resources for assessment include:</w:t>
            </w:r>
          </w:p>
          <w:p w:rsidR="00000000" w:rsidRPr="00F84F3E" w:rsidP="00F84F3E">
            <w:pPr>
              <w:pStyle w:val="ListBullet2"/>
            </w:pPr>
            <w:r w:rsidRPr="00F84F3E">
              <w:t>a range of relevant exercises, case studies and/or other simulated practical and knowledge assessment, and/or</w:t>
            </w:r>
          </w:p>
          <w:p w:rsidR="00000000" w:rsidRPr="00F84F3E" w:rsidP="00F84F3E">
            <w:pPr>
              <w:pStyle w:val="ListBullet2"/>
            </w:pPr>
            <w:r w:rsidRPr="00F84F3E">
              <w:t>access to an</w:t>
            </w:r>
            <w:r w:rsidRPr="00F84F3E">
              <w:t xml:space="preserve"> appropriate range of relevant operational situations in the workplace</w:t>
            </w:r>
          </w:p>
          <w:p w:rsidR="00000000" w:rsidRPr="00F84F3E" w:rsidP="00F84F3E">
            <w:pPr>
              <w:pStyle w:val="ListBullet"/>
            </w:pPr>
            <w:r w:rsidRPr="00F84F3E">
              <w:t>In both real and simulated environments, access is required to:</w:t>
            </w:r>
          </w:p>
          <w:p w:rsidR="00000000" w:rsidRPr="00F84F3E" w:rsidP="00F84F3E">
            <w:pPr>
              <w:pStyle w:val="ListBullet2"/>
            </w:pPr>
            <w:r w:rsidRPr="00F84F3E">
              <w:t>relevant and appropriate materials and equipment, and</w:t>
            </w:r>
          </w:p>
          <w:p w:rsidR="00000000" w:rsidP="00F84F3E">
            <w:pPr>
              <w:pStyle w:val="ListBullet2"/>
              <w:rPr>
                <w:lang w:val="en-NZ"/>
              </w:rPr>
            </w:pPr>
            <w:r w:rsidRPr="00F84F3E">
              <w:t>applicable documentation including workplace procedures, regulations, codes of practice and operation manuals</w:t>
            </w:r>
          </w:p>
        </w:tc>
      </w:tr>
      <w:tr w:rsidTr="00F9030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84F3E" w:rsidP="00F84F3E">
            <w:pPr>
              <w:pStyle w:val="ListBullet"/>
            </w:pPr>
            <w:r w:rsidRPr="00F84F3E">
              <w:t>Assessment of this unit must be undertaken by a registered training organisation</w:t>
            </w:r>
          </w:p>
          <w:p w:rsidR="00000000" w:rsidRPr="00F84F3E" w:rsidP="00F84F3E">
            <w:pPr>
              <w:pStyle w:val="ListBullet"/>
            </w:pPr>
            <w:r w:rsidRPr="00F84F3E">
              <w:t>As a minimum, assessment of knowledge must</w:t>
            </w:r>
            <w:r w:rsidRPr="00F84F3E">
              <w:t xml:space="preserve"> be conducted through appropriate written/oral tests</w:t>
            </w:r>
          </w:p>
          <w:p w:rsidR="00000000" w:rsidRPr="00F84F3E" w:rsidP="00F84F3E">
            <w:pPr>
              <w:pStyle w:val="ListBullet"/>
            </w:pPr>
            <w:r w:rsidRPr="00F84F3E">
              <w:t>Practical assessment must occur:</w:t>
            </w:r>
          </w:p>
          <w:p w:rsidR="00000000" w:rsidRPr="00F84F3E" w:rsidP="00F84F3E">
            <w:pPr>
              <w:pStyle w:val="ListBullet2"/>
            </w:pPr>
            <w:r w:rsidRPr="00F84F3E">
              <w:t>through activities in an appropriately simulated environment at the registered training organisation, and/or</w:t>
            </w:r>
          </w:p>
          <w:p w:rsidR="00000000" w:rsidRPr="00F84F3E" w:rsidP="00F84F3E">
            <w:pPr>
              <w:pStyle w:val="ListBullet2"/>
            </w:pPr>
            <w:r w:rsidRPr="00F84F3E">
              <w:t>in an appropriate range of situations in the workplace</w:t>
            </w:r>
          </w:p>
        </w:tc>
      </w:tr>
    </w:tbl>
    <w:p w:rsidR="00F90300" w:rsidP="00F84F3E">
      <w:pPr>
        <w:pStyle w:val="BodyText"/>
      </w:pPr>
    </w:p>
    <w:p w:rsidR="00F90300" w:rsidP="00F84F3E">
      <w:pPr>
        <w:pStyle w:val="BodyText"/>
      </w:pPr>
    </w:p>
    <w:p w:rsidR="00000000" w:rsidRPr="00F84F3E" w:rsidP="00F84F3E">
      <w:pPr>
        <w:pStyle w:val="Heading1"/>
      </w:pPr>
      <w:bookmarkStart w:id="11" w:name="O_254952"/>
      <w:bookmarkEnd w:id="11"/>
      <w:r w:rsidRPr="00F84F3E">
        <w:t>Range Statement</w:t>
      </w:r>
    </w:p>
    <w:tbl>
      <w:tblPr>
        <w:tblW w:w="9640" w:type="dxa"/>
        <w:tblLayout w:type="fixed"/>
        <w:tblCellMar>
          <w:left w:w="62" w:type="dxa"/>
          <w:right w:w="62" w:type="dxa"/>
        </w:tblCellMar>
        <w:tblLook w:val="0000"/>
      </w:tblPr>
      <w:tblGrid>
        <w:gridCol w:w="3486"/>
        <w:gridCol w:w="6154"/>
      </w:tblGrid>
      <w:tr w:rsidTr="00F9030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rPr>
                <w:rStyle w:val="SpecialBold"/>
              </w:rPr>
              <w:t>RANGE STATEMENT</w:t>
            </w:r>
            <w:r w:rsidRPr="00F84F3E">
              <w:t xml:space="preserve"> </w:t>
            </w:r>
          </w:p>
        </w:tc>
      </w:tr>
      <w:tr w:rsidTr="00F9030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The range statement relates to the unit of competency as a whole. It allows for different work environments and situations that may affect performance.</w:t>
            </w:r>
          </w:p>
        </w:tc>
      </w:tr>
      <w:tr w:rsidTr="00F903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F84F3E" w:rsidP="00F84F3E">
            <w:pPr>
              <w:pStyle w:val="ListBullet"/>
            </w:pPr>
            <w:r w:rsidRPr="00F84F3E">
              <w:t>in a range of work en</w:t>
            </w:r>
            <w:r w:rsidRPr="00F84F3E">
              <w:t>vironments and weather conditions</w:t>
            </w:r>
          </w:p>
          <w:p w:rsidR="00000000" w:rsidP="00F84F3E">
            <w:pPr>
              <w:pStyle w:val="ListBullet"/>
              <w:rPr>
                <w:lang w:val="en-NZ"/>
              </w:rPr>
            </w:pPr>
            <w:r w:rsidRPr="00F84F3E">
              <w:t>by day or night</w:t>
            </w:r>
          </w:p>
        </w:tc>
      </w:tr>
      <w:tr w:rsidTr="00F903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Customers may be:</w:t>
            </w:r>
          </w:p>
        </w:tc>
        <w:tc>
          <w:tcPr>
            <w:tcW w:w="6154"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internal or external</w:t>
            </w:r>
          </w:p>
        </w:tc>
      </w:tr>
      <w:tr w:rsidTr="00F903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Hazards may include:</w:t>
            </w:r>
          </w:p>
        </w:tc>
        <w:tc>
          <w:tcPr>
            <w:tcW w:w="6154" w:type="dxa"/>
            <w:tcBorders>
              <w:top w:val="nil"/>
              <w:left w:val="nil"/>
              <w:bottom w:val="nil"/>
              <w:right w:val="nil"/>
            </w:tcBorders>
            <w:tcMar>
              <w:top w:w="0" w:type="dxa"/>
              <w:left w:w="62" w:type="dxa"/>
              <w:bottom w:w="0" w:type="dxa"/>
              <w:right w:w="62" w:type="dxa"/>
            </w:tcMar>
          </w:tcPr>
          <w:p w:rsidR="00000000" w:rsidRPr="00F84F3E" w:rsidP="00F84F3E">
            <w:pPr>
              <w:pStyle w:val="ListBullet"/>
            </w:pPr>
            <w:r w:rsidRPr="00F84F3E">
              <w:t>vehicular and pedestrian traffic</w:t>
            </w:r>
          </w:p>
          <w:p w:rsidR="00000000" w:rsidRPr="00F84F3E" w:rsidP="00F84F3E">
            <w:pPr>
              <w:pStyle w:val="ListBullet"/>
            </w:pPr>
            <w:r w:rsidRPr="00F84F3E">
              <w:t>uneven ground, steps, road surfaces</w:t>
            </w:r>
          </w:p>
          <w:p w:rsidR="00000000" w:rsidRPr="00F84F3E" w:rsidP="00F84F3E">
            <w:pPr>
              <w:pStyle w:val="ListBullet"/>
            </w:pPr>
            <w:r w:rsidRPr="00F84F3E">
              <w:t>dust and vapours</w:t>
            </w:r>
          </w:p>
          <w:p w:rsidR="00000000" w:rsidRPr="00F84F3E" w:rsidP="00F84F3E">
            <w:pPr>
              <w:pStyle w:val="ListBullet"/>
            </w:pPr>
            <w:r w:rsidRPr="00F84F3E">
              <w:t>hazardous or dangerous materials</w:t>
            </w:r>
          </w:p>
          <w:p w:rsidR="00000000" w:rsidRPr="00F84F3E" w:rsidP="00F84F3E">
            <w:pPr>
              <w:pStyle w:val="ListBullet"/>
            </w:pPr>
            <w:r w:rsidRPr="00F84F3E">
              <w:t>humidity, air temperature and radiant heat</w:t>
            </w:r>
          </w:p>
          <w:p w:rsidR="00000000" w:rsidRPr="00F84F3E" w:rsidP="00F84F3E">
            <w:pPr>
              <w:pStyle w:val="ListBullet"/>
            </w:pPr>
            <w:r w:rsidRPr="00F84F3E">
              <w:t>light including UV</w:t>
            </w:r>
          </w:p>
          <w:p w:rsidR="00000000" w:rsidP="00F84F3E">
            <w:pPr>
              <w:pStyle w:val="ListBullet"/>
              <w:rPr>
                <w:lang w:val="en-NZ"/>
              </w:rPr>
            </w:pPr>
            <w:r w:rsidRPr="00F84F3E">
              <w:t>noise</w:t>
            </w:r>
          </w:p>
        </w:tc>
      </w:tr>
      <w:tr w:rsidTr="00F903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F84F3E" w:rsidP="00F84F3E">
            <w:pPr>
              <w:pStyle w:val="ListBullet"/>
            </w:pPr>
            <w:r w:rsidRPr="00F84F3E">
              <w:t>clients</w:t>
            </w:r>
          </w:p>
          <w:p w:rsidR="00000000" w:rsidRPr="00F84F3E" w:rsidP="00F84F3E">
            <w:pPr>
              <w:pStyle w:val="ListBullet"/>
            </w:pPr>
            <w:r w:rsidRPr="00F84F3E">
              <w:t>other employees and supervisors</w:t>
            </w:r>
          </w:p>
          <w:p w:rsidR="00000000" w:rsidRPr="00F84F3E" w:rsidP="00F84F3E">
            <w:pPr>
              <w:pStyle w:val="ListBullet"/>
            </w:pPr>
            <w:r w:rsidRPr="00F84F3E">
              <w:t>union representatives</w:t>
            </w:r>
          </w:p>
          <w:p w:rsidR="00000000" w:rsidRPr="00F84F3E" w:rsidP="00F84F3E">
            <w:pPr>
              <w:pStyle w:val="ListBullet"/>
            </w:pPr>
            <w:r w:rsidRPr="00F84F3E">
              <w:t>industrial relations and OH&amp;S specialists</w:t>
            </w:r>
          </w:p>
          <w:p w:rsidR="00000000" w:rsidRPr="00F84F3E" w:rsidP="00F84F3E">
            <w:pPr>
              <w:pStyle w:val="ListBullet"/>
            </w:pPr>
            <w:r w:rsidRPr="00F84F3E">
              <w:t>management</w:t>
            </w:r>
          </w:p>
          <w:p w:rsidR="00000000" w:rsidRPr="00F84F3E" w:rsidP="00F84F3E">
            <w:pPr>
              <w:pStyle w:val="ListBullet"/>
            </w:pPr>
            <w:r w:rsidRPr="00F84F3E">
              <w:t>other professional or technical staff</w:t>
            </w:r>
          </w:p>
          <w:p w:rsidR="00000000" w:rsidP="00F84F3E">
            <w:pPr>
              <w:pStyle w:val="ListBullet"/>
              <w:rPr>
                <w:lang w:val="en-NZ"/>
              </w:rPr>
            </w:pPr>
            <w:r w:rsidRPr="00F84F3E">
              <w:t>local government authorities</w:t>
            </w:r>
          </w:p>
        </w:tc>
      </w:tr>
      <w:tr w:rsidTr="00F903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Finance processing equipment may include:</w:t>
            </w:r>
          </w:p>
        </w:tc>
        <w:tc>
          <w:tcPr>
            <w:tcW w:w="6154" w:type="dxa"/>
            <w:tcBorders>
              <w:top w:val="nil"/>
              <w:left w:val="nil"/>
              <w:bottom w:val="nil"/>
              <w:right w:val="nil"/>
            </w:tcBorders>
            <w:tcMar>
              <w:top w:w="0" w:type="dxa"/>
              <w:left w:w="62" w:type="dxa"/>
              <w:bottom w:w="0" w:type="dxa"/>
              <w:right w:w="62" w:type="dxa"/>
            </w:tcMar>
          </w:tcPr>
          <w:p w:rsidR="00000000" w:rsidRPr="00F84F3E" w:rsidP="00F84F3E">
            <w:pPr>
              <w:pStyle w:val="ListBullet"/>
            </w:pPr>
            <w:r w:rsidRPr="00F84F3E">
              <w:t>manual and electronic cash registers</w:t>
            </w:r>
          </w:p>
          <w:p w:rsidR="00000000" w:rsidRPr="00F84F3E" w:rsidP="00F84F3E">
            <w:pPr>
              <w:pStyle w:val="ListBullet"/>
            </w:pPr>
            <w:r w:rsidRPr="00F84F3E">
              <w:t>EFTPOS and credit card facilities</w:t>
            </w:r>
          </w:p>
          <w:p w:rsidR="00000000" w:rsidRPr="00F84F3E" w:rsidP="00F84F3E">
            <w:pPr>
              <w:pStyle w:val="ListBullet"/>
            </w:pPr>
            <w:r w:rsidRPr="00F84F3E">
              <w:t>smart card</w:t>
            </w:r>
          </w:p>
          <w:p w:rsidR="00000000" w:rsidP="00F84F3E">
            <w:pPr>
              <w:pStyle w:val="ListBullet"/>
              <w:rPr>
                <w:lang w:val="en-NZ"/>
              </w:rPr>
            </w:pPr>
            <w:r w:rsidRPr="00F84F3E">
              <w:t>manual ticketing resources</w:t>
            </w:r>
          </w:p>
        </w:tc>
      </w:tr>
      <w:tr w:rsidTr="00F903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Financial transactions are undertak</w:t>
            </w:r>
            <w:r w:rsidRPr="00F84F3E">
              <w:t>en:</w:t>
            </w:r>
          </w:p>
        </w:tc>
        <w:tc>
          <w:tcPr>
            <w:tcW w:w="6154" w:type="dxa"/>
            <w:tcBorders>
              <w:top w:val="nil"/>
              <w:left w:val="nil"/>
              <w:bottom w:val="nil"/>
              <w:right w:val="nil"/>
            </w:tcBorders>
            <w:tcMar>
              <w:top w:w="0" w:type="dxa"/>
              <w:left w:w="62" w:type="dxa"/>
              <w:bottom w:w="0" w:type="dxa"/>
              <w:right w:w="62" w:type="dxa"/>
            </w:tcMar>
          </w:tcPr>
          <w:p w:rsidR="00000000" w:rsidP="00F84F3E">
            <w:pPr>
              <w:pStyle w:val="ListBullet"/>
              <w:rPr>
                <w:lang w:val="en-NZ"/>
              </w:rPr>
            </w:pPr>
            <w:r w:rsidRPr="00F84F3E">
              <w:t>within workplace policy and procedures</w:t>
            </w:r>
          </w:p>
        </w:tc>
      </w:tr>
      <w:tr w:rsidTr="00F903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Communication may include:</w:t>
            </w:r>
          </w:p>
        </w:tc>
        <w:tc>
          <w:tcPr>
            <w:tcW w:w="6154" w:type="dxa"/>
            <w:tcBorders>
              <w:top w:val="nil"/>
              <w:left w:val="nil"/>
              <w:bottom w:val="nil"/>
              <w:right w:val="nil"/>
            </w:tcBorders>
            <w:tcMar>
              <w:top w:w="0" w:type="dxa"/>
              <w:left w:w="62" w:type="dxa"/>
              <w:bottom w:w="0" w:type="dxa"/>
              <w:right w:w="62" w:type="dxa"/>
            </w:tcMar>
          </w:tcPr>
          <w:p w:rsidR="00000000" w:rsidRPr="00F84F3E" w:rsidP="00F84F3E">
            <w:pPr>
              <w:pStyle w:val="ListBullet"/>
            </w:pPr>
            <w:r w:rsidRPr="00F84F3E">
              <w:t>mobile and fixed phones</w:t>
            </w:r>
          </w:p>
          <w:p w:rsidR="00000000" w:rsidRPr="00F84F3E" w:rsidP="00F84F3E">
            <w:pPr>
              <w:pStyle w:val="ListBullet"/>
            </w:pPr>
            <w:r w:rsidRPr="00F84F3E">
              <w:t>radio</w:t>
            </w:r>
          </w:p>
          <w:p w:rsidR="00000000" w:rsidP="00F84F3E">
            <w:pPr>
              <w:pStyle w:val="ListBullet"/>
              <w:rPr>
                <w:lang w:val="en-NZ"/>
              </w:rPr>
            </w:pPr>
            <w:r w:rsidRPr="00F84F3E">
              <w:t>oral, aural or signed communications</w:t>
            </w:r>
          </w:p>
        </w:tc>
      </w:tr>
      <w:tr w:rsidTr="00F903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84F3E" w:rsidP="00F84F3E">
            <w:pPr>
              <w:pStyle w:val="ListBullet"/>
            </w:pPr>
            <w:r w:rsidRPr="00F84F3E">
              <w:t>company procedures</w:t>
            </w:r>
          </w:p>
          <w:p w:rsidR="00000000" w:rsidRPr="00F84F3E" w:rsidP="00F84F3E">
            <w:pPr>
              <w:pStyle w:val="ListBullet"/>
            </w:pPr>
            <w:r w:rsidRPr="00F84F3E">
              <w:t>enterprise procedures</w:t>
            </w:r>
          </w:p>
          <w:p w:rsidR="00000000" w:rsidRPr="00F84F3E" w:rsidP="00F84F3E">
            <w:pPr>
              <w:pStyle w:val="ListBullet"/>
            </w:pPr>
            <w:r w:rsidRPr="00F84F3E">
              <w:t>organisational procedures</w:t>
            </w:r>
          </w:p>
          <w:p w:rsidR="00000000" w:rsidP="00F84F3E">
            <w:pPr>
              <w:pStyle w:val="ListBullet"/>
              <w:rPr>
                <w:lang w:val="en-NZ"/>
              </w:rPr>
            </w:pPr>
            <w:r w:rsidRPr="00F84F3E">
              <w:t>established procedures</w:t>
            </w:r>
          </w:p>
        </w:tc>
      </w:tr>
      <w:tr w:rsidTr="00F903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F84F3E" w:rsidP="00F84F3E">
            <w:pPr>
              <w:pStyle w:val="ListBullet"/>
            </w:pPr>
            <w:r w:rsidRPr="00F84F3E">
              <w:t>gloves</w:t>
            </w:r>
          </w:p>
          <w:p w:rsidR="00000000" w:rsidRPr="00F84F3E" w:rsidP="00F84F3E">
            <w:pPr>
              <w:pStyle w:val="ListBullet"/>
            </w:pPr>
            <w:r w:rsidRPr="00F84F3E">
              <w:t>safety headwear and footwear</w:t>
            </w:r>
          </w:p>
          <w:p w:rsidR="00000000" w:rsidRPr="00F84F3E" w:rsidP="00F84F3E">
            <w:pPr>
              <w:pStyle w:val="ListBullet"/>
            </w:pPr>
            <w:r w:rsidRPr="00F84F3E">
              <w:t>firearms</w:t>
            </w:r>
          </w:p>
          <w:p w:rsidR="00000000" w:rsidP="00F84F3E">
            <w:pPr>
              <w:pStyle w:val="ListBullet"/>
              <w:rPr>
                <w:lang w:val="en-NZ"/>
              </w:rPr>
            </w:pPr>
            <w:r w:rsidRPr="00F84F3E">
              <w:t>two-way radios</w:t>
            </w:r>
          </w:p>
        </w:tc>
      </w:tr>
      <w:tr w:rsidTr="00F903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84F3E" w:rsidP="00F84F3E">
            <w:pPr>
              <w:pStyle w:val="ListBullet"/>
            </w:pPr>
            <w:r w:rsidRPr="00F84F3E">
              <w:t>workplace procedures and policies</w:t>
            </w:r>
          </w:p>
          <w:p w:rsidR="00000000" w:rsidRPr="00F84F3E" w:rsidP="00F84F3E">
            <w:pPr>
              <w:pStyle w:val="ListBullet"/>
            </w:pPr>
            <w:r w:rsidRPr="00F84F3E">
              <w:t>job specifications</w:t>
            </w:r>
          </w:p>
          <w:p w:rsidR="00000000" w:rsidRPr="00F84F3E" w:rsidP="00F84F3E">
            <w:pPr>
              <w:pStyle w:val="ListBullet"/>
            </w:pPr>
            <w:r w:rsidRPr="00F84F3E">
              <w:t>relevant manufacturers specifications and instructions for the use of transaction equipment</w:t>
            </w:r>
          </w:p>
          <w:p w:rsidR="00000000" w:rsidRPr="00F84F3E" w:rsidP="00F84F3E">
            <w:pPr>
              <w:pStyle w:val="ListBullet"/>
            </w:pPr>
            <w:r w:rsidRPr="00F84F3E">
              <w:t>operations manuals</w:t>
            </w:r>
          </w:p>
          <w:p w:rsidR="00000000" w:rsidRPr="00F84F3E" w:rsidP="00F84F3E">
            <w:pPr>
              <w:pStyle w:val="ListBullet"/>
            </w:pPr>
            <w:r w:rsidRPr="00F84F3E">
              <w:t>induction documentation</w:t>
            </w:r>
          </w:p>
          <w:p w:rsidR="00000000" w:rsidRPr="00F84F3E" w:rsidP="00F84F3E">
            <w:pPr>
              <w:pStyle w:val="ListBullet"/>
            </w:pPr>
            <w:r w:rsidRPr="00F84F3E">
              <w:t>competency standards and training materials</w:t>
            </w:r>
          </w:p>
          <w:p w:rsidR="00000000" w:rsidRPr="00F84F3E" w:rsidP="00F84F3E">
            <w:pPr>
              <w:pStyle w:val="ListBullet"/>
            </w:pPr>
            <w:r w:rsidRPr="00F84F3E">
              <w:t>supplier and/or client i</w:t>
            </w:r>
            <w:r w:rsidRPr="00F84F3E">
              <w:t>nstructions</w:t>
            </w:r>
          </w:p>
          <w:p w:rsidR="00000000" w:rsidRPr="00F84F3E" w:rsidP="00F84F3E">
            <w:pPr>
              <w:pStyle w:val="ListBullet"/>
            </w:pPr>
            <w:r w:rsidRPr="00F84F3E">
              <w:t>material safety data sheets</w:t>
            </w:r>
          </w:p>
          <w:p w:rsidR="00000000" w:rsidRPr="00F84F3E" w:rsidP="00F84F3E">
            <w:pPr>
              <w:pStyle w:val="ListBullet"/>
            </w:pPr>
            <w:r w:rsidRPr="00F84F3E">
              <w:t>codes of practice including the National Standards for Manual Handling and the Industry Safety Code</w:t>
            </w:r>
          </w:p>
          <w:p w:rsidR="00000000" w:rsidRPr="00F84F3E" w:rsidP="00F84F3E">
            <w:pPr>
              <w:pStyle w:val="ListBullet"/>
            </w:pPr>
            <w:r w:rsidRPr="00F84F3E">
              <w:t>award, enterprise bargaining agreement, other industrial arrangements</w:t>
            </w:r>
          </w:p>
          <w:p w:rsidR="00000000" w:rsidRPr="00F84F3E" w:rsidP="00F84F3E">
            <w:pPr>
              <w:pStyle w:val="ListBullet"/>
            </w:pPr>
            <w:r w:rsidRPr="00F84F3E">
              <w:t>relevant standards and certification requirements</w:t>
            </w:r>
          </w:p>
          <w:p w:rsidR="00000000" w:rsidRPr="00F84F3E" w:rsidP="00F84F3E">
            <w:pPr>
              <w:pStyle w:val="ListBullet"/>
            </w:pPr>
            <w:r w:rsidRPr="00F84F3E">
              <w:t>quality assurance procedures</w:t>
            </w:r>
          </w:p>
          <w:p w:rsidR="00000000" w:rsidP="00F84F3E">
            <w:pPr>
              <w:pStyle w:val="ListBullet"/>
              <w:rPr>
                <w:lang w:val="en-NZ"/>
              </w:rPr>
            </w:pPr>
            <w:r w:rsidRPr="00F84F3E">
              <w:t>emergency procedures</w:t>
            </w:r>
          </w:p>
        </w:tc>
      </w:tr>
      <w:tr w:rsidTr="00F9030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84F3E" w:rsidP="00F84F3E">
            <w:pPr>
              <w:pStyle w:val="ListBullet"/>
            </w:pPr>
            <w:r w:rsidRPr="00F84F3E">
              <w:t>regulatory requirements for conducting financial transactions</w:t>
            </w:r>
          </w:p>
          <w:p w:rsidR="00000000" w:rsidRPr="00F84F3E" w:rsidP="00F84F3E">
            <w:pPr>
              <w:pStyle w:val="ListBullet"/>
            </w:pPr>
            <w:r w:rsidRPr="00F84F3E">
              <w:t>relevant Australian Standards and certif</w:t>
            </w:r>
            <w:r w:rsidRPr="00F84F3E">
              <w:t>ication requirements</w:t>
            </w:r>
          </w:p>
          <w:p w:rsidR="00000000" w:rsidRPr="00F84F3E" w:rsidP="00F84F3E">
            <w:pPr>
              <w:pStyle w:val="ListBullet"/>
            </w:pPr>
            <w:r w:rsidRPr="00F84F3E">
              <w:t>relevant state/territory privacy legislation</w:t>
            </w:r>
          </w:p>
          <w:p w:rsidR="00000000" w:rsidRPr="00F84F3E" w:rsidP="00F84F3E">
            <w:pPr>
              <w:pStyle w:val="ListBullet"/>
            </w:pPr>
            <w:r w:rsidRPr="00F84F3E">
              <w:t>relevant state/territory OH&amp;S regulations and legislation</w:t>
            </w:r>
          </w:p>
          <w:p w:rsidR="00000000" w:rsidRPr="00F84F3E" w:rsidP="00F84F3E">
            <w:pPr>
              <w:pStyle w:val="ListBullet"/>
            </w:pPr>
            <w:r w:rsidRPr="00F84F3E">
              <w:t>licensing requirements for driving and carrying particular classes of goods</w:t>
            </w:r>
          </w:p>
          <w:p w:rsidR="00000000" w:rsidRPr="00F84F3E" w:rsidP="00F84F3E">
            <w:pPr>
              <w:pStyle w:val="ListBullet"/>
            </w:pPr>
            <w:r w:rsidRPr="00F84F3E">
              <w:t>relevant state/territory road rules and traffic acts</w:t>
            </w:r>
          </w:p>
        </w:tc>
      </w:tr>
    </w:tbl>
    <w:p w:rsidR="00F90300" w:rsidP="00F84F3E">
      <w:pPr>
        <w:pStyle w:val="BodyText"/>
      </w:pPr>
    </w:p>
    <w:p w:rsidR="00F90300" w:rsidP="00F84F3E">
      <w:pPr>
        <w:pStyle w:val="BodyText"/>
      </w:pPr>
    </w:p>
    <w:p w:rsidR="00000000" w:rsidRPr="00F84F3E" w:rsidP="00F84F3E">
      <w:pPr>
        <w:pStyle w:val="Heading1"/>
      </w:pPr>
      <w:bookmarkStart w:id="12" w:name="O_295965"/>
      <w:bookmarkEnd w:id="12"/>
      <w:r w:rsidRPr="00F84F3E">
        <w:t>Unit Sector(s)</w:t>
      </w:r>
    </w:p>
    <w:p w:rsidR="00000000" w:rsidRPr="00F84F3E" w:rsidP="00F84F3E">
      <w:pPr>
        <w:pStyle w:val="BodyText"/>
      </w:pPr>
      <w:r w:rsidRPr="00F84F3E">
        <w:t>Not Applicable</w:t>
      </w:r>
    </w:p>
    <w:p w:rsidR="00000000" w:rsidRPr="00F84F3E" w:rsidP="00F84F3E">
      <w:pPr>
        <w:pStyle w:val="AllowPageBreak"/>
      </w:pPr>
    </w:p>
    <w:p w:rsidR="00000000" w:rsidRPr="00F84F3E" w:rsidP="00F84F3E">
      <w:pPr>
        <w:pStyle w:val="Heading1"/>
      </w:pPr>
      <w:bookmarkStart w:id="13" w:name="O_224149"/>
      <w:bookmarkEnd w:id="13"/>
      <w:r w:rsidRPr="00F84F3E">
        <w:t>Competency Field</w:t>
      </w:r>
    </w:p>
    <w:tbl>
      <w:tblPr>
        <w:tblW w:w="9640" w:type="dxa"/>
        <w:tblLayout w:type="fixed"/>
        <w:tblCellMar>
          <w:left w:w="62" w:type="dxa"/>
          <w:right w:w="62" w:type="dxa"/>
        </w:tblCellMar>
        <w:tblLook w:val="0000"/>
      </w:tblPr>
      <w:tblGrid>
        <w:gridCol w:w="2978"/>
        <w:gridCol w:w="6662"/>
      </w:tblGrid>
      <w:tr w:rsidTr="00F9030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84F3E">
            <w:pPr>
              <w:pStyle w:val="BodyText"/>
              <w:rPr>
                <w:lang w:val="en-NZ"/>
              </w:rPr>
            </w:pPr>
            <w:r w:rsidRPr="00F84F3E">
              <w:rPr>
                <w:rStyle w:val="SpecialBold"/>
              </w:rPr>
              <w:t>Competency Field</w:t>
            </w:r>
            <w:r w:rsidRPr="00F84F3E">
              <w:t xml:space="preserve"> </w:t>
            </w:r>
          </w:p>
        </w:tc>
        <w:tc>
          <w:tcPr>
            <w:tcW w:w="6662" w:type="dxa"/>
            <w:tcBorders>
              <w:top w:val="nil"/>
              <w:left w:val="nil"/>
              <w:bottom w:val="nil"/>
              <w:right w:val="nil"/>
            </w:tcBorders>
            <w:tcMar>
              <w:top w:w="0" w:type="dxa"/>
              <w:left w:w="62" w:type="dxa"/>
              <w:bottom w:w="0" w:type="dxa"/>
              <w:right w:w="62" w:type="dxa"/>
            </w:tcMar>
          </w:tcPr>
          <w:p w:rsidR="00000000" w:rsidRPr="00F84F3E" w:rsidP="00F84F3E">
            <w:pPr>
              <w:pStyle w:val="BodyText"/>
            </w:pPr>
            <w:r w:rsidRPr="00F84F3E">
              <w:t>P - Administration and Finance</w:t>
            </w:r>
          </w:p>
        </w:tc>
      </w:tr>
    </w:tbl>
    <w:p w:rsidR="00F90300" w:rsidP="00F84F3E">
      <w:pPr>
        <w:pStyle w:val="BodyText"/>
      </w:pPr>
    </w:p>
    <w:p w:rsidR="00F90300" w:rsidP="00F84F3E">
      <w:pPr>
        <w:pStyle w:val="BodyText"/>
      </w:pPr>
    </w:p>
    <w:p w:rsidR="00000000" w:rsidRPr="00F84F3E" w:rsidP="00F84F3E"/>
    <w:sectPr w:rsidSect="00F84F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300" w:rsidP="00F903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300" w:rsidP="00F84F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0300" w:rsidP="00F84F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90300" w:rsidP="00F84F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300" w:rsidP="00F903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F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300" w:rsidP="00F84F3E">
    <w:pPr>
      <w:pStyle w:val="Header"/>
      <w:framePr w:wrap="around"/>
    </w:pPr>
    <w:r>
      <w:fldChar w:fldCharType="begin"/>
    </w:r>
    <w:r>
      <w:instrText xml:space="preserve"> TITLE   \* MERGEFORMAT </w:instrText>
    </w:r>
    <w:r>
      <w:fldChar w:fldCharType="separate"/>
    </w:r>
    <w:r>
      <w:t>TLIP2024A Conduct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0300" w:rsidP="00F84F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644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10A7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B27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F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4F3E"/>
    <w:pPr>
      <w:spacing w:before="360" w:after="60"/>
      <w:outlineLvl w:val="0"/>
    </w:pPr>
    <w:rPr>
      <w:sz w:val="32"/>
    </w:rPr>
  </w:style>
  <w:style w:type="paragraph" w:styleId="Heading2">
    <w:name w:val="heading 2"/>
    <w:basedOn w:val="HeadingBase"/>
    <w:next w:val="BodyText"/>
    <w:link w:val="Heading2Char"/>
    <w:qFormat/>
    <w:rsid w:val="00F84F3E"/>
    <w:pPr>
      <w:keepLines/>
      <w:spacing w:before="240" w:after="120"/>
      <w:outlineLvl w:val="1"/>
    </w:pPr>
    <w:rPr>
      <w:sz w:val="28"/>
      <w:szCs w:val="40"/>
    </w:rPr>
  </w:style>
  <w:style w:type="paragraph" w:styleId="Heading3">
    <w:name w:val="heading 3"/>
    <w:basedOn w:val="HeadingBase"/>
    <w:next w:val="BodyText"/>
    <w:link w:val="Heading3Char"/>
    <w:qFormat/>
    <w:rsid w:val="00F84F3E"/>
    <w:pPr>
      <w:spacing w:before="180" w:after="120"/>
      <w:outlineLvl w:val="2"/>
    </w:pPr>
    <w:rPr>
      <w:spacing w:val="-10"/>
      <w:kern w:val="32"/>
    </w:rPr>
  </w:style>
  <w:style w:type="paragraph" w:styleId="Heading4">
    <w:name w:val="heading 4"/>
    <w:basedOn w:val="HeadingBase"/>
    <w:next w:val="BodyText"/>
    <w:link w:val="Heading4Char"/>
    <w:qFormat/>
    <w:rsid w:val="00F84F3E"/>
    <w:pPr>
      <w:spacing w:before="160" w:after="120"/>
      <w:outlineLvl w:val="3"/>
    </w:pPr>
    <w:rPr>
      <w:sz w:val="22"/>
    </w:rPr>
  </w:style>
  <w:style w:type="paragraph" w:styleId="Heading5">
    <w:name w:val="heading 5"/>
    <w:basedOn w:val="HeadingBase"/>
    <w:next w:val="Normal"/>
    <w:link w:val="Heading5Char"/>
    <w:qFormat/>
    <w:rsid w:val="00F84F3E"/>
    <w:pPr>
      <w:spacing w:before="80"/>
      <w:outlineLvl w:val="4"/>
    </w:pPr>
    <w:rPr>
      <w:color w:val="918585"/>
      <w:sz w:val="20"/>
    </w:rPr>
  </w:style>
  <w:style w:type="paragraph" w:styleId="Heading6">
    <w:name w:val="heading 6"/>
    <w:basedOn w:val="HeadingBase"/>
    <w:next w:val="Normal"/>
    <w:link w:val="Heading6Char"/>
    <w:qFormat/>
    <w:rsid w:val="00F84F3E"/>
    <w:pPr>
      <w:spacing w:before="60"/>
      <w:outlineLvl w:val="5"/>
    </w:pPr>
    <w:rPr>
      <w:color w:val="918585"/>
      <w:sz w:val="20"/>
    </w:rPr>
  </w:style>
  <w:style w:type="paragraph" w:styleId="Heading7">
    <w:name w:val="heading 7"/>
    <w:basedOn w:val="Normal"/>
    <w:next w:val="Normal"/>
    <w:link w:val="Heading7Char"/>
    <w:qFormat/>
    <w:rsid w:val="00F84F3E"/>
    <w:pPr>
      <w:ind w:left="720"/>
      <w:outlineLvl w:val="6"/>
    </w:pPr>
    <w:rPr>
      <w:i/>
    </w:rPr>
  </w:style>
  <w:style w:type="paragraph" w:styleId="Heading8">
    <w:name w:val="heading 8"/>
    <w:basedOn w:val="Normal"/>
    <w:next w:val="Normal"/>
    <w:link w:val="Heading8Char"/>
    <w:qFormat/>
    <w:rsid w:val="00F84F3E"/>
    <w:pPr>
      <w:ind w:left="720"/>
      <w:outlineLvl w:val="7"/>
    </w:pPr>
    <w:rPr>
      <w:i/>
    </w:rPr>
  </w:style>
  <w:style w:type="paragraph" w:styleId="Heading9">
    <w:name w:val="heading 9"/>
    <w:basedOn w:val="Normal"/>
    <w:next w:val="Normal"/>
    <w:link w:val="Heading9Char"/>
    <w:qFormat/>
    <w:rsid w:val="00F84F3E"/>
    <w:pPr>
      <w:ind w:left="720"/>
      <w:outlineLvl w:val="8"/>
    </w:pPr>
    <w:rPr>
      <w:i/>
    </w:rPr>
  </w:style>
  <w:style w:type="character" w:default="1" w:styleId="DefaultParagraphFont">
    <w:name w:val="Default Paragraph Font"/>
    <w:uiPriority w:val="1"/>
    <w:unhideWhenUsed/>
    <w:rsid w:val="00F84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F3E"/>
  </w:style>
  <w:style w:type="character" w:customStyle="1" w:styleId="Heading1Char">
    <w:name w:val="Heading 1 Char"/>
    <w:basedOn w:val="DefaultParagraphFont"/>
    <w:link w:val="Heading1"/>
    <w:rsid w:val="00F84F3E"/>
    <w:rPr>
      <w:rFonts w:ascii="Times New Roman" w:eastAsia="Times New Roman" w:hAnsi="Times New Roman" w:cs="Times New Roman"/>
      <w:b/>
      <w:sz w:val="32"/>
      <w:szCs w:val="20"/>
      <w:lang w:eastAsia="en-US"/>
    </w:rPr>
  </w:style>
  <w:style w:type="paragraph" w:styleId="BodyText">
    <w:name w:val="Body Text"/>
    <w:basedOn w:val="Normal"/>
    <w:link w:val="BodyTextChar"/>
    <w:rsid w:val="00F84F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4F3E"/>
    <w:rPr>
      <w:rFonts w:ascii="Times New Roman" w:eastAsia="Times New Roman" w:hAnsi="Times New Roman" w:cs="Times New Roman"/>
      <w:sz w:val="24"/>
      <w:lang w:val="en-US" w:eastAsia="en-US"/>
    </w:rPr>
  </w:style>
  <w:style w:type="paragraph" w:styleId="Footer">
    <w:name w:val="footer"/>
    <w:basedOn w:val="Normal"/>
    <w:link w:val="FooterChar"/>
    <w:rsid w:val="00F84F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F3E"/>
    <w:rPr>
      <w:rFonts w:ascii="Times New Roman" w:eastAsia="Times New Roman" w:hAnsi="Times New Roman" w:cs="Times New Roman"/>
      <w:sz w:val="16"/>
      <w:lang w:val="en-US" w:eastAsia="en-US"/>
    </w:rPr>
  </w:style>
  <w:style w:type="paragraph" w:styleId="List">
    <w:name w:val="List"/>
    <w:basedOn w:val="BodyText"/>
    <w:next w:val="BodyText"/>
    <w:rsid w:val="00F84F3E"/>
    <w:pPr>
      <w:tabs>
        <w:tab w:val="left" w:pos="340"/>
      </w:tabs>
      <w:spacing w:before="60" w:after="60"/>
      <w:ind w:left="340" w:hanging="340"/>
    </w:pPr>
  </w:style>
  <w:style w:type="paragraph" w:styleId="ListBullet">
    <w:name w:val="List Bullet"/>
    <w:basedOn w:val="List"/>
    <w:rsid w:val="00F84F3E"/>
    <w:pPr>
      <w:numPr>
        <w:numId w:val="13"/>
      </w:numPr>
      <w:tabs>
        <w:tab w:val="clear" w:pos="340"/>
      </w:tabs>
      <w:spacing w:before="40" w:after="40"/>
    </w:pPr>
  </w:style>
  <w:style w:type="character" w:customStyle="1" w:styleId="SpecialBold">
    <w:name w:val="Special Bold"/>
    <w:basedOn w:val="DefaultParagraphFont"/>
    <w:rsid w:val="00F84F3E"/>
    <w:rPr>
      <w:b/>
      <w:spacing w:val="0"/>
    </w:rPr>
  </w:style>
  <w:style w:type="paragraph" w:styleId="ListBullet2">
    <w:name w:val="List Bullet 2"/>
    <w:basedOn w:val="List2"/>
    <w:rsid w:val="00F84F3E"/>
    <w:pPr>
      <w:numPr>
        <w:numId w:val="14"/>
      </w:numPr>
      <w:tabs>
        <w:tab w:val="clear" w:pos="680"/>
      </w:tabs>
    </w:pPr>
  </w:style>
  <w:style w:type="paragraph" w:styleId="Header">
    <w:name w:val="header"/>
    <w:basedOn w:val="Normal"/>
    <w:link w:val="HeaderChar"/>
    <w:rsid w:val="00F84F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F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4F3E"/>
    <w:pPr>
      <w:spacing w:before="240" w:after="120"/>
      <w:outlineLvl w:val="0"/>
    </w:pPr>
    <w:rPr>
      <w:rFonts w:ascii="Times New Roman" w:hAnsi="Times New Roman"/>
      <w:b/>
      <w:sz w:val="28"/>
    </w:rPr>
  </w:style>
  <w:style w:type="paragraph" w:customStyle="1" w:styleId="AllowPageBreak">
    <w:name w:val="AllowPageBreak"/>
    <w:rsid w:val="00F84F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4F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F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F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F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F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F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4F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4F3E"/>
    <w:rPr>
      <w:rFonts w:ascii="Courier New" w:eastAsia="Times New Roman" w:hAnsi="Courier New" w:cs="Times New Roman"/>
      <w:i/>
      <w:szCs w:val="20"/>
      <w:lang w:val="en-US" w:eastAsia="en-US"/>
    </w:rPr>
  </w:style>
  <w:style w:type="paragraph" w:customStyle="1" w:styleId="HeadingBase">
    <w:name w:val="Heading Base"/>
    <w:rsid w:val="00F84F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F3E"/>
    <w:pPr>
      <w:tabs>
        <w:tab w:val="right" w:leader="dot" w:pos="9072"/>
      </w:tabs>
      <w:ind w:left="567"/>
    </w:pPr>
    <w:rPr>
      <w:szCs w:val="22"/>
    </w:rPr>
  </w:style>
  <w:style w:type="paragraph" w:customStyle="1" w:styleId="TOCBase">
    <w:name w:val="TOC Base"/>
    <w:rsid w:val="00F84F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F3E"/>
    <w:pPr>
      <w:tabs>
        <w:tab w:val="right" w:leader="dot" w:pos="9072"/>
      </w:tabs>
      <w:spacing w:before="40" w:after="40"/>
      <w:ind w:left="284"/>
    </w:pPr>
    <w:rPr>
      <w:rFonts w:ascii="Times New Roman" w:hAnsi="Times New Roman"/>
    </w:rPr>
  </w:style>
  <w:style w:type="paragraph" w:styleId="TOC1">
    <w:name w:val="toc 1"/>
    <w:basedOn w:val="TOCBase"/>
    <w:next w:val="Normal"/>
    <w:rsid w:val="00F84F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4F3E"/>
    <w:pPr>
      <w:spacing w:before="5040"/>
      <w:jc w:val="center"/>
    </w:pPr>
    <w:rPr>
      <w:sz w:val="48"/>
      <w:szCs w:val="72"/>
      <w:lang w:val="en-US"/>
    </w:rPr>
  </w:style>
  <w:style w:type="character" w:customStyle="1" w:styleId="TitleChar">
    <w:name w:val="Title Char"/>
    <w:basedOn w:val="DefaultParagraphFont"/>
    <w:link w:val="Title"/>
    <w:rsid w:val="00F84F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F3E"/>
    <w:pPr>
      <w:tabs>
        <w:tab w:val="left" w:pos="3600"/>
        <w:tab w:val="left" w:pos="3958"/>
      </w:tabs>
    </w:pPr>
  </w:style>
  <w:style w:type="paragraph" w:customStyle="1" w:styleId="Note">
    <w:name w:val="Note"/>
    <w:basedOn w:val="BodyText"/>
    <w:rsid w:val="00F84F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F3E"/>
    <w:pPr>
      <w:framePr w:wrap="auto" w:hAnchor="text" w:y="6049"/>
    </w:pPr>
    <w:rPr>
      <w:color w:val="000000"/>
      <w:sz w:val="40"/>
    </w:rPr>
  </w:style>
  <w:style w:type="paragraph" w:customStyle="1" w:styleId="TOCTitle">
    <w:name w:val="TOCTitle"/>
    <w:basedOn w:val="Heading1"/>
    <w:rsid w:val="00F84F3E"/>
    <w:pPr>
      <w:spacing w:after="240"/>
      <w:jc w:val="center"/>
      <w:outlineLvl w:val="9"/>
    </w:pPr>
    <w:rPr>
      <w:caps/>
    </w:rPr>
  </w:style>
  <w:style w:type="paragraph" w:customStyle="1" w:styleId="Version">
    <w:name w:val="Version"/>
    <w:rsid w:val="00F84F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4F3E"/>
    <w:pPr>
      <w:keepNext w:val="0"/>
      <w:tabs>
        <w:tab w:val="right" w:pos="4176"/>
      </w:tabs>
      <w:ind w:left="198" w:hanging="198"/>
    </w:pPr>
    <w:rPr>
      <w:rFonts w:ascii="Garamond" w:hAnsi="Garamond"/>
    </w:rPr>
  </w:style>
  <w:style w:type="paragraph" w:styleId="IndexHeading">
    <w:name w:val="index heading"/>
    <w:basedOn w:val="Normal"/>
    <w:next w:val="Index1"/>
    <w:semiHidden/>
    <w:rsid w:val="00F84F3E"/>
    <w:pPr>
      <w:spacing w:before="120" w:after="120"/>
    </w:pPr>
    <w:rPr>
      <w:rFonts w:ascii="Arial" w:hAnsi="Arial"/>
      <w:b/>
      <w:color w:val="918585"/>
      <w:sz w:val="24"/>
    </w:rPr>
  </w:style>
  <w:style w:type="paragraph" w:customStyle="1" w:styleId="Chapter">
    <w:name w:val="Chapter"/>
    <w:basedOn w:val="Normal"/>
    <w:rsid w:val="00F84F3E"/>
    <w:pPr>
      <w:spacing w:before="240"/>
    </w:pPr>
    <w:rPr>
      <w:rFonts w:ascii="Times New Roman" w:hAnsi="Times New Roman"/>
      <w:smallCaps/>
      <w:spacing w:val="80"/>
      <w:sz w:val="28"/>
    </w:rPr>
  </w:style>
  <w:style w:type="paragraph" w:customStyle="1" w:styleId="InChapter">
    <w:name w:val="InChapter"/>
    <w:basedOn w:val="Heading3"/>
    <w:rsid w:val="00F84F3E"/>
    <w:pPr>
      <w:spacing w:after="240"/>
      <w:outlineLvl w:val="9"/>
    </w:pPr>
    <w:rPr>
      <w:noProof/>
    </w:rPr>
  </w:style>
  <w:style w:type="paragraph" w:styleId="Index2">
    <w:name w:val="index 2"/>
    <w:basedOn w:val="Normal"/>
    <w:next w:val="Normal"/>
    <w:semiHidden/>
    <w:rsid w:val="00F84F3E"/>
    <w:pPr>
      <w:tabs>
        <w:tab w:val="right" w:pos="4176"/>
      </w:tabs>
      <w:ind w:left="568" w:hanging="284"/>
    </w:pPr>
    <w:rPr>
      <w:rFonts w:ascii="Garamond" w:hAnsi="Garamond"/>
    </w:rPr>
  </w:style>
  <w:style w:type="paragraph" w:customStyle="1" w:styleId="Byline">
    <w:name w:val="Byline"/>
    <w:rsid w:val="00F84F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F3E"/>
    <w:pPr>
      <w:tabs>
        <w:tab w:val="clear" w:pos="3600"/>
        <w:tab w:val="clear" w:pos="3958"/>
      </w:tabs>
      <w:jc w:val="right"/>
    </w:pPr>
  </w:style>
  <w:style w:type="character" w:styleId="Emphasis">
    <w:name w:val="Emphasis"/>
    <w:basedOn w:val="DefaultParagraphFont"/>
    <w:qFormat/>
    <w:rsid w:val="00F84F3E"/>
    <w:rPr>
      <w:i/>
    </w:rPr>
  </w:style>
  <w:style w:type="paragraph" w:styleId="Caption">
    <w:name w:val="caption"/>
    <w:basedOn w:val="BodyText"/>
    <w:next w:val="Normal"/>
    <w:qFormat/>
    <w:rsid w:val="00F84F3E"/>
    <w:pPr>
      <w:framePr w:w="2268" w:hSpace="181" w:vSpace="181" w:wrap="around" w:vAnchor="text" w:hAnchor="page" w:x="1135" w:y="285" w:anchorLock="1"/>
    </w:pPr>
    <w:rPr>
      <w:i/>
    </w:rPr>
  </w:style>
  <w:style w:type="paragraph" w:customStyle="1" w:styleId="MiniTOCTitle">
    <w:name w:val="MiniTOCTitle"/>
    <w:basedOn w:val="Heading4"/>
    <w:rsid w:val="00F84F3E"/>
    <w:pPr>
      <w:spacing w:before="240"/>
      <w:outlineLvl w:val="9"/>
    </w:pPr>
    <w:rPr>
      <w:noProof/>
      <w:sz w:val="24"/>
    </w:rPr>
  </w:style>
  <w:style w:type="paragraph" w:customStyle="1" w:styleId="MiniTOCItem">
    <w:name w:val="MiniTOCItem"/>
    <w:basedOn w:val="ListBullet"/>
    <w:rsid w:val="00F84F3E"/>
    <w:pPr>
      <w:numPr>
        <w:numId w:val="0"/>
      </w:numPr>
      <w:tabs>
        <w:tab w:val="right" w:leader="dot" w:pos="6521"/>
      </w:tabs>
      <w:spacing w:before="0" w:after="0"/>
    </w:pPr>
  </w:style>
  <w:style w:type="paragraph" w:customStyle="1" w:styleId="TOFTitle">
    <w:name w:val="TOFTitle"/>
    <w:basedOn w:val="TOCTitle"/>
    <w:rsid w:val="00F84F3E"/>
  </w:style>
  <w:style w:type="paragraph" w:styleId="TableofFigures">
    <w:name w:val="table of figures"/>
    <w:basedOn w:val="Normal"/>
    <w:next w:val="Normal"/>
    <w:semiHidden/>
    <w:rsid w:val="00F84F3E"/>
    <w:pPr>
      <w:tabs>
        <w:tab w:val="right" w:leader="dot" w:pos="9072"/>
      </w:tabs>
      <w:ind w:left="970" w:hanging="403"/>
    </w:pPr>
    <w:rPr>
      <w:rFonts w:ascii="Times New Roman" w:hAnsi="Times New Roman"/>
      <w:b/>
    </w:rPr>
  </w:style>
  <w:style w:type="paragraph" w:styleId="ListNumber">
    <w:name w:val="List Number"/>
    <w:basedOn w:val="List"/>
    <w:rsid w:val="00F84F3E"/>
    <w:pPr>
      <w:numPr>
        <w:numId w:val="11"/>
      </w:numPr>
    </w:pPr>
  </w:style>
  <w:style w:type="character" w:customStyle="1" w:styleId="WingdingSymbols">
    <w:name w:val="Wingding Symbols"/>
    <w:rsid w:val="00F84F3E"/>
    <w:rPr>
      <w:rFonts w:ascii="Wingdings" w:hAnsi="Wingdings"/>
    </w:rPr>
  </w:style>
  <w:style w:type="paragraph" w:customStyle="1" w:styleId="TableHeading">
    <w:name w:val="Table Heading"/>
    <w:basedOn w:val="HeadingBase"/>
    <w:rsid w:val="00F84F3E"/>
    <w:pPr>
      <w:keepLines/>
      <w:pBdr>
        <w:bottom w:val="single" w:sz="6" w:space="1" w:color="918585"/>
      </w:pBdr>
      <w:spacing w:before="240"/>
    </w:pPr>
  </w:style>
  <w:style w:type="character" w:customStyle="1" w:styleId="HotSpot">
    <w:name w:val="HotSpot"/>
    <w:rsid w:val="00F84F3E"/>
    <w:rPr>
      <w:color w:val="0033CC"/>
      <w:u w:val="none"/>
    </w:rPr>
  </w:style>
  <w:style w:type="paragraph" w:customStyle="1" w:styleId="BodyTextRight">
    <w:name w:val="Body Text Right"/>
    <w:basedOn w:val="BodyText"/>
    <w:rsid w:val="00F84F3E"/>
    <w:pPr>
      <w:spacing w:before="0" w:after="0"/>
      <w:jc w:val="right"/>
    </w:pPr>
  </w:style>
  <w:style w:type="paragraph" w:styleId="Index3">
    <w:name w:val="index 3"/>
    <w:basedOn w:val="ListNumber2"/>
    <w:next w:val="Normal"/>
    <w:semiHidden/>
    <w:rsid w:val="00F84F3E"/>
    <w:pPr>
      <w:numPr>
        <w:numId w:val="0"/>
      </w:numPr>
      <w:tabs>
        <w:tab w:val="right" w:leader="dot" w:pos="4176"/>
      </w:tabs>
    </w:pPr>
  </w:style>
  <w:style w:type="paragraph" w:styleId="ListNumber2">
    <w:name w:val="List Number 2"/>
    <w:basedOn w:val="List2"/>
    <w:rsid w:val="00F84F3E"/>
    <w:pPr>
      <w:numPr>
        <w:numId w:val="10"/>
      </w:numPr>
      <w:tabs>
        <w:tab w:val="clear" w:pos="1060"/>
      </w:tabs>
    </w:pPr>
  </w:style>
  <w:style w:type="paragraph" w:customStyle="1" w:styleId="MarginNote">
    <w:name w:val="Margin Note"/>
    <w:basedOn w:val="BodyText"/>
    <w:rsid w:val="00F84F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F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F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4F3E"/>
    <w:rPr>
      <w:sz w:val="32"/>
    </w:rPr>
  </w:style>
  <w:style w:type="paragraph" w:customStyle="1" w:styleId="HeadingProcedure">
    <w:name w:val="Heading Procedure"/>
    <w:basedOn w:val="HeadingBase"/>
    <w:next w:val="Normal"/>
    <w:rsid w:val="00F84F3E"/>
    <w:pPr>
      <w:tabs>
        <w:tab w:val="left" w:pos="0"/>
      </w:tabs>
      <w:spacing w:before="120" w:after="60"/>
    </w:pPr>
    <w:rPr>
      <w:i/>
      <w:color w:val="918585"/>
      <w:sz w:val="22"/>
    </w:rPr>
  </w:style>
  <w:style w:type="paragraph" w:customStyle="1" w:styleId="TableBodyText">
    <w:name w:val="Table Body Text"/>
    <w:basedOn w:val="BodyText"/>
    <w:rsid w:val="00F84F3E"/>
    <w:pPr>
      <w:spacing w:before="60" w:after="60"/>
    </w:pPr>
  </w:style>
  <w:style w:type="paragraph" w:styleId="ListContinue">
    <w:name w:val="List Continue"/>
    <w:basedOn w:val="List"/>
    <w:rsid w:val="00F84F3E"/>
    <w:pPr>
      <w:ind w:firstLine="0"/>
    </w:pPr>
  </w:style>
  <w:style w:type="paragraph" w:customStyle="1" w:styleId="ListNote">
    <w:name w:val="List Note"/>
    <w:basedOn w:val="List"/>
    <w:rsid w:val="00F84F3E"/>
    <w:pPr>
      <w:pBdr>
        <w:top w:val="single" w:sz="6" w:space="2" w:color="918585"/>
        <w:bottom w:val="single" w:sz="6" w:space="2" w:color="918585"/>
      </w:pBdr>
      <w:tabs>
        <w:tab w:val="left" w:pos="1021"/>
      </w:tabs>
      <w:ind w:firstLine="0"/>
    </w:pPr>
  </w:style>
  <w:style w:type="paragraph" w:customStyle="1" w:styleId="Warning">
    <w:name w:val="Warning"/>
    <w:basedOn w:val="BodyText"/>
    <w:rsid w:val="00F84F3E"/>
    <w:pPr>
      <w:shd w:val="clear" w:color="auto" w:fill="D9D9D9"/>
      <w:tabs>
        <w:tab w:val="left" w:pos="992"/>
      </w:tabs>
      <w:ind w:left="119" w:right="119"/>
    </w:pPr>
    <w:rPr>
      <w:sz w:val="20"/>
    </w:rPr>
  </w:style>
  <w:style w:type="paragraph" w:customStyle="1" w:styleId="MarginIcons">
    <w:name w:val="Margin Icons"/>
    <w:basedOn w:val="BodyText"/>
    <w:rsid w:val="00F84F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F3E"/>
    <w:rPr>
      <w:rFonts w:ascii="Courier New" w:hAnsi="Courier New"/>
    </w:rPr>
  </w:style>
  <w:style w:type="paragraph" w:customStyle="1" w:styleId="NoteBullet">
    <w:name w:val="Note Bullet"/>
    <w:basedOn w:val="Note"/>
    <w:rsid w:val="00F84F3E"/>
    <w:pPr>
      <w:tabs>
        <w:tab w:val="clear" w:pos="680"/>
      </w:tabs>
      <w:spacing w:before="60" w:after="60"/>
    </w:pPr>
  </w:style>
  <w:style w:type="paragraph" w:customStyle="1" w:styleId="SubHeading2">
    <w:name w:val="SubHeading2"/>
    <w:basedOn w:val="HeadingBase"/>
    <w:rsid w:val="00F84F3E"/>
    <w:pPr>
      <w:spacing w:before="240" w:after="60"/>
    </w:pPr>
    <w:rPr>
      <w:sz w:val="20"/>
    </w:rPr>
  </w:style>
  <w:style w:type="paragraph" w:customStyle="1" w:styleId="SubHeading1">
    <w:name w:val="SubHeading1"/>
    <w:basedOn w:val="HeadingBase"/>
    <w:rsid w:val="00F84F3E"/>
    <w:pPr>
      <w:spacing w:before="240" w:after="60"/>
    </w:pPr>
    <w:rPr>
      <w:color w:val="918585"/>
      <w:sz w:val="22"/>
    </w:rPr>
  </w:style>
  <w:style w:type="paragraph" w:customStyle="1" w:styleId="SideHeading">
    <w:name w:val="Side Heading"/>
    <w:basedOn w:val="HeadingBase"/>
    <w:rsid w:val="00F84F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F3E"/>
    <w:pPr>
      <w:numPr>
        <w:numId w:val="12"/>
      </w:numPr>
    </w:pPr>
  </w:style>
  <w:style w:type="paragraph" w:styleId="PlainText">
    <w:name w:val="Plain Text"/>
    <w:basedOn w:val="Normal"/>
    <w:link w:val="PlainTextChar"/>
    <w:rsid w:val="00F84F3E"/>
    <w:rPr>
      <w:sz w:val="20"/>
    </w:rPr>
  </w:style>
  <w:style w:type="character" w:customStyle="1" w:styleId="PlainTextChar">
    <w:name w:val="Plain Text Char"/>
    <w:basedOn w:val="DefaultParagraphFont"/>
    <w:link w:val="PlainText"/>
    <w:rsid w:val="00F84F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4F3E"/>
    <w:rPr>
      <w:b/>
      <w:smallCaps/>
    </w:rPr>
  </w:style>
  <w:style w:type="paragraph" w:customStyle="1" w:styleId="TableListNumber">
    <w:name w:val="Table List Number"/>
    <w:basedOn w:val="ListNumber"/>
    <w:rsid w:val="00F84F3E"/>
    <w:pPr>
      <w:numPr>
        <w:numId w:val="0"/>
      </w:numPr>
    </w:pPr>
  </w:style>
  <w:style w:type="paragraph" w:styleId="TOC4">
    <w:name w:val="toc 4"/>
    <w:basedOn w:val="TOCBase"/>
    <w:next w:val="Normal"/>
    <w:semiHidden/>
    <w:rsid w:val="00F84F3E"/>
    <w:pPr>
      <w:tabs>
        <w:tab w:val="right" w:leader="dot" w:pos="9071"/>
      </w:tabs>
      <w:ind w:left="1701"/>
    </w:pPr>
  </w:style>
  <w:style w:type="paragraph" w:customStyle="1" w:styleId="ListAlpha">
    <w:name w:val="List Alpha"/>
    <w:basedOn w:val="List"/>
    <w:rsid w:val="00F84F3E"/>
    <w:pPr>
      <w:numPr>
        <w:numId w:val="9"/>
      </w:numPr>
    </w:pPr>
  </w:style>
  <w:style w:type="paragraph" w:customStyle="1" w:styleId="ListAlpha2">
    <w:name w:val="List Alpha 2"/>
    <w:basedOn w:val="List2"/>
    <w:rsid w:val="00F84F3E"/>
    <w:pPr>
      <w:numPr>
        <w:numId w:val="8"/>
      </w:numPr>
    </w:pPr>
  </w:style>
  <w:style w:type="paragraph" w:styleId="List2">
    <w:name w:val="List 2"/>
    <w:basedOn w:val="BodyText"/>
    <w:rsid w:val="00F84F3E"/>
    <w:pPr>
      <w:tabs>
        <w:tab w:val="left" w:pos="680"/>
      </w:tabs>
      <w:spacing w:before="60" w:after="60"/>
      <w:ind w:left="680" w:hanging="340"/>
    </w:pPr>
  </w:style>
  <w:style w:type="paragraph" w:styleId="List3">
    <w:name w:val="List 3"/>
    <w:basedOn w:val="BodyText"/>
    <w:rsid w:val="00F84F3E"/>
    <w:pPr>
      <w:tabs>
        <w:tab w:val="left" w:pos="1021"/>
      </w:tabs>
      <w:spacing w:before="60" w:after="60"/>
      <w:ind w:left="1020" w:hanging="340"/>
    </w:pPr>
  </w:style>
  <w:style w:type="paragraph" w:styleId="List4">
    <w:name w:val="List 4"/>
    <w:basedOn w:val="BodyText"/>
    <w:rsid w:val="00F84F3E"/>
    <w:pPr>
      <w:tabs>
        <w:tab w:val="left" w:pos="1361"/>
      </w:tabs>
      <w:spacing w:before="60" w:after="60"/>
      <w:ind w:left="1361" w:hanging="340"/>
    </w:pPr>
  </w:style>
  <w:style w:type="paragraph" w:styleId="List5">
    <w:name w:val="List 5"/>
    <w:basedOn w:val="BodyText"/>
    <w:rsid w:val="00F84F3E"/>
    <w:pPr>
      <w:tabs>
        <w:tab w:val="left" w:pos="1701"/>
      </w:tabs>
      <w:spacing w:before="60" w:after="60"/>
      <w:ind w:left="1701" w:hanging="340"/>
    </w:pPr>
  </w:style>
  <w:style w:type="paragraph" w:styleId="ListBullet3">
    <w:name w:val="List Bullet 3"/>
    <w:basedOn w:val="List3"/>
    <w:rsid w:val="00F84F3E"/>
    <w:pPr>
      <w:numPr>
        <w:numId w:val="15"/>
      </w:numPr>
      <w:tabs>
        <w:tab w:val="clear" w:pos="1021"/>
      </w:tabs>
      <w:ind w:left="1037" w:hanging="357"/>
    </w:pPr>
  </w:style>
  <w:style w:type="paragraph" w:styleId="ListBullet4">
    <w:name w:val="List Bullet 4"/>
    <w:basedOn w:val="List4"/>
    <w:rsid w:val="00F84F3E"/>
    <w:pPr>
      <w:numPr>
        <w:numId w:val="3"/>
      </w:numPr>
    </w:pPr>
  </w:style>
  <w:style w:type="paragraph" w:styleId="ListBullet5">
    <w:name w:val="List Bullet 5"/>
    <w:basedOn w:val="List5"/>
    <w:rsid w:val="00F84F3E"/>
    <w:pPr>
      <w:numPr>
        <w:numId w:val="4"/>
      </w:numPr>
    </w:pPr>
  </w:style>
  <w:style w:type="paragraph" w:styleId="ListContinue2">
    <w:name w:val="List Continue 2"/>
    <w:basedOn w:val="List2"/>
    <w:rsid w:val="00F84F3E"/>
    <w:pPr>
      <w:ind w:firstLine="0"/>
    </w:pPr>
  </w:style>
  <w:style w:type="paragraph" w:styleId="ListContinue3">
    <w:name w:val="List Continue 3"/>
    <w:basedOn w:val="List3"/>
    <w:rsid w:val="00F84F3E"/>
    <w:pPr>
      <w:ind w:left="1021" w:firstLine="0"/>
    </w:pPr>
  </w:style>
  <w:style w:type="paragraph" w:styleId="ListContinue4">
    <w:name w:val="List Continue 4"/>
    <w:basedOn w:val="List4"/>
    <w:rsid w:val="00F84F3E"/>
    <w:pPr>
      <w:ind w:firstLine="0"/>
    </w:pPr>
  </w:style>
  <w:style w:type="paragraph" w:styleId="ListContinue5">
    <w:name w:val="List Continue 5"/>
    <w:basedOn w:val="List5"/>
    <w:rsid w:val="00F84F3E"/>
    <w:pPr>
      <w:ind w:firstLine="0"/>
    </w:pPr>
  </w:style>
  <w:style w:type="paragraph" w:styleId="ListNumber3">
    <w:name w:val="List Number 3"/>
    <w:basedOn w:val="List3"/>
    <w:rsid w:val="00F84F3E"/>
    <w:pPr>
      <w:numPr>
        <w:numId w:val="5"/>
      </w:numPr>
    </w:pPr>
  </w:style>
  <w:style w:type="paragraph" w:styleId="ListNumber4">
    <w:name w:val="List Number 4"/>
    <w:basedOn w:val="List4"/>
    <w:rsid w:val="00F84F3E"/>
    <w:pPr>
      <w:numPr>
        <w:numId w:val="6"/>
      </w:numPr>
    </w:pPr>
  </w:style>
  <w:style w:type="paragraph" w:styleId="ListNumber5">
    <w:name w:val="List Number 5"/>
    <w:basedOn w:val="List5"/>
    <w:rsid w:val="00F84F3E"/>
    <w:pPr>
      <w:numPr>
        <w:numId w:val="7"/>
      </w:numPr>
    </w:pPr>
  </w:style>
  <w:style w:type="paragraph" w:styleId="BlockText">
    <w:name w:val="Block Text"/>
    <w:basedOn w:val="Normal"/>
    <w:rsid w:val="00F84F3E"/>
    <w:pPr>
      <w:spacing w:after="120"/>
      <w:ind w:left="1440" w:right="1440"/>
    </w:pPr>
  </w:style>
  <w:style w:type="character" w:customStyle="1" w:styleId="Subscript">
    <w:name w:val="Subscript"/>
    <w:basedOn w:val="DefaultParagraphFont"/>
    <w:rsid w:val="00F84F3E"/>
    <w:rPr>
      <w:sz w:val="16"/>
      <w:vertAlign w:val="subscript"/>
    </w:rPr>
  </w:style>
  <w:style w:type="character" w:customStyle="1" w:styleId="Superscript">
    <w:name w:val="Superscript"/>
    <w:basedOn w:val="DefaultParagraphFont"/>
    <w:rsid w:val="00F84F3E"/>
    <w:rPr>
      <w:sz w:val="16"/>
      <w:vertAlign w:val="superscript"/>
    </w:rPr>
  </w:style>
  <w:style w:type="character" w:customStyle="1" w:styleId="Symbols">
    <w:name w:val="Symbols"/>
    <w:basedOn w:val="DefaultParagraphFont"/>
    <w:rsid w:val="00F84F3E"/>
    <w:rPr>
      <w:rFonts w:ascii="Symbol" w:hAnsi="Symbol"/>
    </w:rPr>
  </w:style>
  <w:style w:type="character" w:customStyle="1" w:styleId="MenuOptions">
    <w:name w:val="Menu Options"/>
    <w:basedOn w:val="DefaultParagraphFont"/>
    <w:rsid w:val="00F84F3E"/>
    <w:rPr>
      <w:rFonts w:ascii="Arial Narrow" w:hAnsi="Arial Narrow"/>
      <w:smallCaps/>
    </w:rPr>
  </w:style>
  <w:style w:type="character" w:customStyle="1" w:styleId="Buttons">
    <w:name w:val="Buttons"/>
    <w:basedOn w:val="DefaultParagraphFont"/>
    <w:rsid w:val="00F84F3E"/>
    <w:rPr>
      <w:b/>
    </w:rPr>
  </w:style>
  <w:style w:type="character" w:customStyle="1" w:styleId="Underlined">
    <w:name w:val="Underlined"/>
    <w:basedOn w:val="DefaultParagraphFont"/>
    <w:rsid w:val="00F84F3E"/>
    <w:rPr>
      <w:u w:val="single"/>
    </w:rPr>
  </w:style>
  <w:style w:type="paragraph" w:customStyle="1" w:styleId="TableBodyTextRight">
    <w:name w:val="Table Body Text Right"/>
    <w:basedOn w:val="TableBodyText"/>
    <w:rsid w:val="00F84F3E"/>
    <w:pPr>
      <w:widowControl w:val="0"/>
      <w:autoSpaceDE w:val="0"/>
      <w:autoSpaceDN w:val="0"/>
      <w:adjustRightInd w:val="0"/>
      <w:jc w:val="right"/>
    </w:pPr>
    <w:rPr>
      <w:rFonts w:cs="Arial"/>
      <w:szCs w:val="18"/>
    </w:rPr>
  </w:style>
  <w:style w:type="paragraph" w:customStyle="1" w:styleId="CopyrightText">
    <w:name w:val="Copyright Text"/>
    <w:basedOn w:val="BodyText"/>
    <w:rsid w:val="00F84F3E"/>
    <w:rPr>
      <w:sz w:val="18"/>
    </w:rPr>
  </w:style>
  <w:style w:type="paragraph" w:customStyle="1" w:styleId="BodySmallRight">
    <w:name w:val="Body Small Right"/>
    <w:basedOn w:val="BodyTextRight"/>
    <w:rsid w:val="00F84F3E"/>
    <w:rPr>
      <w:sz w:val="18"/>
      <w:szCs w:val="18"/>
    </w:rPr>
  </w:style>
  <w:style w:type="paragraph" w:customStyle="1" w:styleId="MarginEdition">
    <w:name w:val="Margin Edition"/>
    <w:basedOn w:val="MarginNote"/>
    <w:rsid w:val="00F84F3E"/>
    <w:pPr>
      <w:spacing w:before="0" w:after="0"/>
    </w:pPr>
    <w:rPr>
      <w:rFonts w:ascii="Times New Roman" w:hAnsi="Times New Roman"/>
      <w:color w:val="999999"/>
    </w:rPr>
  </w:style>
  <w:style w:type="paragraph" w:customStyle="1" w:styleId="Spacer">
    <w:name w:val="Spacer"/>
    <w:basedOn w:val="Normal"/>
    <w:rsid w:val="00F84F3E"/>
    <w:rPr>
      <w:sz w:val="2"/>
      <w:szCs w:val="2"/>
    </w:rPr>
  </w:style>
  <w:style w:type="character" w:customStyle="1" w:styleId="Small">
    <w:name w:val="Small"/>
    <w:basedOn w:val="DefaultParagraphFont"/>
    <w:rsid w:val="00F84F3E"/>
    <w:rPr>
      <w:sz w:val="16"/>
    </w:rPr>
  </w:style>
  <w:style w:type="paragraph" w:customStyle="1" w:styleId="WideTable">
    <w:name w:val="Wide Table"/>
    <w:basedOn w:val="Normal"/>
    <w:rsid w:val="00F84F3E"/>
    <w:pPr>
      <w:ind w:left="-1418"/>
    </w:pPr>
    <w:rPr>
      <w:sz w:val="2"/>
      <w:szCs w:val="2"/>
    </w:rPr>
  </w:style>
  <w:style w:type="character" w:styleId="PageNumber">
    <w:name w:val="page number"/>
    <w:basedOn w:val="DefaultParagraphFont"/>
    <w:rsid w:val="00F84F3E"/>
  </w:style>
  <w:style w:type="paragraph" w:styleId="Quote">
    <w:name w:val="Quote"/>
    <w:basedOn w:val="Heading1"/>
    <w:link w:val="QuoteChar"/>
    <w:qFormat/>
    <w:rsid w:val="00F84F3E"/>
    <w:rPr>
      <w:b w:val="0"/>
      <w:sz w:val="72"/>
      <w:szCs w:val="72"/>
      <w:lang w:val="en-NZ"/>
    </w:rPr>
  </w:style>
  <w:style w:type="character" w:customStyle="1" w:styleId="QuoteChar">
    <w:name w:val="Quote Char"/>
    <w:basedOn w:val="DefaultParagraphFont"/>
    <w:link w:val="Quote"/>
    <w:rsid w:val="00F84F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F3E"/>
    <w:pPr>
      <w:pageBreakBefore/>
    </w:pPr>
  </w:style>
  <w:style w:type="paragraph" w:customStyle="1" w:styleId="Border">
    <w:name w:val="Border"/>
    <w:basedOn w:val="Normal"/>
    <w:qFormat/>
    <w:rsid w:val="00F84F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F3E"/>
    <w:rPr>
      <w:b/>
      <w:bCs/>
      <w:i/>
      <w:iCs/>
      <w:color w:val="auto"/>
    </w:rPr>
  </w:style>
  <w:style w:type="paragraph" w:styleId="IntenseQuote">
    <w:name w:val="Intense Quote"/>
    <w:basedOn w:val="Normal"/>
    <w:next w:val="Normal"/>
    <w:link w:val="IntenseQuoteChar"/>
    <w:uiPriority w:val="30"/>
    <w:qFormat/>
    <w:rsid w:val="00F84F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F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4F3E"/>
    <w:rPr>
      <w:smallCaps/>
      <w:color w:val="auto"/>
      <w:u w:val="single"/>
    </w:rPr>
  </w:style>
  <w:style w:type="character" w:styleId="IntenseReference">
    <w:name w:val="Intense Reference"/>
    <w:basedOn w:val="DefaultParagraphFont"/>
    <w:uiPriority w:val="32"/>
    <w:qFormat/>
    <w:rsid w:val="00F84F3E"/>
    <w:rPr>
      <w:b/>
      <w:bCs/>
      <w:smallCaps/>
      <w:color w:val="auto"/>
      <w:spacing w:val="5"/>
      <w:u w:val="single"/>
    </w:rPr>
  </w:style>
  <w:style w:type="paragraph" w:customStyle="1" w:styleId="2ColumnHeading">
    <w:name w:val="2Column Heading"/>
    <w:basedOn w:val="BodyText"/>
    <w:qFormat/>
    <w:rsid w:val="00F84F3E"/>
    <w:pPr>
      <w:spacing w:after="60"/>
      <w:ind w:left="-2268"/>
    </w:pPr>
    <w:rPr>
      <w:b/>
    </w:rPr>
  </w:style>
  <w:style w:type="paragraph" w:customStyle="1" w:styleId="Heading1TOC">
    <w:name w:val="Heading1 TOC"/>
    <w:basedOn w:val="Normal"/>
    <w:qFormat/>
    <w:rsid w:val="00F84F3E"/>
    <w:pPr>
      <w:spacing w:before="240" w:after="120"/>
    </w:pPr>
    <w:rPr>
      <w:rFonts w:ascii="Times New Roman" w:hAnsi="Times New Roman"/>
      <w:b/>
      <w:sz w:val="32"/>
    </w:rPr>
  </w:style>
  <w:style w:type="paragraph" w:customStyle="1" w:styleId="Heading2TOC">
    <w:name w:val="Heading2 TOC"/>
    <w:basedOn w:val="Normal"/>
    <w:qFormat/>
    <w:rsid w:val="00F84F3E"/>
    <w:pPr>
      <w:spacing w:before="240" w:after="60"/>
    </w:pPr>
    <w:rPr>
      <w:rFonts w:ascii="Times New Roman" w:hAnsi="Times New Roman"/>
      <w:b/>
      <w:sz w:val="28"/>
    </w:rPr>
  </w:style>
  <w:style w:type="character" w:customStyle="1" w:styleId="Underline">
    <w:name w:val="Underline"/>
    <w:basedOn w:val="DefaultParagraphFont"/>
    <w:qFormat/>
    <w:rsid w:val="00F84F3E"/>
    <w:rPr>
      <w:u w:val="single"/>
    </w:rPr>
  </w:style>
  <w:style w:type="character" w:customStyle="1" w:styleId="BoldandItalics">
    <w:name w:val="Bold and Italics"/>
    <w:qFormat/>
    <w:rsid w:val="00F84F3E"/>
    <w:rPr>
      <w:b/>
      <w:i/>
      <w:u w:val="none"/>
    </w:rPr>
  </w:style>
  <w:style w:type="paragraph" w:styleId="BalloonText">
    <w:name w:val="Balloon Text"/>
    <w:basedOn w:val="Normal"/>
    <w:link w:val="BalloonTextChar"/>
    <w:rsid w:val="00F84F3E"/>
    <w:rPr>
      <w:rFonts w:ascii="Tahoma" w:hAnsi="Tahoma" w:cs="Tahoma"/>
      <w:sz w:val="16"/>
      <w:szCs w:val="16"/>
    </w:rPr>
  </w:style>
  <w:style w:type="character" w:customStyle="1" w:styleId="BalloonTextChar">
    <w:name w:val="Balloon Text Char"/>
    <w:basedOn w:val="DefaultParagraphFont"/>
    <w:link w:val="BalloonText"/>
    <w:rsid w:val="00F84F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4F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4F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1238</Words>
  <Characters>8174</Characters>
  <Application>Microsoft Office Word</Application>
  <DocSecurity>0</DocSecurity>
  <Lines>260</Lines>
  <Paragraphs>164</Paragraphs>
  <ScaleCrop>false</ScaleCrop>
  <Company>Author-it Software Corporation Ltd.</Company>
  <LinksUpToDate>false</LinksUpToDate>
  <CharactersWithSpaces>9342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TLIP2024A Conduct financial transactions</dc:title>
  <dc:subject>Approved</dc:subject>
  <dc:creator>Transport &amp; Logistics Industry Skills Council</dc:creator>
  <cp:keywords>Release: 1</cp:keywords>
  <dc:description>Copyright © 1996-2007 Author-it Software Corporation Ltd., all rights reserved.</dc:description>
  <cp:lastModifiedBy>Peter Giorgilli</cp:lastModifiedBy>
  <cp:revision>3</cp:revision>
  <dcterms:created xsi:type="dcterms:W3CDTF">2012-05-27T04:02:00Z</dcterms:created>
  <dcterms:modified xsi:type="dcterms:W3CDTF">2012-05-27T04:02:00Z</dcterms:modified>
</cp:coreProperties>
</file>