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81B" w:rsidP="00A3681B">
      <w:pPr>
        <w:pStyle w:val="Title"/>
      </w:pPr>
      <w:r>
        <w:fldChar w:fldCharType="begin"/>
      </w:r>
      <w:r>
        <w:instrText xml:space="preserve"> TITLE   \* MERGEFORMAT </w:instrText>
      </w:r>
      <w:r>
        <w:fldChar w:fldCharType="separate"/>
      </w:r>
      <w:r>
        <w:t>TLIO5018A Manage compliance with customs excise</w:t>
      </w:r>
      <w:r>
        <w:fldChar w:fldCharType="end"/>
      </w:r>
    </w:p>
    <w:p w:rsidR="00A3681B" w:rsidP="00A3681B">
      <w:pPr>
        <w:pStyle w:val="Version"/>
        <w:sectPr w:rsidSect="000927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27FD" w:rsidP="000927FD">
      <w:pPr>
        <w:pStyle w:val="SuperHeading"/>
      </w:pPr>
      <w:r w:rsidRPr="000927FD">
        <w:t>TLIO5018A Manage compliance with customs excise</w:t>
      </w:r>
    </w:p>
    <w:p w:rsidR="00000000" w:rsidRPr="000927FD" w:rsidP="000927FD">
      <w:pPr>
        <w:pStyle w:val="Heading1"/>
      </w:pPr>
      <w:bookmarkStart w:id="1" w:name="O_274266"/>
      <w:bookmarkEnd w:id="1"/>
      <w:r w:rsidRPr="000927FD">
        <w:t>Modification History</w:t>
      </w:r>
    </w:p>
    <w:p w:rsidR="00000000" w:rsidRPr="000927FD" w:rsidP="000927FD">
      <w:pPr>
        <w:pStyle w:val="BodyText"/>
      </w:pPr>
      <w:r w:rsidRPr="000927FD">
        <w:t>Not Applicable</w:t>
      </w:r>
    </w:p>
    <w:p w:rsidR="00000000" w:rsidRPr="000927FD" w:rsidP="000927FD">
      <w:pPr>
        <w:pStyle w:val="AllowPageBreak"/>
      </w:pPr>
    </w:p>
    <w:p w:rsidR="00000000" w:rsidRPr="000927FD" w:rsidP="000927FD">
      <w:pPr>
        <w:pStyle w:val="Heading1"/>
      </w:pPr>
      <w:bookmarkStart w:id="2" w:name="O_224126"/>
      <w:bookmarkEnd w:id="2"/>
      <w:r w:rsidRPr="000927FD">
        <w:t>Unit Descriptor</w:t>
      </w:r>
    </w:p>
    <w:tbl>
      <w:tblPr>
        <w:tblW w:w="9640" w:type="dxa"/>
        <w:tblLayout w:type="fixed"/>
        <w:tblCellMar>
          <w:left w:w="62" w:type="dxa"/>
          <w:right w:w="62" w:type="dxa"/>
        </w:tblCellMar>
        <w:tblLook w:val="0000"/>
      </w:tblPr>
      <w:tblGrid>
        <w:gridCol w:w="2978"/>
        <w:gridCol w:w="6662"/>
      </w:tblGrid>
      <w:tr w:rsidTr="00A3681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27FD">
            <w:pPr>
              <w:pStyle w:val="BodyText"/>
              <w:rPr>
                <w:lang w:val="en-NZ"/>
              </w:rPr>
            </w:pPr>
            <w:r w:rsidRPr="000927F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927FD" w:rsidP="000927FD">
            <w:pPr>
              <w:pStyle w:val="BodyText"/>
            </w:pPr>
            <w:r w:rsidRPr="000927FD">
              <w:t>This unit involves the skills and knowledge required to manage compliance with customs excise. It inclu</w:t>
            </w:r>
            <w:r w:rsidRPr="000927FD">
              <w:t>des determining the rate of excise under the Customs Tariff Act 1995; determining any conditions and exceptions which apply to goods; interpreting concessional rates of duty; calculating duty amount; and following documentation requirements. Licensing, leg</w:t>
            </w:r>
            <w:r w:rsidRPr="000927FD">
              <w:t>islative, regulatory or certification requirements are applicable to this unit.</w:t>
            </w:r>
          </w:p>
        </w:tc>
      </w:tr>
    </w:tbl>
    <w:p w:rsidR="00A3681B" w:rsidP="000927FD">
      <w:pPr>
        <w:pStyle w:val="BodyText"/>
      </w:pPr>
    </w:p>
    <w:p w:rsidR="00A3681B" w:rsidP="000927FD">
      <w:pPr>
        <w:pStyle w:val="BodyText"/>
      </w:pPr>
    </w:p>
    <w:p w:rsidR="00000000" w:rsidRPr="000927FD" w:rsidP="000927FD">
      <w:pPr>
        <w:pStyle w:val="Heading1"/>
      </w:pPr>
      <w:bookmarkStart w:id="3" w:name="O_224128"/>
      <w:bookmarkEnd w:id="3"/>
      <w:r w:rsidRPr="000927FD">
        <w:t>Application of the Unit</w:t>
      </w:r>
    </w:p>
    <w:tbl>
      <w:tblPr>
        <w:tblW w:w="9640" w:type="dxa"/>
        <w:tblLayout w:type="fixed"/>
        <w:tblCellMar>
          <w:left w:w="62" w:type="dxa"/>
          <w:right w:w="62" w:type="dxa"/>
        </w:tblCellMar>
        <w:tblLook w:val="0000"/>
      </w:tblPr>
      <w:tblGrid>
        <w:gridCol w:w="2978"/>
        <w:gridCol w:w="6662"/>
      </w:tblGrid>
      <w:tr w:rsidTr="00A3681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927FD">
            <w:pPr>
              <w:pStyle w:val="BodyText"/>
              <w:rPr>
                <w:lang w:val="en-NZ"/>
              </w:rPr>
            </w:pPr>
            <w:r w:rsidRPr="000927F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927FD" w:rsidP="000927FD">
            <w:pPr>
              <w:pStyle w:val="BodyText"/>
            </w:pPr>
            <w:r w:rsidRPr="000927FD">
              <w:t>Work may be undertaken in various contexts within the logistics industry.</w:t>
            </w:r>
          </w:p>
          <w:p w:rsidR="00000000" w:rsidRPr="000927FD" w:rsidP="000927FD">
            <w:pPr>
              <w:pStyle w:val="BodyText"/>
            </w:pPr>
            <w:r w:rsidRPr="000927FD">
              <w:t>The unit generally applies to those who provide leadership of others individually or in teams.</w:t>
            </w:r>
          </w:p>
          <w:p w:rsidR="00000000" w:rsidRPr="000927FD" w:rsidP="000927FD">
            <w:pPr>
              <w:pStyle w:val="BodyText"/>
            </w:pPr>
            <w:r w:rsidRPr="000927FD">
              <w:t>This unit is normally packaged at AQF IV or above.</w:t>
            </w:r>
          </w:p>
        </w:tc>
      </w:tr>
    </w:tbl>
    <w:p w:rsidR="00A3681B" w:rsidP="000927FD">
      <w:pPr>
        <w:pStyle w:val="BodyText"/>
      </w:pPr>
    </w:p>
    <w:p w:rsidR="00A3681B" w:rsidP="000927FD">
      <w:pPr>
        <w:pStyle w:val="BodyText"/>
      </w:pPr>
    </w:p>
    <w:p w:rsidR="00000000" w:rsidRPr="000927FD" w:rsidP="000927FD">
      <w:pPr>
        <w:pStyle w:val="Heading1"/>
      </w:pPr>
      <w:bookmarkStart w:id="4" w:name="O_282526"/>
      <w:bookmarkEnd w:id="4"/>
      <w:r w:rsidRPr="000927FD">
        <w:t>Licensing/Regulatory Information</w:t>
      </w:r>
    </w:p>
    <w:p w:rsidR="00000000" w:rsidRPr="000927FD" w:rsidP="000927FD">
      <w:pPr>
        <w:pStyle w:val="BodyText"/>
      </w:pPr>
      <w:r w:rsidRPr="000927FD">
        <w:t>Refer to Unit Descriptor</w:t>
      </w:r>
    </w:p>
    <w:p w:rsidR="00000000" w:rsidRPr="000927FD" w:rsidP="000927FD">
      <w:pPr>
        <w:pStyle w:val="AllowPageBreak"/>
      </w:pPr>
    </w:p>
    <w:p w:rsidR="00000000" w:rsidRPr="000927FD" w:rsidP="000927FD">
      <w:pPr>
        <w:pStyle w:val="Heading1"/>
      </w:pPr>
      <w:bookmarkStart w:id="5" w:name="O_284976"/>
      <w:bookmarkEnd w:id="5"/>
      <w:r w:rsidRPr="000927FD">
        <w:t>Pre-Requisites</w:t>
      </w:r>
    </w:p>
    <w:p w:rsidR="00000000" w:rsidRPr="000927FD" w:rsidP="000927FD">
      <w:pPr>
        <w:pStyle w:val="BodyText"/>
      </w:pPr>
      <w:r w:rsidRPr="000927FD">
        <w:t>Not Applicable</w:t>
      </w:r>
    </w:p>
    <w:p w:rsidR="00000000" w:rsidRPr="000927FD" w:rsidP="000927FD">
      <w:pPr>
        <w:pStyle w:val="AllowPageBreak"/>
      </w:pPr>
    </w:p>
    <w:p w:rsidR="00000000" w:rsidRPr="000927FD" w:rsidP="000927FD">
      <w:pPr>
        <w:pStyle w:val="Heading1"/>
      </w:pPr>
      <w:bookmarkStart w:id="6" w:name="O_224127"/>
      <w:bookmarkEnd w:id="6"/>
      <w:r w:rsidRPr="000927FD">
        <w:t>Employability Skills Information</w:t>
      </w:r>
    </w:p>
    <w:tbl>
      <w:tblPr>
        <w:tblW w:w="9640" w:type="dxa"/>
        <w:tblLayout w:type="fixed"/>
        <w:tblCellMar>
          <w:left w:w="62" w:type="dxa"/>
          <w:right w:w="62" w:type="dxa"/>
        </w:tblCellMar>
        <w:tblLook w:val="0000"/>
      </w:tblPr>
      <w:tblGrid>
        <w:gridCol w:w="2978"/>
        <w:gridCol w:w="6662"/>
      </w:tblGrid>
      <w:tr w:rsidTr="00A3681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927FD">
            <w:pPr>
              <w:pStyle w:val="BodyText"/>
              <w:rPr>
                <w:lang w:val="en-NZ"/>
              </w:rPr>
            </w:pPr>
            <w:r w:rsidRPr="000927F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927FD" w:rsidP="000927FD">
            <w:pPr>
              <w:pStyle w:val="BodyText"/>
            </w:pPr>
            <w:r w:rsidRPr="000927FD">
              <w:t>This unit contains employability skills.</w:t>
            </w:r>
          </w:p>
        </w:tc>
      </w:tr>
    </w:tbl>
    <w:p w:rsidR="00A3681B" w:rsidP="000927FD">
      <w:pPr>
        <w:pStyle w:val="BodyText"/>
      </w:pPr>
    </w:p>
    <w:p w:rsidR="00A3681B" w:rsidP="000927FD">
      <w:pPr>
        <w:pStyle w:val="BodyText"/>
      </w:pPr>
    </w:p>
    <w:p w:rsidR="00000000" w:rsidRPr="000927FD" w:rsidP="000927FD">
      <w:pPr>
        <w:pStyle w:val="Heading1"/>
      </w:pPr>
      <w:bookmarkStart w:id="7" w:name="O_292312"/>
      <w:bookmarkEnd w:id="7"/>
      <w:r w:rsidRPr="000927FD">
        <w:t>Elements and Performance Criteria Pre-Content</w:t>
      </w:r>
    </w:p>
    <w:tbl>
      <w:tblPr>
        <w:tblW w:w="9640" w:type="dxa"/>
        <w:tblLayout w:type="fixed"/>
        <w:tblCellMar>
          <w:left w:w="62" w:type="dxa"/>
          <w:right w:w="62" w:type="dxa"/>
        </w:tblCellMar>
        <w:tblLook w:val="0000"/>
      </w:tblPr>
      <w:tblGrid>
        <w:gridCol w:w="2978"/>
        <w:gridCol w:w="6662"/>
      </w:tblGrid>
      <w:tr w:rsidTr="00A3681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27FD">
            <w:pPr>
              <w:pStyle w:val="BodyText"/>
              <w:rPr>
                <w:lang w:val="en-NZ"/>
              </w:rPr>
            </w:pPr>
            <w:r w:rsidRPr="000927FD">
              <w:t>Elements describe the essential outcomes of a unit of competenc</w:t>
            </w:r>
            <w:r w:rsidRPr="000927FD">
              <w:t>y.</w:t>
            </w:r>
          </w:p>
        </w:tc>
        <w:tc>
          <w:tcPr>
            <w:tcW w:w="6662" w:type="dxa"/>
            <w:tcBorders>
              <w:top w:val="nil"/>
              <w:left w:val="nil"/>
              <w:bottom w:val="nil"/>
              <w:right w:val="nil"/>
            </w:tcBorders>
            <w:tcMar>
              <w:top w:w="0" w:type="dxa"/>
              <w:left w:w="62" w:type="dxa"/>
              <w:bottom w:w="0" w:type="dxa"/>
              <w:right w:w="62" w:type="dxa"/>
            </w:tcMar>
          </w:tcPr>
          <w:p w:rsidR="00000000" w:rsidRPr="000927FD" w:rsidP="000927FD">
            <w:pPr>
              <w:pStyle w:val="BodyText"/>
            </w:pPr>
            <w:r w:rsidRPr="000927FD">
              <w:t>Performance criteria describe the required performance needed to demonstrate achievement of the element. Assessment of performance is to be consistent with the evidence guide.</w:t>
            </w:r>
          </w:p>
        </w:tc>
      </w:tr>
    </w:tbl>
    <w:p w:rsidR="00000000" w:rsidRPr="000927FD" w:rsidP="000927FD">
      <w:pPr>
        <w:pStyle w:val="BodyText"/>
      </w:pPr>
    </w:p>
    <w:p w:rsidR="00000000" w:rsidRPr="000927FD" w:rsidP="000927FD">
      <w:pPr>
        <w:pStyle w:val="AllowPageBreak"/>
      </w:pPr>
    </w:p>
    <w:p w:rsidR="00000000" w:rsidRPr="000927FD" w:rsidP="000927FD">
      <w:pPr>
        <w:pStyle w:val="Heading1"/>
      </w:pPr>
      <w:bookmarkStart w:id="8" w:name="O_238980"/>
      <w:bookmarkEnd w:id="8"/>
      <w:r w:rsidRPr="000927FD">
        <w:t>Elements and Performance Criteria</w:t>
      </w:r>
    </w:p>
    <w:tbl>
      <w:tblPr>
        <w:tblW w:w="9640" w:type="dxa"/>
        <w:tblLayout w:type="fixed"/>
        <w:tblCellMar>
          <w:left w:w="62" w:type="dxa"/>
          <w:right w:w="62" w:type="dxa"/>
        </w:tblCellMar>
        <w:tblLook w:val="0000"/>
      </w:tblPr>
      <w:tblGrid>
        <w:gridCol w:w="2978"/>
        <w:gridCol w:w="6662"/>
      </w:tblGrid>
      <w:tr w:rsidTr="00A3681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927FD" w:rsidP="000927FD">
            <w:pPr>
              <w:pStyle w:val="List"/>
            </w:pPr>
            <w:r w:rsidRPr="000927F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927FD">
            <w:pPr>
              <w:pStyle w:val="List"/>
              <w:rPr>
                <w:lang w:val="en-NZ"/>
              </w:rPr>
            </w:pPr>
            <w:r w:rsidRPr="000927FD">
              <w:rPr>
                <w:rStyle w:val="SpecialBold"/>
              </w:rPr>
              <w:t>PERFORMANCE CRITERIA</w:t>
            </w:r>
          </w:p>
        </w:tc>
      </w:tr>
      <w:tr w:rsidTr="00A3681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27FD">
            <w:pPr>
              <w:pStyle w:val="List"/>
              <w:rPr>
                <w:lang w:val="en-NZ"/>
              </w:rPr>
            </w:pPr>
            <w:r w:rsidRPr="000927FD">
              <w:rPr>
                <w:rStyle w:val="SpecialBold"/>
              </w:rPr>
              <w:t>1</w:t>
            </w:r>
            <w:r w:rsidRPr="000927FD">
              <w:tab/>
            </w:r>
            <w:r w:rsidRPr="000927FD">
              <w:rPr>
                <w:rStyle w:val="SpecialBold"/>
              </w:rPr>
              <w:t>Determine the rate of excise under the Customs Tariff Act 1995</w:t>
            </w:r>
          </w:p>
        </w:tc>
        <w:tc>
          <w:tcPr>
            <w:tcW w:w="6662" w:type="dxa"/>
            <w:tcBorders>
              <w:top w:val="nil"/>
              <w:left w:val="nil"/>
              <w:bottom w:val="nil"/>
              <w:right w:val="nil"/>
            </w:tcBorders>
            <w:tcMar>
              <w:top w:w="0" w:type="dxa"/>
              <w:left w:w="62" w:type="dxa"/>
              <w:bottom w:w="0" w:type="dxa"/>
              <w:right w:w="62" w:type="dxa"/>
            </w:tcMar>
          </w:tcPr>
          <w:p w:rsidR="00000000" w:rsidRPr="000927FD" w:rsidP="000927FD">
            <w:pPr>
              <w:pStyle w:val="List"/>
            </w:pPr>
            <w:r w:rsidRPr="000927FD">
              <w:t>1.1</w:t>
            </w:r>
            <w:r w:rsidRPr="000927FD">
              <w:tab/>
              <w:t>Classification of the goods are made according to the Customs Tariff Act 1995</w:t>
            </w:r>
          </w:p>
          <w:p w:rsidR="00000000" w:rsidRPr="000927FD" w:rsidP="000927FD">
            <w:pPr>
              <w:pStyle w:val="List"/>
            </w:pPr>
            <w:r w:rsidRPr="000927FD">
              <w:t>1.2</w:t>
            </w:r>
            <w:r w:rsidRPr="000927FD">
              <w:tab/>
              <w:t>Those goods which incur a customs excise are identified</w:t>
            </w:r>
          </w:p>
          <w:p w:rsidR="00000000" w:rsidP="000927FD">
            <w:pPr>
              <w:pStyle w:val="List"/>
              <w:rPr>
                <w:lang w:val="en-NZ"/>
              </w:rPr>
            </w:pPr>
            <w:r w:rsidRPr="000927FD">
              <w:t>1.3</w:t>
            </w:r>
            <w:r w:rsidRPr="000927FD">
              <w:tab/>
              <w:t>The appropriate rate of</w:t>
            </w:r>
            <w:r w:rsidRPr="000927FD">
              <w:t xml:space="preserve"> excise is determined and applied to the goods</w:t>
            </w:r>
          </w:p>
        </w:tc>
      </w:tr>
      <w:tr w:rsidTr="00A3681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27FD">
            <w:pPr>
              <w:pStyle w:val="List"/>
              <w:rPr>
                <w:lang w:val="en-NZ"/>
              </w:rPr>
            </w:pPr>
            <w:r w:rsidRPr="000927FD">
              <w:rPr>
                <w:rStyle w:val="SpecialBold"/>
              </w:rPr>
              <w:t>2</w:t>
            </w:r>
            <w:r w:rsidRPr="000927FD">
              <w:tab/>
            </w:r>
            <w:r w:rsidRPr="000927FD">
              <w:rPr>
                <w:rStyle w:val="SpecialBold"/>
              </w:rPr>
              <w:t>Determine any excise conditions and exceptions which apply to the goods</w:t>
            </w:r>
          </w:p>
        </w:tc>
        <w:tc>
          <w:tcPr>
            <w:tcW w:w="6662" w:type="dxa"/>
            <w:tcBorders>
              <w:top w:val="nil"/>
              <w:left w:val="nil"/>
              <w:bottom w:val="nil"/>
              <w:right w:val="nil"/>
            </w:tcBorders>
            <w:tcMar>
              <w:top w:w="0" w:type="dxa"/>
              <w:left w:w="62" w:type="dxa"/>
              <w:bottom w:w="0" w:type="dxa"/>
              <w:right w:w="62" w:type="dxa"/>
            </w:tcMar>
          </w:tcPr>
          <w:p w:rsidR="00000000" w:rsidRPr="000927FD" w:rsidP="000927FD">
            <w:pPr>
              <w:pStyle w:val="List"/>
            </w:pPr>
            <w:r w:rsidRPr="000927FD">
              <w:t>2.1</w:t>
            </w:r>
            <w:r w:rsidRPr="000927FD">
              <w:tab/>
              <w:t>Tariff classification is applied to the goods</w:t>
            </w:r>
          </w:p>
          <w:p w:rsidR="00000000" w:rsidRPr="000927FD" w:rsidP="000927FD">
            <w:pPr>
              <w:pStyle w:val="List"/>
            </w:pPr>
            <w:r w:rsidRPr="000927FD">
              <w:t>2.2</w:t>
            </w:r>
            <w:r w:rsidRPr="000927FD">
              <w:tab/>
              <w:t>Determination is made as to whether the goods qualify for preferential treatment</w:t>
            </w:r>
            <w:r w:rsidRPr="000927FD">
              <w:t xml:space="preserve"> under free trade agreements and other preferential trade agreements</w:t>
            </w:r>
          </w:p>
          <w:p w:rsidR="00000000" w:rsidRPr="000927FD" w:rsidP="000927FD">
            <w:pPr>
              <w:pStyle w:val="List"/>
            </w:pPr>
            <w:r w:rsidRPr="000927FD">
              <w:t>2.3</w:t>
            </w:r>
            <w:r w:rsidRPr="000927FD">
              <w:tab/>
              <w:t>Special duty rates for the goods are determined</w:t>
            </w:r>
          </w:p>
          <w:p w:rsidR="00000000" w:rsidP="000927FD">
            <w:pPr>
              <w:pStyle w:val="List"/>
              <w:rPr>
                <w:lang w:val="en-NZ"/>
              </w:rPr>
            </w:pPr>
            <w:r w:rsidRPr="000927FD">
              <w:t>2.4</w:t>
            </w:r>
            <w:r w:rsidRPr="000927FD">
              <w:tab/>
              <w:t>Determination is made regarding what types of duty applies to the goods</w:t>
            </w:r>
          </w:p>
        </w:tc>
      </w:tr>
      <w:tr w:rsidTr="00A3681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27FD">
            <w:pPr>
              <w:pStyle w:val="List"/>
              <w:rPr>
                <w:lang w:val="en-NZ"/>
              </w:rPr>
            </w:pPr>
            <w:r w:rsidRPr="000927FD">
              <w:rPr>
                <w:rStyle w:val="SpecialBold"/>
              </w:rPr>
              <w:t>3</w:t>
            </w:r>
            <w:r w:rsidRPr="000927FD">
              <w:tab/>
            </w:r>
            <w:r w:rsidRPr="000927FD">
              <w:rPr>
                <w:rStyle w:val="SpecialBold"/>
              </w:rPr>
              <w:t xml:space="preserve">Interpret concessional rates of duty according </w:t>
            </w:r>
            <w:r w:rsidRPr="000927FD">
              <w:rPr>
                <w:rStyle w:val="SpecialBold"/>
              </w:rPr>
              <w:t>to the Customs Tariff Act 1995</w:t>
            </w:r>
          </w:p>
        </w:tc>
        <w:tc>
          <w:tcPr>
            <w:tcW w:w="6662" w:type="dxa"/>
            <w:tcBorders>
              <w:top w:val="nil"/>
              <w:left w:val="nil"/>
              <w:bottom w:val="nil"/>
              <w:right w:val="nil"/>
            </w:tcBorders>
            <w:tcMar>
              <w:top w:w="0" w:type="dxa"/>
              <w:left w:w="62" w:type="dxa"/>
              <w:bottom w:w="0" w:type="dxa"/>
              <w:right w:w="62" w:type="dxa"/>
            </w:tcMar>
          </w:tcPr>
          <w:p w:rsidR="00000000" w:rsidRPr="000927FD" w:rsidP="000927FD">
            <w:pPr>
              <w:pStyle w:val="List"/>
            </w:pPr>
            <w:r w:rsidRPr="000927FD">
              <w:t>3.1</w:t>
            </w:r>
            <w:r w:rsidRPr="000927FD">
              <w:tab/>
              <w:t>Interpretative rules of Schedule 2 of the Customs Tariff Act 1995 are applied</w:t>
            </w:r>
          </w:p>
          <w:p w:rsidR="00000000" w:rsidRPr="000927FD" w:rsidP="000927FD">
            <w:pPr>
              <w:pStyle w:val="List"/>
            </w:pPr>
            <w:r w:rsidRPr="000927FD">
              <w:t>3.2</w:t>
            </w:r>
            <w:r w:rsidRPr="000927FD">
              <w:tab/>
              <w:t>Duty concession AusIndustry assistance schemes are applied to the goods</w:t>
            </w:r>
          </w:p>
          <w:p w:rsidR="00000000" w:rsidP="000927FD">
            <w:pPr>
              <w:pStyle w:val="List"/>
              <w:rPr>
                <w:lang w:val="en-NZ"/>
              </w:rPr>
            </w:pPr>
            <w:r w:rsidRPr="000927FD">
              <w:t>3.3</w:t>
            </w:r>
            <w:r w:rsidRPr="000927FD">
              <w:tab/>
              <w:t>The relevant tariff concession order is interpreted</w:t>
            </w:r>
          </w:p>
        </w:tc>
      </w:tr>
      <w:tr w:rsidTr="00A3681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27FD">
            <w:pPr>
              <w:pStyle w:val="List"/>
              <w:rPr>
                <w:lang w:val="en-NZ"/>
              </w:rPr>
            </w:pPr>
            <w:r w:rsidRPr="000927FD">
              <w:rPr>
                <w:rStyle w:val="SpecialBold"/>
              </w:rPr>
              <w:t>4</w:t>
            </w:r>
            <w:r w:rsidRPr="000927FD">
              <w:tab/>
            </w:r>
            <w:r w:rsidRPr="000927FD">
              <w:rPr>
                <w:rStyle w:val="SpecialBold"/>
              </w:rPr>
              <w:t>Calculat</w:t>
            </w:r>
            <w:r w:rsidRPr="000927FD">
              <w:rPr>
                <w:rStyle w:val="SpecialBold"/>
              </w:rPr>
              <w:t>e duty amount</w:t>
            </w:r>
          </w:p>
        </w:tc>
        <w:tc>
          <w:tcPr>
            <w:tcW w:w="6662" w:type="dxa"/>
            <w:tcBorders>
              <w:top w:val="nil"/>
              <w:left w:val="nil"/>
              <w:bottom w:val="nil"/>
              <w:right w:val="nil"/>
            </w:tcBorders>
            <w:tcMar>
              <w:top w:w="0" w:type="dxa"/>
              <w:left w:w="62" w:type="dxa"/>
              <w:bottom w:w="0" w:type="dxa"/>
              <w:right w:w="62" w:type="dxa"/>
            </w:tcMar>
          </w:tcPr>
          <w:p w:rsidR="00000000" w:rsidRPr="000927FD" w:rsidP="000927FD">
            <w:pPr>
              <w:pStyle w:val="List"/>
            </w:pPr>
            <w:r w:rsidRPr="000927FD">
              <w:t>4.1</w:t>
            </w:r>
            <w:r w:rsidRPr="000927FD">
              <w:tab/>
              <w:t>The duty amount payable is calculated</w:t>
            </w:r>
          </w:p>
          <w:p w:rsidR="00000000" w:rsidRPr="000927FD" w:rsidP="000927FD">
            <w:pPr>
              <w:pStyle w:val="List"/>
            </w:pPr>
            <w:r w:rsidRPr="000927FD">
              <w:t>4.2</w:t>
            </w:r>
            <w:r w:rsidRPr="000927FD">
              <w:tab/>
              <w:t>Accuracy of the duty calculation is verified</w:t>
            </w:r>
          </w:p>
          <w:p w:rsidR="00000000" w:rsidRPr="000927FD" w:rsidP="000927FD">
            <w:pPr>
              <w:pStyle w:val="List"/>
            </w:pPr>
            <w:r w:rsidRPr="000927FD">
              <w:t>4.3</w:t>
            </w:r>
            <w:r w:rsidRPr="000927FD">
              <w:tab/>
              <w:t>INCOTERMS 2000 relevant to the invoice are identified</w:t>
            </w:r>
          </w:p>
          <w:p w:rsidR="00000000" w:rsidP="000927FD">
            <w:pPr>
              <w:pStyle w:val="List"/>
              <w:rPr>
                <w:lang w:val="en-NZ"/>
              </w:rPr>
            </w:pPr>
            <w:r w:rsidRPr="000927FD">
              <w:t>4.4</w:t>
            </w:r>
            <w:r w:rsidRPr="000927FD">
              <w:tab/>
              <w:t>Determination is made as to whether and when duty is payable</w:t>
            </w:r>
          </w:p>
        </w:tc>
      </w:tr>
      <w:tr w:rsidTr="00A3681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27FD">
            <w:pPr>
              <w:pStyle w:val="List"/>
              <w:rPr>
                <w:lang w:val="en-NZ"/>
              </w:rPr>
            </w:pPr>
            <w:r w:rsidRPr="000927FD">
              <w:rPr>
                <w:rStyle w:val="SpecialBold"/>
              </w:rPr>
              <w:t>5</w:t>
            </w:r>
            <w:r w:rsidRPr="000927FD">
              <w:tab/>
            </w:r>
            <w:r w:rsidRPr="000927FD">
              <w:rPr>
                <w:rStyle w:val="SpecialBold"/>
              </w:rPr>
              <w:t>Follow documentation requ</w:t>
            </w:r>
            <w:r w:rsidRPr="000927FD">
              <w:rPr>
                <w:rStyle w:val="SpecialBold"/>
              </w:rPr>
              <w:t>irements</w:t>
            </w:r>
          </w:p>
        </w:tc>
        <w:tc>
          <w:tcPr>
            <w:tcW w:w="6662" w:type="dxa"/>
            <w:tcBorders>
              <w:top w:val="nil"/>
              <w:left w:val="nil"/>
              <w:bottom w:val="nil"/>
              <w:right w:val="nil"/>
            </w:tcBorders>
            <w:tcMar>
              <w:top w:w="0" w:type="dxa"/>
              <w:left w:w="62" w:type="dxa"/>
              <w:bottom w:w="0" w:type="dxa"/>
              <w:right w:w="62" w:type="dxa"/>
            </w:tcMar>
          </w:tcPr>
          <w:p w:rsidR="00000000" w:rsidRPr="000927FD" w:rsidP="000927FD">
            <w:pPr>
              <w:pStyle w:val="List"/>
            </w:pPr>
            <w:r w:rsidRPr="000927FD">
              <w:t>5.1</w:t>
            </w:r>
            <w:r w:rsidRPr="000927FD">
              <w:tab/>
              <w:t>Relevant documentation is passed on to the client</w:t>
            </w:r>
          </w:p>
          <w:p w:rsidR="00000000" w:rsidRPr="000927FD" w:rsidP="000927FD">
            <w:pPr>
              <w:pStyle w:val="List"/>
            </w:pPr>
            <w:r w:rsidRPr="000927FD">
              <w:t>5.2</w:t>
            </w:r>
            <w:r w:rsidRPr="000927FD">
              <w:tab/>
              <w:t>Completed documentation is retained by relevant personnel in the enterprise in accordance with the requirements of Customs and related legislation and workplace procedures</w:t>
            </w:r>
          </w:p>
        </w:tc>
      </w:tr>
    </w:tbl>
    <w:p w:rsidR="00A3681B" w:rsidP="000927FD">
      <w:pPr>
        <w:pStyle w:val="BodyText"/>
      </w:pPr>
    </w:p>
    <w:p w:rsidR="00A3681B" w:rsidP="000927FD">
      <w:pPr>
        <w:pStyle w:val="BodyText"/>
      </w:pPr>
    </w:p>
    <w:p w:rsidR="00000000" w:rsidRPr="000927FD" w:rsidP="000927FD">
      <w:pPr>
        <w:pStyle w:val="Heading1"/>
      </w:pPr>
      <w:bookmarkStart w:id="9" w:name="O_262771"/>
      <w:bookmarkEnd w:id="9"/>
      <w:r w:rsidRPr="000927FD">
        <w:t>Required Skills and Knowledge</w:t>
      </w:r>
    </w:p>
    <w:tbl>
      <w:tblPr>
        <w:tblW w:w="9640" w:type="dxa"/>
        <w:tblLayout w:type="fixed"/>
        <w:tblCellMar>
          <w:left w:w="62" w:type="dxa"/>
          <w:right w:w="62" w:type="dxa"/>
        </w:tblCellMar>
        <w:tblLook w:val="0000"/>
      </w:tblPr>
      <w:tblGrid>
        <w:gridCol w:w="9640"/>
      </w:tblGrid>
      <w:tr w:rsidTr="00A3681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927FD">
            <w:pPr>
              <w:pStyle w:val="BodyText"/>
              <w:rPr>
                <w:lang w:val="en-NZ"/>
              </w:rPr>
            </w:pPr>
            <w:r w:rsidRPr="000927FD">
              <w:rPr>
                <w:rStyle w:val="SpecialBold"/>
              </w:rPr>
              <w:t>REQUIRED KNOWLEDGE AND SKILLS</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BodyText"/>
              <w:rPr>
                <w:lang w:val="en-NZ"/>
              </w:rPr>
            </w:pPr>
            <w:r w:rsidRPr="000927FD">
              <w:t>This describes the essential knowledge and skills and their level required for this unit.</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BodyText"/>
              <w:rPr>
                <w:lang w:val="en-NZ"/>
              </w:rPr>
            </w:pPr>
            <w:r w:rsidRPr="000927FD">
              <w:rPr>
                <w:rStyle w:val="SpecialBold"/>
              </w:rPr>
              <w:t>Required knowledge</w:t>
            </w:r>
            <w:r w:rsidRPr="000927FD">
              <w:t>:</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Customs Tarrif Act 1995 and regulations as they relate to refunds, remissi</w:t>
            </w:r>
            <w:r w:rsidRPr="000927FD">
              <w:t>ons and drawbacks</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The structure and application of anti-dumping laws in Australia</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Differences between the Tariff Concession (TCS) from the By-Law System and other industry assistance initiatives</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The use of the Penalties and Infringement Notice Scheme</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The various forms and functions of securities and temporary importations</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Recovery of shortpaid duties</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The procedures in Payments Under Protest</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Seizure, Forfeitrure and Condemnation as it relates to customs clearance practices</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Requirements for pr</w:t>
            </w:r>
            <w:r w:rsidRPr="000927FD">
              <w:t>eferential treatment of goods under free trade agreements or preferential trade agreements</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Sources of information on new developments in customs clearance practices</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 xml:space="preserve">Ways of learning the skills and knowledge required for new developments in customs </w:t>
            </w:r>
            <w:r w:rsidRPr="000927FD">
              <w:t>clearance practices</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Procedures for operating electronic communications equipment</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Requirements for completing relevant documentation</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Code of practice for working collaboratively with others</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927FD" w:rsidP="000927FD">
            <w:pPr>
              <w:pStyle w:val="ListBullet"/>
            </w:pPr>
            <w:r w:rsidRPr="000927FD">
              <w:t>Steps involved in planning the work activities</w:t>
            </w:r>
          </w:p>
        </w:tc>
      </w:tr>
    </w:tbl>
    <w:p w:rsidR="00000000" w:rsidRPr="000927FD" w:rsidP="000927FD">
      <w:pPr>
        <w:pStyle w:val="BodyText"/>
      </w:pPr>
    </w:p>
    <w:tbl>
      <w:tblPr>
        <w:tblW w:w="9640" w:type="dxa"/>
        <w:tblLayout w:type="fixed"/>
        <w:tblCellMar>
          <w:left w:w="62" w:type="dxa"/>
          <w:right w:w="62" w:type="dxa"/>
        </w:tblCellMar>
        <w:tblLook w:val="0000"/>
      </w:tblPr>
      <w:tblGrid>
        <w:gridCol w:w="9640"/>
      </w:tblGrid>
      <w:tr w:rsidTr="00A3681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927FD">
            <w:pPr>
              <w:pStyle w:val="BodyText"/>
              <w:rPr>
                <w:lang w:val="en-NZ"/>
              </w:rPr>
            </w:pPr>
            <w:r w:rsidRPr="000927FD">
              <w:rPr>
                <w:rStyle w:val="SpecialBold"/>
              </w:rPr>
              <w:t>Required s</w:t>
            </w:r>
            <w:r w:rsidRPr="000927FD">
              <w:rPr>
                <w:rStyle w:val="SpecialBold"/>
              </w:rPr>
              <w:t>kills</w:t>
            </w:r>
            <w:r w:rsidRPr="000927FD">
              <w:t>:</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Negotiate, communicate and liaise effectively with customers and others</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Select and use relevant computer/communication/office equipment when carrying out customs clearance operations</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Rea</w:t>
            </w:r>
            <w:r w:rsidRPr="000927FD">
              <w:t>d and interpret instructions, procedures and information relevant to customs clearance practices</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Complete documentation related to work activities</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Work collaboratively as part of a customs broking team</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Present information using appropriate media and technology</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Identify, interpret and learn skills and knowledge required for relevant new developments in freight services</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Plan and organise work activities when carrying out customs clearance operations</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Deal with routine issues that may arise when carrying out customs clearance operations</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Modify activities depending on differing workplace contexts, risk situations and environments, including taking appropriate initiatives within allowable limits</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Adapt</w:t>
            </w:r>
            <w:r w:rsidRPr="000927FD">
              <w:t xml:space="preserve"> appropriately to cultural differences in the workplace, including modes of behaviour and interactions with others</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Promptly report and/or rectify any identified problems, faults or malfunctions in accordance with regulatory requirements and workplace pro</w:t>
            </w:r>
            <w:r w:rsidRPr="000927FD">
              <w:t>cedures</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27FD">
            <w:pPr>
              <w:pStyle w:val="ListBullet"/>
              <w:rPr>
                <w:lang w:val="en-NZ"/>
              </w:rPr>
            </w:pPr>
            <w:r w:rsidRPr="000927FD">
              <w:t>Monitor work activities in terms of planned schedule</w:t>
            </w:r>
          </w:p>
        </w:tc>
      </w:tr>
      <w:tr w:rsidTr="00A368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927FD" w:rsidP="000927FD">
            <w:pPr>
              <w:pStyle w:val="ListBullet"/>
            </w:pPr>
            <w:r w:rsidRPr="000927FD">
              <w:t>Implement contingency plans for unplanned events</w:t>
            </w:r>
          </w:p>
        </w:tc>
      </w:tr>
    </w:tbl>
    <w:p w:rsidR="00A3681B" w:rsidP="000927FD">
      <w:pPr>
        <w:pStyle w:val="BodyText"/>
      </w:pPr>
    </w:p>
    <w:p w:rsidR="00A3681B" w:rsidP="000927FD">
      <w:pPr>
        <w:pStyle w:val="BodyText"/>
      </w:pPr>
    </w:p>
    <w:p w:rsidR="00000000" w:rsidRPr="000927FD" w:rsidP="000927FD">
      <w:pPr>
        <w:pStyle w:val="Heading1"/>
      </w:pPr>
      <w:bookmarkStart w:id="10" w:name="O_246964"/>
      <w:bookmarkEnd w:id="10"/>
      <w:r w:rsidRPr="000927FD">
        <w:t>Evidence Guide</w:t>
      </w:r>
    </w:p>
    <w:tbl>
      <w:tblPr>
        <w:tblW w:w="9499" w:type="dxa"/>
        <w:tblLayout w:type="fixed"/>
        <w:tblCellMar>
          <w:left w:w="62" w:type="dxa"/>
          <w:right w:w="62" w:type="dxa"/>
        </w:tblCellMar>
        <w:tblLook w:val="0000"/>
      </w:tblPr>
      <w:tblGrid>
        <w:gridCol w:w="3524"/>
        <w:gridCol w:w="5975"/>
      </w:tblGrid>
      <w:tr w:rsidTr="00A3681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927FD">
            <w:pPr>
              <w:pStyle w:val="BodyText"/>
              <w:rPr>
                <w:lang w:val="en-NZ"/>
              </w:rPr>
            </w:pPr>
            <w:r w:rsidRPr="000927FD">
              <w:rPr>
                <w:rStyle w:val="SpecialBold"/>
              </w:rPr>
              <w:t>EVIDENCE GUIDE</w:t>
            </w:r>
          </w:p>
        </w:tc>
      </w:tr>
      <w:tr w:rsidTr="00A3681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927FD">
            <w:pPr>
              <w:pStyle w:val="BodyText"/>
              <w:rPr>
                <w:lang w:val="en-NZ"/>
              </w:rPr>
            </w:pPr>
            <w:r w:rsidRPr="000927FD">
              <w:t>The evidence guide provides advice on assessment and must be read in conjunction with the performance criteria, required knowledge and skills, the range statement and the assessment guidelines for this Training Package.</w:t>
            </w:r>
          </w:p>
        </w:tc>
      </w:tr>
      <w:tr w:rsidTr="00A3681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927FD">
            <w:pPr>
              <w:pStyle w:val="BodyText"/>
              <w:rPr>
                <w:lang w:val="en-NZ"/>
              </w:rPr>
            </w:pPr>
            <w:r w:rsidRPr="000927FD">
              <w:rPr>
                <w:rStyle w:val="SpecialBold"/>
              </w:rPr>
              <w:t>Critical aspects for assessment an</w:t>
            </w:r>
            <w:r w:rsidRPr="000927FD">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927FD" w:rsidP="000927FD">
            <w:pPr>
              <w:pStyle w:val="ListBullet"/>
            </w:pPr>
            <w:r w:rsidRPr="000927FD">
              <w:t>The evidence required to demonstrate competency in this unit must be relevant to and satisfy all of the requirements of the elements and performance criteria of this unit and include demonstration</w:t>
            </w:r>
            <w:r w:rsidRPr="000927FD">
              <w:t xml:space="preserve"> of applying:</w:t>
            </w:r>
          </w:p>
          <w:p w:rsidR="00000000" w:rsidRPr="000927FD" w:rsidP="000927FD">
            <w:pPr>
              <w:pStyle w:val="ListBullet2"/>
            </w:pPr>
            <w:r w:rsidRPr="000927FD">
              <w:t>the underpinning knowledge and skills</w:t>
            </w:r>
          </w:p>
          <w:p w:rsidR="00000000" w:rsidRPr="000927FD" w:rsidP="000927FD">
            <w:pPr>
              <w:pStyle w:val="ListBullet2"/>
            </w:pPr>
            <w:r w:rsidRPr="000927FD">
              <w:t>relevant legislation and workplace procedures</w:t>
            </w:r>
          </w:p>
          <w:p w:rsidR="00000000" w:rsidP="000927FD">
            <w:pPr>
              <w:pStyle w:val="ListBullet2"/>
              <w:rPr>
                <w:lang w:val="en-NZ"/>
              </w:rPr>
            </w:pPr>
            <w:r w:rsidRPr="000927FD">
              <w:t>other relevant aspects of the range statement</w:t>
            </w:r>
          </w:p>
        </w:tc>
      </w:tr>
      <w:tr w:rsidTr="00A3681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927FD">
            <w:pPr>
              <w:pStyle w:val="BodyText"/>
              <w:rPr>
                <w:lang w:val="en-NZ"/>
              </w:rPr>
            </w:pPr>
            <w:r w:rsidRPr="000927F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927FD" w:rsidP="000927FD">
            <w:pPr>
              <w:pStyle w:val="ListBullet"/>
            </w:pPr>
            <w:r w:rsidRPr="000927FD">
              <w:t>Performance is demonstrated consistently over a period of time and in a suitable range of contexts</w:t>
            </w:r>
          </w:p>
          <w:p w:rsidR="00000000" w:rsidRPr="000927FD" w:rsidP="000927FD">
            <w:pPr>
              <w:pStyle w:val="ListBullet"/>
            </w:pPr>
            <w:r w:rsidRPr="000927FD">
              <w:t>Resources for assessment include:</w:t>
            </w:r>
          </w:p>
          <w:p w:rsidR="00000000" w:rsidRPr="000927FD" w:rsidP="000927FD">
            <w:pPr>
              <w:pStyle w:val="ListBullet2"/>
            </w:pPr>
            <w:r w:rsidRPr="000927FD">
              <w:t>a range of relevant exercises, case studies and/or other simulated practical and knowledge assessment, and/or</w:t>
            </w:r>
          </w:p>
          <w:p w:rsidR="00000000" w:rsidRPr="000927FD" w:rsidP="000927FD">
            <w:pPr>
              <w:pStyle w:val="ListBullet2"/>
            </w:pPr>
            <w:r w:rsidRPr="000927FD">
              <w:t>access to an appropriate range of relevant operational situations in the workplace</w:t>
            </w:r>
          </w:p>
          <w:p w:rsidR="00000000" w:rsidRPr="000927FD" w:rsidP="000927FD">
            <w:pPr>
              <w:pStyle w:val="ListBullet"/>
            </w:pPr>
            <w:r w:rsidRPr="000927FD">
              <w:t>In both real and simulated environments, access is required to:</w:t>
            </w:r>
          </w:p>
          <w:p w:rsidR="00000000" w:rsidRPr="000927FD" w:rsidP="000927FD">
            <w:pPr>
              <w:pStyle w:val="ListBullet2"/>
            </w:pPr>
            <w:r w:rsidRPr="000927FD">
              <w:t>relevant and appropriate materials and equipment, and</w:t>
            </w:r>
          </w:p>
          <w:p w:rsidR="00000000" w:rsidP="000927FD">
            <w:pPr>
              <w:pStyle w:val="ListBullet2"/>
              <w:rPr>
                <w:lang w:val="en-NZ"/>
              </w:rPr>
            </w:pPr>
            <w:r w:rsidRPr="000927FD">
              <w:t>applicable documentation including workplace procedur</w:t>
            </w:r>
            <w:r w:rsidRPr="000927FD">
              <w:t>es, regulations, codes of practice and operation manuals</w:t>
            </w:r>
          </w:p>
        </w:tc>
      </w:tr>
      <w:tr w:rsidTr="00A3681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927FD">
            <w:pPr>
              <w:pStyle w:val="BodyText"/>
              <w:rPr>
                <w:lang w:val="en-NZ"/>
              </w:rPr>
            </w:pPr>
            <w:r w:rsidRPr="000927F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927FD" w:rsidP="000927FD">
            <w:pPr>
              <w:pStyle w:val="ListBullet"/>
            </w:pPr>
            <w:r w:rsidRPr="000927FD">
              <w:t>Assessment of this unit must be undertaken by a registered training organisation</w:t>
            </w:r>
          </w:p>
          <w:p w:rsidR="00000000" w:rsidRPr="000927FD" w:rsidP="000927FD">
            <w:pPr>
              <w:pStyle w:val="ListBullet"/>
            </w:pPr>
            <w:r w:rsidRPr="000927FD">
              <w:t>As a minimum, assessment of knowledge must be conducted through appropriate written/oral tests</w:t>
            </w:r>
          </w:p>
          <w:p w:rsidR="00000000" w:rsidRPr="000927FD" w:rsidP="000927FD">
            <w:pPr>
              <w:pStyle w:val="ListBullet"/>
            </w:pPr>
            <w:r w:rsidRPr="000927FD">
              <w:t>Practical assessment must occur:</w:t>
            </w:r>
          </w:p>
          <w:p w:rsidR="00000000" w:rsidRPr="000927FD" w:rsidP="000927FD">
            <w:pPr>
              <w:pStyle w:val="ListBullet2"/>
            </w:pPr>
            <w:r w:rsidRPr="000927FD">
              <w:t>through activities in an appropriately simulated environment at the registered training organisation, and/or</w:t>
            </w:r>
          </w:p>
          <w:p w:rsidR="00000000" w:rsidRPr="000927FD" w:rsidP="000927FD">
            <w:pPr>
              <w:pStyle w:val="ListBullet2"/>
            </w:pPr>
            <w:r w:rsidRPr="000927FD">
              <w:t>in an appropriate range of situations in the workplace</w:t>
            </w:r>
          </w:p>
        </w:tc>
      </w:tr>
    </w:tbl>
    <w:p w:rsidR="00A3681B" w:rsidP="000927FD">
      <w:pPr>
        <w:pStyle w:val="BodyText"/>
      </w:pPr>
    </w:p>
    <w:p w:rsidR="00A3681B" w:rsidP="000927FD">
      <w:pPr>
        <w:pStyle w:val="BodyText"/>
      </w:pPr>
    </w:p>
    <w:p w:rsidR="00000000" w:rsidRPr="000927FD" w:rsidP="000927FD">
      <w:pPr>
        <w:pStyle w:val="Heading1"/>
      </w:pPr>
      <w:bookmarkStart w:id="11" w:name="O_254947"/>
      <w:bookmarkEnd w:id="11"/>
      <w:r w:rsidRPr="000927FD">
        <w:t>Range Statement</w:t>
      </w:r>
    </w:p>
    <w:tbl>
      <w:tblPr>
        <w:tblW w:w="9640" w:type="dxa"/>
        <w:tblLayout w:type="fixed"/>
        <w:tblCellMar>
          <w:left w:w="62" w:type="dxa"/>
          <w:right w:w="62" w:type="dxa"/>
        </w:tblCellMar>
        <w:tblLook w:val="0000"/>
      </w:tblPr>
      <w:tblGrid>
        <w:gridCol w:w="3486"/>
        <w:gridCol w:w="6154"/>
      </w:tblGrid>
      <w:tr w:rsidTr="00A3681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927FD">
            <w:pPr>
              <w:pStyle w:val="BodyText"/>
              <w:rPr>
                <w:lang w:val="en-NZ"/>
              </w:rPr>
            </w:pPr>
            <w:r w:rsidRPr="000927FD">
              <w:rPr>
                <w:rStyle w:val="SpecialBold"/>
              </w:rPr>
              <w:t>RANGE STATEMENT</w:t>
            </w:r>
            <w:r w:rsidRPr="000927FD">
              <w:t xml:space="preserve"> </w:t>
            </w:r>
          </w:p>
        </w:tc>
      </w:tr>
      <w:tr w:rsidTr="00A3681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927FD">
            <w:pPr>
              <w:pStyle w:val="BodyText"/>
              <w:rPr>
                <w:lang w:val="en-NZ"/>
              </w:rPr>
            </w:pPr>
            <w:r w:rsidRPr="000927FD">
              <w:t>The range statement relates to the unit of competency as a whole. It allows for different work environments and situations that may affect performance.</w:t>
            </w:r>
          </w:p>
        </w:tc>
      </w:tr>
      <w:tr w:rsidTr="00A3681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27FD">
            <w:pPr>
              <w:pStyle w:val="BodyText"/>
              <w:rPr>
                <w:lang w:val="en-NZ"/>
              </w:rPr>
            </w:pPr>
            <w:r w:rsidRPr="000927FD">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0927FD" w:rsidP="000927FD">
            <w:pPr>
              <w:pStyle w:val="ListBullet"/>
            </w:pPr>
            <w:r w:rsidRPr="000927FD">
              <w:t>standard operating procedures (SOPs)</w:t>
            </w:r>
          </w:p>
          <w:p w:rsidR="00000000" w:rsidRPr="000927FD" w:rsidP="000927FD">
            <w:pPr>
              <w:pStyle w:val="ListBullet"/>
            </w:pPr>
            <w:r w:rsidRPr="000927FD">
              <w:t>company procedures</w:t>
            </w:r>
          </w:p>
          <w:p w:rsidR="00000000" w:rsidRPr="000927FD" w:rsidP="000927FD">
            <w:pPr>
              <w:pStyle w:val="ListBullet"/>
            </w:pPr>
            <w:r w:rsidRPr="000927FD">
              <w:t>enterprise procedures</w:t>
            </w:r>
          </w:p>
          <w:p w:rsidR="00000000" w:rsidRPr="000927FD" w:rsidP="000927FD">
            <w:pPr>
              <w:pStyle w:val="ListBullet"/>
            </w:pPr>
            <w:r w:rsidRPr="000927FD">
              <w:t>organisational procedures</w:t>
            </w:r>
          </w:p>
          <w:p w:rsidR="00000000" w:rsidP="000927FD">
            <w:pPr>
              <w:pStyle w:val="ListBullet"/>
              <w:rPr>
                <w:lang w:val="en-NZ"/>
              </w:rPr>
            </w:pPr>
            <w:r w:rsidRPr="000927FD">
              <w:t>established procedures</w:t>
            </w:r>
          </w:p>
        </w:tc>
      </w:tr>
      <w:tr w:rsidTr="00A3681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27FD">
            <w:pPr>
              <w:pStyle w:val="BodyText"/>
              <w:rPr>
                <w:lang w:val="en-NZ"/>
              </w:rPr>
            </w:pPr>
            <w:r w:rsidRPr="000927FD">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0927FD" w:rsidP="000927FD">
            <w:pPr>
              <w:pStyle w:val="ListBullet"/>
            </w:pPr>
            <w:r w:rsidRPr="000927FD">
              <w:t>phone</w:t>
            </w:r>
          </w:p>
          <w:p w:rsidR="00000000" w:rsidRPr="000927FD" w:rsidP="000927FD">
            <w:pPr>
              <w:pStyle w:val="ListBullet"/>
            </w:pPr>
            <w:r w:rsidRPr="000927FD">
              <w:t>electronic data interchange (EDI)</w:t>
            </w:r>
          </w:p>
          <w:p w:rsidR="00000000" w:rsidRPr="000927FD" w:rsidP="000927FD">
            <w:pPr>
              <w:pStyle w:val="ListBullet"/>
            </w:pPr>
            <w:r w:rsidRPr="000927FD">
              <w:t>fax</w:t>
            </w:r>
          </w:p>
          <w:p w:rsidR="00000000" w:rsidRPr="000927FD" w:rsidP="000927FD">
            <w:pPr>
              <w:pStyle w:val="ListBullet"/>
            </w:pPr>
            <w:r w:rsidRPr="000927FD">
              <w:t>email</w:t>
            </w:r>
          </w:p>
          <w:p w:rsidR="00000000" w:rsidRPr="000927FD" w:rsidP="000927FD">
            <w:pPr>
              <w:pStyle w:val="ListBullet"/>
            </w:pPr>
            <w:r w:rsidRPr="000927FD">
              <w:t>internet</w:t>
            </w:r>
          </w:p>
          <w:p w:rsidR="00000000" w:rsidRPr="000927FD" w:rsidP="000927FD">
            <w:pPr>
              <w:pStyle w:val="ListBullet"/>
            </w:pPr>
            <w:r w:rsidRPr="000927FD">
              <w:t>RF systems</w:t>
            </w:r>
          </w:p>
          <w:p w:rsidR="00000000" w:rsidP="000927FD">
            <w:pPr>
              <w:pStyle w:val="ListBullet"/>
              <w:rPr>
                <w:lang w:val="en-NZ"/>
              </w:rPr>
            </w:pPr>
            <w:r w:rsidRPr="000927FD">
              <w:t>oral, aural or signed communications</w:t>
            </w:r>
          </w:p>
        </w:tc>
      </w:tr>
      <w:tr w:rsidTr="00A3681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27FD">
            <w:pPr>
              <w:pStyle w:val="BodyText"/>
              <w:rPr>
                <w:lang w:val="en-NZ"/>
              </w:rPr>
            </w:pPr>
            <w:r w:rsidRPr="000927FD">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0927FD" w:rsidP="000927FD">
            <w:pPr>
              <w:pStyle w:val="ListBullet"/>
            </w:pPr>
            <w:r w:rsidRPr="000927FD">
              <w:t>other employees and supervisors</w:t>
            </w:r>
          </w:p>
          <w:p w:rsidR="00000000" w:rsidRPr="000927FD" w:rsidP="000927FD">
            <w:pPr>
              <w:pStyle w:val="ListBullet"/>
            </w:pPr>
            <w:r w:rsidRPr="000927FD">
              <w:t>relevant authorities and institutions</w:t>
            </w:r>
          </w:p>
          <w:p w:rsidR="00000000" w:rsidRPr="000927FD" w:rsidP="000927FD">
            <w:pPr>
              <w:pStyle w:val="ListBullet"/>
            </w:pPr>
            <w:r w:rsidRPr="000927FD">
              <w:t>management and union representatives</w:t>
            </w:r>
          </w:p>
          <w:p w:rsidR="00000000" w:rsidP="000927FD">
            <w:pPr>
              <w:pStyle w:val="ListBullet"/>
              <w:rPr>
                <w:lang w:val="en-NZ"/>
              </w:rPr>
            </w:pPr>
            <w:r w:rsidRPr="000927FD">
              <w:t>industrial relations and OH&amp;S specialists</w:t>
            </w:r>
          </w:p>
        </w:tc>
      </w:tr>
      <w:tr w:rsidTr="00A3681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27FD">
            <w:pPr>
              <w:pStyle w:val="BodyText"/>
              <w:rPr>
                <w:lang w:val="en-NZ"/>
              </w:rPr>
            </w:pPr>
            <w:r w:rsidRPr="000927FD">
              <w:t>Documentation and records may i</w:t>
            </w:r>
            <w:r w:rsidRPr="000927FD">
              <w:t>nclude:</w:t>
            </w:r>
          </w:p>
        </w:tc>
        <w:tc>
          <w:tcPr>
            <w:tcW w:w="6154" w:type="dxa"/>
            <w:tcBorders>
              <w:top w:val="nil"/>
              <w:left w:val="nil"/>
              <w:bottom w:val="nil"/>
              <w:right w:val="nil"/>
            </w:tcBorders>
            <w:tcMar>
              <w:top w:w="0" w:type="dxa"/>
              <w:left w:w="62" w:type="dxa"/>
              <w:bottom w:w="0" w:type="dxa"/>
              <w:right w:w="62" w:type="dxa"/>
            </w:tcMar>
          </w:tcPr>
          <w:p w:rsidR="00000000" w:rsidRPr="000927FD" w:rsidP="000927FD">
            <w:pPr>
              <w:pStyle w:val="ListBullet"/>
            </w:pPr>
            <w:r w:rsidRPr="000927FD">
              <w:t>customs and related legislation</w:t>
            </w:r>
          </w:p>
          <w:p w:rsidR="00000000" w:rsidRPr="000927FD" w:rsidP="000927FD">
            <w:pPr>
              <w:pStyle w:val="ListBullet"/>
            </w:pPr>
            <w:r w:rsidRPr="000927FD">
              <w:t>other regulatory requirements pertaining to border clearance functions</w:t>
            </w:r>
          </w:p>
          <w:p w:rsidR="00000000" w:rsidRPr="000927FD" w:rsidP="000927FD">
            <w:pPr>
              <w:pStyle w:val="ListBullet"/>
            </w:pPr>
            <w:r w:rsidRPr="000927FD">
              <w:t>relevant sections of the Australian Customs Manual</w:t>
            </w:r>
          </w:p>
          <w:p w:rsidR="00000000" w:rsidRPr="000927FD" w:rsidP="000927FD">
            <w:pPr>
              <w:pStyle w:val="ListBullet"/>
            </w:pPr>
            <w:r w:rsidRPr="000927FD">
              <w:t>dumping commodities register</w:t>
            </w:r>
          </w:p>
          <w:p w:rsidR="00000000" w:rsidRPr="000927FD" w:rsidP="000927FD">
            <w:pPr>
              <w:pStyle w:val="ListBullet"/>
            </w:pPr>
            <w:r w:rsidRPr="000927FD">
              <w:t>manifests, cartnotes, delivery notes, special clearances, consignment notes, authorised weighbridge certificates, and special clearances</w:t>
            </w:r>
          </w:p>
          <w:p w:rsidR="00000000" w:rsidRPr="000927FD" w:rsidP="000927FD">
            <w:pPr>
              <w:pStyle w:val="ListBullet"/>
            </w:pPr>
            <w:r w:rsidRPr="000927FD">
              <w:t>internal documentation used for border clearance functions</w:t>
            </w:r>
          </w:p>
          <w:p w:rsidR="00000000" w:rsidRPr="000927FD" w:rsidP="000927FD">
            <w:pPr>
              <w:pStyle w:val="ListBullet"/>
            </w:pPr>
            <w:r w:rsidRPr="000927FD">
              <w:t>workplace procedures and policies</w:t>
            </w:r>
          </w:p>
          <w:p w:rsidR="00000000" w:rsidRPr="000927FD" w:rsidP="000927FD">
            <w:pPr>
              <w:pStyle w:val="ListBullet"/>
            </w:pPr>
            <w:r w:rsidRPr="000927FD">
              <w:t>client instructions</w:t>
            </w:r>
          </w:p>
          <w:p w:rsidR="00000000" w:rsidRPr="000927FD" w:rsidP="000927FD">
            <w:pPr>
              <w:pStyle w:val="ListBullet"/>
            </w:pPr>
            <w:r w:rsidRPr="000927FD">
              <w:t>regula</w:t>
            </w:r>
            <w:r w:rsidRPr="000927FD">
              <w:t>tions and codes of practice relevant to ADG code, including safeworking and local authority regulations and procedures</w:t>
            </w:r>
          </w:p>
          <w:p w:rsidR="00000000" w:rsidRPr="000927FD" w:rsidP="000927FD">
            <w:pPr>
              <w:pStyle w:val="ListBullet"/>
            </w:pPr>
            <w:r w:rsidRPr="000927FD">
              <w:t>relevant OH&amp;S and environmental protection regulations</w:t>
            </w:r>
          </w:p>
          <w:p w:rsidR="00000000" w:rsidRPr="000927FD" w:rsidP="000927FD">
            <w:pPr>
              <w:pStyle w:val="ListBullet"/>
            </w:pPr>
            <w:r w:rsidRPr="000927FD">
              <w:t>dangerous goods declarations and material safety data sheets, where applicable</w:t>
            </w:r>
          </w:p>
          <w:p w:rsidR="00000000" w:rsidP="000927FD">
            <w:pPr>
              <w:pStyle w:val="ListBullet"/>
              <w:rPr>
                <w:lang w:val="en-NZ"/>
              </w:rPr>
            </w:pPr>
            <w:r w:rsidRPr="000927FD">
              <w:t>rel</w:t>
            </w:r>
            <w:r w:rsidRPr="000927FD">
              <w:t>evant Australian Standards and certification requirements</w:t>
            </w:r>
          </w:p>
        </w:tc>
      </w:tr>
      <w:tr w:rsidTr="00A3681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27FD">
            <w:pPr>
              <w:pStyle w:val="BodyText"/>
              <w:rPr>
                <w:lang w:val="en-NZ"/>
              </w:rPr>
            </w:pPr>
            <w:r w:rsidRPr="000927FD">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0927FD" w:rsidP="000927FD">
            <w:pPr>
              <w:pStyle w:val="ListBullet"/>
            </w:pPr>
            <w:r w:rsidRPr="000927FD">
              <w:t>Australian Customs Tariff Act 1995</w:t>
            </w:r>
          </w:p>
          <w:p w:rsidR="00000000" w:rsidRPr="000927FD" w:rsidP="000927FD">
            <w:pPr>
              <w:pStyle w:val="ListBullet"/>
            </w:pPr>
            <w:r w:rsidRPr="000927FD">
              <w:t>Australian and international regulations and codes of practice for the transport of dangerous goods and hazar</w:t>
            </w:r>
            <w:r w:rsidRPr="000927FD">
              <w:t>dous substances</w:t>
            </w:r>
          </w:p>
          <w:p w:rsidR="00000000" w:rsidRPr="000927FD" w:rsidP="000927FD">
            <w:pPr>
              <w:pStyle w:val="ListBullet"/>
            </w:pPr>
            <w:r w:rsidRPr="000927FD">
              <w:t>workplace relations regulations</w:t>
            </w:r>
          </w:p>
        </w:tc>
      </w:tr>
    </w:tbl>
    <w:p w:rsidR="00A3681B" w:rsidP="000927FD">
      <w:pPr>
        <w:pStyle w:val="BodyText"/>
      </w:pPr>
    </w:p>
    <w:p w:rsidR="00A3681B" w:rsidP="000927FD">
      <w:pPr>
        <w:pStyle w:val="BodyText"/>
      </w:pPr>
    </w:p>
    <w:p w:rsidR="00000000" w:rsidRPr="000927FD" w:rsidP="000927FD">
      <w:pPr>
        <w:pStyle w:val="Heading1"/>
      </w:pPr>
      <w:bookmarkStart w:id="12" w:name="O_295960"/>
      <w:bookmarkEnd w:id="12"/>
      <w:r w:rsidRPr="000927FD">
        <w:t>Unit Sector(s)</w:t>
      </w:r>
    </w:p>
    <w:p w:rsidR="00000000" w:rsidRPr="000927FD" w:rsidP="000927FD">
      <w:pPr>
        <w:pStyle w:val="BodyText"/>
      </w:pPr>
      <w:r w:rsidRPr="000927FD">
        <w:t>Not Applicable</w:t>
      </w:r>
    </w:p>
    <w:p w:rsidR="00000000" w:rsidRPr="000927FD" w:rsidP="000927FD">
      <w:pPr>
        <w:pStyle w:val="AllowPageBreak"/>
      </w:pPr>
    </w:p>
    <w:p w:rsidR="00000000" w:rsidRPr="000927FD" w:rsidP="000927FD">
      <w:pPr>
        <w:pStyle w:val="Heading1"/>
      </w:pPr>
      <w:bookmarkStart w:id="13" w:name="O_224129"/>
      <w:bookmarkEnd w:id="13"/>
      <w:r w:rsidRPr="000927FD">
        <w:t>Competency Field</w:t>
      </w:r>
    </w:p>
    <w:tbl>
      <w:tblPr>
        <w:tblW w:w="9640" w:type="dxa"/>
        <w:tblLayout w:type="fixed"/>
        <w:tblCellMar>
          <w:left w:w="62" w:type="dxa"/>
          <w:right w:w="62" w:type="dxa"/>
        </w:tblCellMar>
        <w:tblLook w:val="0000"/>
      </w:tblPr>
      <w:tblGrid>
        <w:gridCol w:w="2978"/>
        <w:gridCol w:w="6662"/>
      </w:tblGrid>
      <w:tr w:rsidTr="00A3681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927FD">
            <w:pPr>
              <w:pStyle w:val="BodyText"/>
              <w:rPr>
                <w:lang w:val="en-NZ"/>
              </w:rPr>
            </w:pPr>
            <w:r w:rsidRPr="000927FD">
              <w:rPr>
                <w:rStyle w:val="SpecialBold"/>
              </w:rPr>
              <w:t>Competency Field</w:t>
            </w:r>
            <w:r w:rsidRPr="000927FD">
              <w:t xml:space="preserve"> </w:t>
            </w:r>
          </w:p>
        </w:tc>
        <w:tc>
          <w:tcPr>
            <w:tcW w:w="6662" w:type="dxa"/>
            <w:tcBorders>
              <w:top w:val="nil"/>
              <w:left w:val="nil"/>
              <w:bottom w:val="nil"/>
              <w:right w:val="nil"/>
            </w:tcBorders>
            <w:tcMar>
              <w:top w:w="0" w:type="dxa"/>
              <w:left w:w="62" w:type="dxa"/>
              <w:bottom w:w="0" w:type="dxa"/>
              <w:right w:w="62" w:type="dxa"/>
            </w:tcMar>
          </w:tcPr>
          <w:p w:rsidR="00000000" w:rsidRPr="000927FD" w:rsidP="000927FD">
            <w:pPr>
              <w:pStyle w:val="BodyText"/>
            </w:pPr>
            <w:r w:rsidRPr="000927FD">
              <w:t>O - Security</w:t>
            </w:r>
          </w:p>
        </w:tc>
      </w:tr>
    </w:tbl>
    <w:p w:rsidR="00A3681B" w:rsidP="000927FD">
      <w:pPr>
        <w:pStyle w:val="BodyText"/>
      </w:pPr>
    </w:p>
    <w:p w:rsidR="00A3681B" w:rsidP="000927FD">
      <w:pPr>
        <w:pStyle w:val="BodyText"/>
      </w:pPr>
    </w:p>
    <w:p w:rsidR="00000000" w:rsidRPr="000927FD" w:rsidP="000927FD"/>
    <w:sectPr w:rsidSect="000927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681B" w:rsidP="00A368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81B" w:rsidP="000927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3681B" w:rsidP="000927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3681B" w:rsidP="000927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681B" w:rsidP="00A368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81B" w:rsidP="000927FD">
    <w:pPr>
      <w:pStyle w:val="Header"/>
      <w:framePr w:wrap="around"/>
    </w:pPr>
    <w:r>
      <w:fldChar w:fldCharType="begin"/>
    </w:r>
    <w:r>
      <w:instrText xml:space="preserve"> TITLE   \* MERGEFORMAT </w:instrText>
    </w:r>
    <w:r>
      <w:fldChar w:fldCharType="separate"/>
    </w:r>
    <w:r>
      <w:t>TLIO5018A Manage compliance with customs excise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681B" w:rsidP="000927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B28C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74B0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F457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7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27FD"/>
    <w:pPr>
      <w:spacing w:before="360" w:after="60"/>
      <w:outlineLvl w:val="0"/>
    </w:pPr>
    <w:rPr>
      <w:sz w:val="32"/>
    </w:rPr>
  </w:style>
  <w:style w:type="paragraph" w:styleId="Heading2">
    <w:name w:val="heading 2"/>
    <w:basedOn w:val="HeadingBase"/>
    <w:next w:val="BodyText"/>
    <w:link w:val="Heading2Char"/>
    <w:qFormat/>
    <w:rsid w:val="000927FD"/>
    <w:pPr>
      <w:keepLines/>
      <w:spacing w:before="240" w:after="120"/>
      <w:outlineLvl w:val="1"/>
    </w:pPr>
    <w:rPr>
      <w:sz w:val="28"/>
      <w:szCs w:val="40"/>
    </w:rPr>
  </w:style>
  <w:style w:type="paragraph" w:styleId="Heading3">
    <w:name w:val="heading 3"/>
    <w:basedOn w:val="HeadingBase"/>
    <w:next w:val="BodyText"/>
    <w:link w:val="Heading3Char"/>
    <w:qFormat/>
    <w:rsid w:val="000927FD"/>
    <w:pPr>
      <w:spacing w:before="180" w:after="120"/>
      <w:outlineLvl w:val="2"/>
    </w:pPr>
    <w:rPr>
      <w:spacing w:val="-10"/>
      <w:kern w:val="32"/>
    </w:rPr>
  </w:style>
  <w:style w:type="paragraph" w:styleId="Heading4">
    <w:name w:val="heading 4"/>
    <w:basedOn w:val="HeadingBase"/>
    <w:next w:val="BodyText"/>
    <w:link w:val="Heading4Char"/>
    <w:qFormat/>
    <w:rsid w:val="000927FD"/>
    <w:pPr>
      <w:spacing w:before="160" w:after="120"/>
      <w:outlineLvl w:val="3"/>
    </w:pPr>
    <w:rPr>
      <w:sz w:val="22"/>
    </w:rPr>
  </w:style>
  <w:style w:type="paragraph" w:styleId="Heading5">
    <w:name w:val="heading 5"/>
    <w:basedOn w:val="HeadingBase"/>
    <w:next w:val="Normal"/>
    <w:link w:val="Heading5Char"/>
    <w:qFormat/>
    <w:rsid w:val="000927FD"/>
    <w:pPr>
      <w:spacing w:before="80"/>
      <w:outlineLvl w:val="4"/>
    </w:pPr>
    <w:rPr>
      <w:color w:val="918585"/>
      <w:sz w:val="20"/>
    </w:rPr>
  </w:style>
  <w:style w:type="paragraph" w:styleId="Heading6">
    <w:name w:val="heading 6"/>
    <w:basedOn w:val="HeadingBase"/>
    <w:next w:val="Normal"/>
    <w:link w:val="Heading6Char"/>
    <w:qFormat/>
    <w:rsid w:val="000927FD"/>
    <w:pPr>
      <w:spacing w:before="60"/>
      <w:outlineLvl w:val="5"/>
    </w:pPr>
    <w:rPr>
      <w:color w:val="918585"/>
      <w:sz w:val="20"/>
    </w:rPr>
  </w:style>
  <w:style w:type="paragraph" w:styleId="Heading7">
    <w:name w:val="heading 7"/>
    <w:basedOn w:val="Normal"/>
    <w:next w:val="Normal"/>
    <w:link w:val="Heading7Char"/>
    <w:qFormat/>
    <w:rsid w:val="000927FD"/>
    <w:pPr>
      <w:ind w:left="720"/>
      <w:outlineLvl w:val="6"/>
    </w:pPr>
    <w:rPr>
      <w:i/>
    </w:rPr>
  </w:style>
  <w:style w:type="paragraph" w:styleId="Heading8">
    <w:name w:val="heading 8"/>
    <w:basedOn w:val="Normal"/>
    <w:next w:val="Normal"/>
    <w:link w:val="Heading8Char"/>
    <w:qFormat/>
    <w:rsid w:val="000927FD"/>
    <w:pPr>
      <w:ind w:left="720"/>
      <w:outlineLvl w:val="7"/>
    </w:pPr>
    <w:rPr>
      <w:i/>
    </w:rPr>
  </w:style>
  <w:style w:type="paragraph" w:styleId="Heading9">
    <w:name w:val="heading 9"/>
    <w:basedOn w:val="Normal"/>
    <w:next w:val="Normal"/>
    <w:link w:val="Heading9Char"/>
    <w:qFormat/>
    <w:rsid w:val="000927FD"/>
    <w:pPr>
      <w:ind w:left="720"/>
      <w:outlineLvl w:val="8"/>
    </w:pPr>
    <w:rPr>
      <w:i/>
    </w:rPr>
  </w:style>
  <w:style w:type="character" w:default="1" w:styleId="DefaultParagraphFont">
    <w:name w:val="Default Paragraph Font"/>
    <w:uiPriority w:val="1"/>
    <w:unhideWhenUsed/>
    <w:rsid w:val="000927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7FD"/>
  </w:style>
  <w:style w:type="character" w:customStyle="1" w:styleId="Heading1Char">
    <w:name w:val="Heading 1 Char"/>
    <w:basedOn w:val="DefaultParagraphFont"/>
    <w:link w:val="Heading1"/>
    <w:rsid w:val="000927FD"/>
    <w:rPr>
      <w:rFonts w:ascii="Times New Roman" w:eastAsia="Times New Roman" w:hAnsi="Times New Roman" w:cs="Times New Roman"/>
      <w:b/>
      <w:sz w:val="32"/>
      <w:szCs w:val="20"/>
      <w:lang w:eastAsia="en-US"/>
    </w:rPr>
  </w:style>
  <w:style w:type="paragraph" w:styleId="BodyText">
    <w:name w:val="Body Text"/>
    <w:basedOn w:val="Normal"/>
    <w:link w:val="BodyTextChar"/>
    <w:rsid w:val="000927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27FD"/>
    <w:rPr>
      <w:rFonts w:ascii="Times New Roman" w:eastAsia="Times New Roman" w:hAnsi="Times New Roman" w:cs="Times New Roman"/>
      <w:sz w:val="24"/>
      <w:lang w:val="en-US" w:eastAsia="en-US"/>
    </w:rPr>
  </w:style>
  <w:style w:type="paragraph" w:styleId="Footer">
    <w:name w:val="footer"/>
    <w:basedOn w:val="Normal"/>
    <w:link w:val="FooterChar"/>
    <w:rsid w:val="000927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7FD"/>
    <w:rPr>
      <w:rFonts w:ascii="Times New Roman" w:eastAsia="Times New Roman" w:hAnsi="Times New Roman" w:cs="Times New Roman"/>
      <w:sz w:val="16"/>
      <w:lang w:val="en-US" w:eastAsia="en-US"/>
    </w:rPr>
  </w:style>
  <w:style w:type="paragraph" w:styleId="List">
    <w:name w:val="List"/>
    <w:basedOn w:val="BodyText"/>
    <w:next w:val="BodyText"/>
    <w:rsid w:val="000927FD"/>
    <w:pPr>
      <w:tabs>
        <w:tab w:val="left" w:pos="340"/>
      </w:tabs>
      <w:spacing w:before="60" w:after="60"/>
      <w:ind w:left="340" w:hanging="340"/>
    </w:pPr>
  </w:style>
  <w:style w:type="paragraph" w:styleId="ListBullet">
    <w:name w:val="List Bullet"/>
    <w:basedOn w:val="List"/>
    <w:rsid w:val="000927FD"/>
    <w:pPr>
      <w:numPr>
        <w:numId w:val="13"/>
      </w:numPr>
      <w:tabs>
        <w:tab w:val="clear" w:pos="340"/>
      </w:tabs>
      <w:spacing w:before="40" w:after="40"/>
    </w:pPr>
  </w:style>
  <w:style w:type="character" w:customStyle="1" w:styleId="SpecialBold">
    <w:name w:val="Special Bold"/>
    <w:basedOn w:val="DefaultParagraphFont"/>
    <w:rsid w:val="000927FD"/>
    <w:rPr>
      <w:b/>
      <w:spacing w:val="0"/>
    </w:rPr>
  </w:style>
  <w:style w:type="paragraph" w:styleId="ListBullet2">
    <w:name w:val="List Bullet 2"/>
    <w:basedOn w:val="List2"/>
    <w:rsid w:val="000927FD"/>
    <w:pPr>
      <w:numPr>
        <w:numId w:val="14"/>
      </w:numPr>
      <w:tabs>
        <w:tab w:val="clear" w:pos="680"/>
      </w:tabs>
    </w:pPr>
  </w:style>
  <w:style w:type="paragraph" w:styleId="Header">
    <w:name w:val="header"/>
    <w:basedOn w:val="Normal"/>
    <w:link w:val="HeaderChar"/>
    <w:rsid w:val="000927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7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27FD"/>
    <w:pPr>
      <w:spacing w:before="240" w:after="120"/>
      <w:outlineLvl w:val="0"/>
    </w:pPr>
    <w:rPr>
      <w:rFonts w:ascii="Times New Roman" w:hAnsi="Times New Roman"/>
      <w:b/>
      <w:sz w:val="28"/>
    </w:rPr>
  </w:style>
  <w:style w:type="paragraph" w:customStyle="1" w:styleId="AllowPageBreak">
    <w:name w:val="AllowPageBreak"/>
    <w:rsid w:val="000927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27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7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7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7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7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7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27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27FD"/>
    <w:rPr>
      <w:rFonts w:ascii="Courier New" w:eastAsia="Times New Roman" w:hAnsi="Courier New" w:cs="Times New Roman"/>
      <w:i/>
      <w:szCs w:val="20"/>
      <w:lang w:val="en-US" w:eastAsia="en-US"/>
    </w:rPr>
  </w:style>
  <w:style w:type="paragraph" w:customStyle="1" w:styleId="HeadingBase">
    <w:name w:val="Heading Base"/>
    <w:rsid w:val="000927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7FD"/>
    <w:pPr>
      <w:tabs>
        <w:tab w:val="right" w:leader="dot" w:pos="9072"/>
      </w:tabs>
      <w:ind w:left="567"/>
    </w:pPr>
    <w:rPr>
      <w:szCs w:val="22"/>
    </w:rPr>
  </w:style>
  <w:style w:type="paragraph" w:customStyle="1" w:styleId="TOCBase">
    <w:name w:val="TOC Base"/>
    <w:rsid w:val="000927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7FD"/>
    <w:pPr>
      <w:tabs>
        <w:tab w:val="right" w:leader="dot" w:pos="9072"/>
      </w:tabs>
      <w:spacing w:before="40" w:after="40"/>
      <w:ind w:left="284"/>
    </w:pPr>
    <w:rPr>
      <w:rFonts w:ascii="Times New Roman" w:hAnsi="Times New Roman"/>
    </w:rPr>
  </w:style>
  <w:style w:type="paragraph" w:styleId="TOC1">
    <w:name w:val="toc 1"/>
    <w:basedOn w:val="TOCBase"/>
    <w:next w:val="Normal"/>
    <w:rsid w:val="000927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27FD"/>
    <w:pPr>
      <w:spacing w:before="5040"/>
      <w:jc w:val="center"/>
    </w:pPr>
    <w:rPr>
      <w:sz w:val="48"/>
      <w:szCs w:val="72"/>
      <w:lang w:val="en-US"/>
    </w:rPr>
  </w:style>
  <w:style w:type="character" w:customStyle="1" w:styleId="TitleChar">
    <w:name w:val="Title Char"/>
    <w:basedOn w:val="DefaultParagraphFont"/>
    <w:link w:val="Title"/>
    <w:rsid w:val="000927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7FD"/>
    <w:pPr>
      <w:tabs>
        <w:tab w:val="left" w:pos="3600"/>
        <w:tab w:val="left" w:pos="3958"/>
      </w:tabs>
    </w:pPr>
  </w:style>
  <w:style w:type="paragraph" w:customStyle="1" w:styleId="Note">
    <w:name w:val="Note"/>
    <w:basedOn w:val="BodyText"/>
    <w:rsid w:val="000927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27FD"/>
    <w:pPr>
      <w:framePr w:wrap="auto" w:hAnchor="text" w:y="6049"/>
    </w:pPr>
    <w:rPr>
      <w:color w:val="000000"/>
      <w:sz w:val="40"/>
    </w:rPr>
  </w:style>
  <w:style w:type="paragraph" w:customStyle="1" w:styleId="TOCTitle">
    <w:name w:val="TOCTitle"/>
    <w:basedOn w:val="Heading1"/>
    <w:rsid w:val="000927FD"/>
    <w:pPr>
      <w:spacing w:after="240"/>
      <w:jc w:val="center"/>
      <w:outlineLvl w:val="9"/>
    </w:pPr>
    <w:rPr>
      <w:caps/>
    </w:rPr>
  </w:style>
  <w:style w:type="paragraph" w:customStyle="1" w:styleId="Version">
    <w:name w:val="Version"/>
    <w:rsid w:val="000927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7FD"/>
    <w:pPr>
      <w:keepNext w:val="0"/>
      <w:tabs>
        <w:tab w:val="right" w:pos="4176"/>
      </w:tabs>
      <w:ind w:left="198" w:hanging="198"/>
    </w:pPr>
    <w:rPr>
      <w:rFonts w:ascii="Garamond" w:hAnsi="Garamond"/>
    </w:rPr>
  </w:style>
  <w:style w:type="paragraph" w:styleId="IndexHeading">
    <w:name w:val="index heading"/>
    <w:basedOn w:val="Normal"/>
    <w:next w:val="Index1"/>
    <w:semiHidden/>
    <w:rsid w:val="000927FD"/>
    <w:pPr>
      <w:spacing w:before="120" w:after="120"/>
    </w:pPr>
    <w:rPr>
      <w:rFonts w:ascii="Arial" w:hAnsi="Arial"/>
      <w:b/>
      <w:color w:val="918585"/>
      <w:sz w:val="24"/>
    </w:rPr>
  </w:style>
  <w:style w:type="paragraph" w:customStyle="1" w:styleId="Chapter">
    <w:name w:val="Chapter"/>
    <w:basedOn w:val="Normal"/>
    <w:rsid w:val="000927FD"/>
    <w:pPr>
      <w:spacing w:before="240"/>
    </w:pPr>
    <w:rPr>
      <w:rFonts w:ascii="Times New Roman" w:hAnsi="Times New Roman"/>
      <w:smallCaps/>
      <w:spacing w:val="80"/>
      <w:sz w:val="28"/>
    </w:rPr>
  </w:style>
  <w:style w:type="paragraph" w:customStyle="1" w:styleId="InChapter">
    <w:name w:val="InChapter"/>
    <w:basedOn w:val="Heading3"/>
    <w:rsid w:val="000927FD"/>
    <w:pPr>
      <w:spacing w:after="240"/>
      <w:outlineLvl w:val="9"/>
    </w:pPr>
    <w:rPr>
      <w:noProof/>
    </w:rPr>
  </w:style>
  <w:style w:type="paragraph" w:styleId="Index2">
    <w:name w:val="index 2"/>
    <w:basedOn w:val="Normal"/>
    <w:next w:val="Normal"/>
    <w:semiHidden/>
    <w:rsid w:val="000927FD"/>
    <w:pPr>
      <w:tabs>
        <w:tab w:val="right" w:pos="4176"/>
      </w:tabs>
      <w:ind w:left="568" w:hanging="284"/>
    </w:pPr>
    <w:rPr>
      <w:rFonts w:ascii="Garamond" w:hAnsi="Garamond"/>
    </w:rPr>
  </w:style>
  <w:style w:type="paragraph" w:customStyle="1" w:styleId="Byline">
    <w:name w:val="Byline"/>
    <w:rsid w:val="000927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7FD"/>
    <w:pPr>
      <w:tabs>
        <w:tab w:val="clear" w:pos="3600"/>
        <w:tab w:val="clear" w:pos="3958"/>
      </w:tabs>
      <w:jc w:val="right"/>
    </w:pPr>
  </w:style>
  <w:style w:type="character" w:styleId="Emphasis">
    <w:name w:val="Emphasis"/>
    <w:basedOn w:val="DefaultParagraphFont"/>
    <w:qFormat/>
    <w:rsid w:val="000927FD"/>
    <w:rPr>
      <w:i/>
    </w:rPr>
  </w:style>
  <w:style w:type="paragraph" w:styleId="Caption">
    <w:name w:val="caption"/>
    <w:basedOn w:val="BodyText"/>
    <w:next w:val="Normal"/>
    <w:qFormat/>
    <w:rsid w:val="000927FD"/>
    <w:pPr>
      <w:framePr w:w="2268" w:hSpace="181" w:vSpace="181" w:wrap="around" w:vAnchor="text" w:hAnchor="page" w:x="1135" w:y="285" w:anchorLock="1"/>
    </w:pPr>
    <w:rPr>
      <w:i/>
    </w:rPr>
  </w:style>
  <w:style w:type="paragraph" w:customStyle="1" w:styleId="MiniTOCTitle">
    <w:name w:val="MiniTOCTitle"/>
    <w:basedOn w:val="Heading4"/>
    <w:rsid w:val="000927FD"/>
    <w:pPr>
      <w:spacing w:before="240"/>
      <w:outlineLvl w:val="9"/>
    </w:pPr>
    <w:rPr>
      <w:noProof/>
      <w:sz w:val="24"/>
    </w:rPr>
  </w:style>
  <w:style w:type="paragraph" w:customStyle="1" w:styleId="MiniTOCItem">
    <w:name w:val="MiniTOCItem"/>
    <w:basedOn w:val="ListBullet"/>
    <w:rsid w:val="000927FD"/>
    <w:pPr>
      <w:numPr>
        <w:numId w:val="0"/>
      </w:numPr>
      <w:tabs>
        <w:tab w:val="right" w:leader="dot" w:pos="6521"/>
      </w:tabs>
      <w:spacing w:before="0" w:after="0"/>
    </w:pPr>
  </w:style>
  <w:style w:type="paragraph" w:customStyle="1" w:styleId="TOFTitle">
    <w:name w:val="TOFTitle"/>
    <w:basedOn w:val="TOCTitle"/>
    <w:rsid w:val="000927FD"/>
  </w:style>
  <w:style w:type="paragraph" w:styleId="TableofFigures">
    <w:name w:val="table of figures"/>
    <w:basedOn w:val="Normal"/>
    <w:next w:val="Normal"/>
    <w:semiHidden/>
    <w:rsid w:val="000927FD"/>
    <w:pPr>
      <w:tabs>
        <w:tab w:val="right" w:leader="dot" w:pos="9072"/>
      </w:tabs>
      <w:ind w:left="970" w:hanging="403"/>
    </w:pPr>
    <w:rPr>
      <w:rFonts w:ascii="Times New Roman" w:hAnsi="Times New Roman"/>
      <w:b/>
    </w:rPr>
  </w:style>
  <w:style w:type="paragraph" w:styleId="ListNumber">
    <w:name w:val="List Number"/>
    <w:basedOn w:val="List"/>
    <w:rsid w:val="000927FD"/>
    <w:pPr>
      <w:numPr>
        <w:numId w:val="11"/>
      </w:numPr>
    </w:pPr>
  </w:style>
  <w:style w:type="character" w:customStyle="1" w:styleId="WingdingSymbols">
    <w:name w:val="Wingding Symbols"/>
    <w:rsid w:val="000927FD"/>
    <w:rPr>
      <w:rFonts w:ascii="Wingdings" w:hAnsi="Wingdings"/>
    </w:rPr>
  </w:style>
  <w:style w:type="paragraph" w:customStyle="1" w:styleId="TableHeading">
    <w:name w:val="Table Heading"/>
    <w:basedOn w:val="HeadingBase"/>
    <w:rsid w:val="000927FD"/>
    <w:pPr>
      <w:keepLines/>
      <w:pBdr>
        <w:bottom w:val="single" w:sz="6" w:space="1" w:color="918585"/>
      </w:pBdr>
      <w:spacing w:before="240"/>
    </w:pPr>
  </w:style>
  <w:style w:type="character" w:customStyle="1" w:styleId="HotSpot">
    <w:name w:val="HotSpot"/>
    <w:rsid w:val="000927FD"/>
    <w:rPr>
      <w:color w:val="0033CC"/>
      <w:u w:val="none"/>
    </w:rPr>
  </w:style>
  <w:style w:type="paragraph" w:customStyle="1" w:styleId="BodyTextRight">
    <w:name w:val="Body Text Right"/>
    <w:basedOn w:val="BodyText"/>
    <w:rsid w:val="000927FD"/>
    <w:pPr>
      <w:spacing w:before="0" w:after="0"/>
      <w:jc w:val="right"/>
    </w:pPr>
  </w:style>
  <w:style w:type="paragraph" w:styleId="Index3">
    <w:name w:val="index 3"/>
    <w:basedOn w:val="ListNumber2"/>
    <w:next w:val="Normal"/>
    <w:semiHidden/>
    <w:rsid w:val="000927FD"/>
    <w:pPr>
      <w:numPr>
        <w:numId w:val="0"/>
      </w:numPr>
      <w:tabs>
        <w:tab w:val="right" w:leader="dot" w:pos="4176"/>
      </w:tabs>
    </w:pPr>
  </w:style>
  <w:style w:type="paragraph" w:styleId="ListNumber2">
    <w:name w:val="List Number 2"/>
    <w:basedOn w:val="List2"/>
    <w:rsid w:val="000927FD"/>
    <w:pPr>
      <w:numPr>
        <w:numId w:val="10"/>
      </w:numPr>
      <w:tabs>
        <w:tab w:val="clear" w:pos="1060"/>
      </w:tabs>
    </w:pPr>
  </w:style>
  <w:style w:type="paragraph" w:customStyle="1" w:styleId="MarginNote">
    <w:name w:val="Margin Note"/>
    <w:basedOn w:val="BodyText"/>
    <w:rsid w:val="000927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7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7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27FD"/>
    <w:rPr>
      <w:sz w:val="32"/>
    </w:rPr>
  </w:style>
  <w:style w:type="paragraph" w:customStyle="1" w:styleId="HeadingProcedure">
    <w:name w:val="Heading Procedure"/>
    <w:basedOn w:val="HeadingBase"/>
    <w:next w:val="Normal"/>
    <w:rsid w:val="000927FD"/>
    <w:pPr>
      <w:tabs>
        <w:tab w:val="left" w:pos="0"/>
      </w:tabs>
      <w:spacing w:before="120" w:after="60"/>
    </w:pPr>
    <w:rPr>
      <w:i/>
      <w:color w:val="918585"/>
      <w:sz w:val="22"/>
    </w:rPr>
  </w:style>
  <w:style w:type="paragraph" w:customStyle="1" w:styleId="TableBodyText">
    <w:name w:val="Table Body Text"/>
    <w:basedOn w:val="BodyText"/>
    <w:rsid w:val="000927FD"/>
    <w:pPr>
      <w:spacing w:before="60" w:after="60"/>
    </w:pPr>
  </w:style>
  <w:style w:type="paragraph" w:styleId="ListContinue">
    <w:name w:val="List Continue"/>
    <w:basedOn w:val="List"/>
    <w:rsid w:val="000927FD"/>
    <w:pPr>
      <w:ind w:firstLine="0"/>
    </w:pPr>
  </w:style>
  <w:style w:type="paragraph" w:customStyle="1" w:styleId="ListNote">
    <w:name w:val="List Note"/>
    <w:basedOn w:val="List"/>
    <w:rsid w:val="000927FD"/>
    <w:pPr>
      <w:pBdr>
        <w:top w:val="single" w:sz="6" w:space="2" w:color="918585"/>
        <w:bottom w:val="single" w:sz="6" w:space="2" w:color="918585"/>
      </w:pBdr>
      <w:tabs>
        <w:tab w:val="left" w:pos="1021"/>
      </w:tabs>
      <w:ind w:firstLine="0"/>
    </w:pPr>
  </w:style>
  <w:style w:type="paragraph" w:customStyle="1" w:styleId="Warning">
    <w:name w:val="Warning"/>
    <w:basedOn w:val="BodyText"/>
    <w:rsid w:val="000927FD"/>
    <w:pPr>
      <w:shd w:val="clear" w:color="auto" w:fill="D9D9D9"/>
      <w:tabs>
        <w:tab w:val="left" w:pos="992"/>
      </w:tabs>
      <w:ind w:left="119" w:right="119"/>
    </w:pPr>
    <w:rPr>
      <w:sz w:val="20"/>
    </w:rPr>
  </w:style>
  <w:style w:type="paragraph" w:customStyle="1" w:styleId="MarginIcons">
    <w:name w:val="Margin Icons"/>
    <w:basedOn w:val="BodyText"/>
    <w:rsid w:val="000927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7FD"/>
    <w:rPr>
      <w:rFonts w:ascii="Courier New" w:hAnsi="Courier New"/>
    </w:rPr>
  </w:style>
  <w:style w:type="paragraph" w:customStyle="1" w:styleId="NoteBullet">
    <w:name w:val="Note Bullet"/>
    <w:basedOn w:val="Note"/>
    <w:rsid w:val="000927FD"/>
    <w:pPr>
      <w:tabs>
        <w:tab w:val="clear" w:pos="680"/>
      </w:tabs>
      <w:spacing w:before="60" w:after="60"/>
    </w:pPr>
  </w:style>
  <w:style w:type="paragraph" w:customStyle="1" w:styleId="SubHeading2">
    <w:name w:val="SubHeading2"/>
    <w:basedOn w:val="HeadingBase"/>
    <w:rsid w:val="000927FD"/>
    <w:pPr>
      <w:spacing w:before="240" w:after="60"/>
    </w:pPr>
    <w:rPr>
      <w:sz w:val="20"/>
    </w:rPr>
  </w:style>
  <w:style w:type="paragraph" w:customStyle="1" w:styleId="SubHeading1">
    <w:name w:val="SubHeading1"/>
    <w:basedOn w:val="HeadingBase"/>
    <w:rsid w:val="000927FD"/>
    <w:pPr>
      <w:spacing w:before="240" w:after="60"/>
    </w:pPr>
    <w:rPr>
      <w:color w:val="918585"/>
      <w:sz w:val="22"/>
    </w:rPr>
  </w:style>
  <w:style w:type="paragraph" w:customStyle="1" w:styleId="SideHeading">
    <w:name w:val="Side Heading"/>
    <w:basedOn w:val="HeadingBase"/>
    <w:rsid w:val="000927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7FD"/>
    <w:pPr>
      <w:numPr>
        <w:numId w:val="12"/>
      </w:numPr>
    </w:pPr>
  </w:style>
  <w:style w:type="paragraph" w:styleId="PlainText">
    <w:name w:val="Plain Text"/>
    <w:basedOn w:val="Normal"/>
    <w:link w:val="PlainTextChar"/>
    <w:rsid w:val="000927FD"/>
    <w:rPr>
      <w:sz w:val="20"/>
    </w:rPr>
  </w:style>
  <w:style w:type="character" w:customStyle="1" w:styleId="PlainTextChar">
    <w:name w:val="Plain Text Char"/>
    <w:basedOn w:val="DefaultParagraphFont"/>
    <w:link w:val="PlainText"/>
    <w:rsid w:val="000927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27FD"/>
    <w:rPr>
      <w:b/>
      <w:smallCaps/>
    </w:rPr>
  </w:style>
  <w:style w:type="paragraph" w:customStyle="1" w:styleId="TableListNumber">
    <w:name w:val="Table List Number"/>
    <w:basedOn w:val="ListNumber"/>
    <w:rsid w:val="000927FD"/>
    <w:pPr>
      <w:numPr>
        <w:numId w:val="0"/>
      </w:numPr>
    </w:pPr>
  </w:style>
  <w:style w:type="paragraph" w:styleId="TOC4">
    <w:name w:val="toc 4"/>
    <w:basedOn w:val="TOCBase"/>
    <w:next w:val="Normal"/>
    <w:semiHidden/>
    <w:rsid w:val="000927FD"/>
    <w:pPr>
      <w:tabs>
        <w:tab w:val="right" w:leader="dot" w:pos="9071"/>
      </w:tabs>
      <w:ind w:left="1701"/>
    </w:pPr>
  </w:style>
  <w:style w:type="paragraph" w:customStyle="1" w:styleId="ListAlpha">
    <w:name w:val="List Alpha"/>
    <w:basedOn w:val="List"/>
    <w:rsid w:val="000927FD"/>
    <w:pPr>
      <w:numPr>
        <w:numId w:val="9"/>
      </w:numPr>
    </w:pPr>
  </w:style>
  <w:style w:type="paragraph" w:customStyle="1" w:styleId="ListAlpha2">
    <w:name w:val="List Alpha 2"/>
    <w:basedOn w:val="List2"/>
    <w:rsid w:val="000927FD"/>
    <w:pPr>
      <w:numPr>
        <w:numId w:val="8"/>
      </w:numPr>
    </w:pPr>
  </w:style>
  <w:style w:type="paragraph" w:styleId="List2">
    <w:name w:val="List 2"/>
    <w:basedOn w:val="BodyText"/>
    <w:rsid w:val="000927FD"/>
    <w:pPr>
      <w:tabs>
        <w:tab w:val="left" w:pos="680"/>
      </w:tabs>
      <w:spacing w:before="60" w:after="60"/>
      <w:ind w:left="680" w:hanging="340"/>
    </w:pPr>
  </w:style>
  <w:style w:type="paragraph" w:styleId="List3">
    <w:name w:val="List 3"/>
    <w:basedOn w:val="BodyText"/>
    <w:rsid w:val="000927FD"/>
    <w:pPr>
      <w:tabs>
        <w:tab w:val="left" w:pos="1021"/>
      </w:tabs>
      <w:spacing w:before="60" w:after="60"/>
      <w:ind w:left="1020" w:hanging="340"/>
    </w:pPr>
  </w:style>
  <w:style w:type="paragraph" w:styleId="List4">
    <w:name w:val="List 4"/>
    <w:basedOn w:val="BodyText"/>
    <w:rsid w:val="000927FD"/>
    <w:pPr>
      <w:tabs>
        <w:tab w:val="left" w:pos="1361"/>
      </w:tabs>
      <w:spacing w:before="60" w:after="60"/>
      <w:ind w:left="1361" w:hanging="340"/>
    </w:pPr>
  </w:style>
  <w:style w:type="paragraph" w:styleId="List5">
    <w:name w:val="List 5"/>
    <w:basedOn w:val="BodyText"/>
    <w:rsid w:val="000927FD"/>
    <w:pPr>
      <w:tabs>
        <w:tab w:val="left" w:pos="1701"/>
      </w:tabs>
      <w:spacing w:before="60" w:after="60"/>
      <w:ind w:left="1701" w:hanging="340"/>
    </w:pPr>
  </w:style>
  <w:style w:type="paragraph" w:styleId="ListBullet3">
    <w:name w:val="List Bullet 3"/>
    <w:basedOn w:val="List3"/>
    <w:rsid w:val="000927FD"/>
    <w:pPr>
      <w:numPr>
        <w:numId w:val="15"/>
      </w:numPr>
      <w:tabs>
        <w:tab w:val="clear" w:pos="1021"/>
      </w:tabs>
      <w:ind w:left="1037" w:hanging="357"/>
    </w:pPr>
  </w:style>
  <w:style w:type="paragraph" w:styleId="ListBullet4">
    <w:name w:val="List Bullet 4"/>
    <w:basedOn w:val="List4"/>
    <w:rsid w:val="000927FD"/>
    <w:pPr>
      <w:numPr>
        <w:numId w:val="3"/>
      </w:numPr>
    </w:pPr>
  </w:style>
  <w:style w:type="paragraph" w:styleId="ListBullet5">
    <w:name w:val="List Bullet 5"/>
    <w:basedOn w:val="List5"/>
    <w:rsid w:val="000927FD"/>
    <w:pPr>
      <w:numPr>
        <w:numId w:val="4"/>
      </w:numPr>
    </w:pPr>
  </w:style>
  <w:style w:type="paragraph" w:styleId="ListContinue2">
    <w:name w:val="List Continue 2"/>
    <w:basedOn w:val="List2"/>
    <w:rsid w:val="000927FD"/>
    <w:pPr>
      <w:ind w:firstLine="0"/>
    </w:pPr>
  </w:style>
  <w:style w:type="paragraph" w:styleId="ListContinue3">
    <w:name w:val="List Continue 3"/>
    <w:basedOn w:val="List3"/>
    <w:rsid w:val="000927FD"/>
    <w:pPr>
      <w:ind w:left="1021" w:firstLine="0"/>
    </w:pPr>
  </w:style>
  <w:style w:type="paragraph" w:styleId="ListContinue4">
    <w:name w:val="List Continue 4"/>
    <w:basedOn w:val="List4"/>
    <w:rsid w:val="000927FD"/>
    <w:pPr>
      <w:ind w:firstLine="0"/>
    </w:pPr>
  </w:style>
  <w:style w:type="paragraph" w:styleId="ListContinue5">
    <w:name w:val="List Continue 5"/>
    <w:basedOn w:val="List5"/>
    <w:rsid w:val="000927FD"/>
    <w:pPr>
      <w:ind w:firstLine="0"/>
    </w:pPr>
  </w:style>
  <w:style w:type="paragraph" w:styleId="ListNumber3">
    <w:name w:val="List Number 3"/>
    <w:basedOn w:val="List3"/>
    <w:rsid w:val="000927FD"/>
    <w:pPr>
      <w:numPr>
        <w:numId w:val="5"/>
      </w:numPr>
    </w:pPr>
  </w:style>
  <w:style w:type="paragraph" w:styleId="ListNumber4">
    <w:name w:val="List Number 4"/>
    <w:basedOn w:val="List4"/>
    <w:rsid w:val="000927FD"/>
    <w:pPr>
      <w:numPr>
        <w:numId w:val="6"/>
      </w:numPr>
    </w:pPr>
  </w:style>
  <w:style w:type="paragraph" w:styleId="ListNumber5">
    <w:name w:val="List Number 5"/>
    <w:basedOn w:val="List5"/>
    <w:rsid w:val="000927FD"/>
    <w:pPr>
      <w:numPr>
        <w:numId w:val="7"/>
      </w:numPr>
    </w:pPr>
  </w:style>
  <w:style w:type="paragraph" w:styleId="BlockText">
    <w:name w:val="Block Text"/>
    <w:basedOn w:val="Normal"/>
    <w:rsid w:val="000927FD"/>
    <w:pPr>
      <w:spacing w:after="120"/>
      <w:ind w:left="1440" w:right="1440"/>
    </w:pPr>
  </w:style>
  <w:style w:type="character" w:customStyle="1" w:styleId="Subscript">
    <w:name w:val="Subscript"/>
    <w:basedOn w:val="DefaultParagraphFont"/>
    <w:rsid w:val="000927FD"/>
    <w:rPr>
      <w:sz w:val="16"/>
      <w:vertAlign w:val="subscript"/>
    </w:rPr>
  </w:style>
  <w:style w:type="character" w:customStyle="1" w:styleId="Superscript">
    <w:name w:val="Superscript"/>
    <w:basedOn w:val="DefaultParagraphFont"/>
    <w:rsid w:val="000927FD"/>
    <w:rPr>
      <w:sz w:val="16"/>
      <w:vertAlign w:val="superscript"/>
    </w:rPr>
  </w:style>
  <w:style w:type="character" w:customStyle="1" w:styleId="Symbols">
    <w:name w:val="Symbols"/>
    <w:basedOn w:val="DefaultParagraphFont"/>
    <w:rsid w:val="000927FD"/>
    <w:rPr>
      <w:rFonts w:ascii="Symbol" w:hAnsi="Symbol"/>
    </w:rPr>
  </w:style>
  <w:style w:type="character" w:customStyle="1" w:styleId="MenuOptions">
    <w:name w:val="Menu Options"/>
    <w:basedOn w:val="DefaultParagraphFont"/>
    <w:rsid w:val="000927FD"/>
    <w:rPr>
      <w:rFonts w:ascii="Arial Narrow" w:hAnsi="Arial Narrow"/>
      <w:smallCaps/>
    </w:rPr>
  </w:style>
  <w:style w:type="character" w:customStyle="1" w:styleId="Buttons">
    <w:name w:val="Buttons"/>
    <w:basedOn w:val="DefaultParagraphFont"/>
    <w:rsid w:val="000927FD"/>
    <w:rPr>
      <w:b/>
    </w:rPr>
  </w:style>
  <w:style w:type="character" w:customStyle="1" w:styleId="Underlined">
    <w:name w:val="Underlined"/>
    <w:basedOn w:val="DefaultParagraphFont"/>
    <w:rsid w:val="000927FD"/>
    <w:rPr>
      <w:u w:val="single"/>
    </w:rPr>
  </w:style>
  <w:style w:type="paragraph" w:customStyle="1" w:styleId="TableBodyTextRight">
    <w:name w:val="Table Body Text Right"/>
    <w:basedOn w:val="TableBodyText"/>
    <w:rsid w:val="000927FD"/>
    <w:pPr>
      <w:widowControl w:val="0"/>
      <w:autoSpaceDE w:val="0"/>
      <w:autoSpaceDN w:val="0"/>
      <w:adjustRightInd w:val="0"/>
      <w:jc w:val="right"/>
    </w:pPr>
    <w:rPr>
      <w:rFonts w:cs="Arial"/>
      <w:szCs w:val="18"/>
    </w:rPr>
  </w:style>
  <w:style w:type="paragraph" w:customStyle="1" w:styleId="CopyrightText">
    <w:name w:val="Copyright Text"/>
    <w:basedOn w:val="BodyText"/>
    <w:rsid w:val="000927FD"/>
    <w:rPr>
      <w:sz w:val="18"/>
    </w:rPr>
  </w:style>
  <w:style w:type="paragraph" w:customStyle="1" w:styleId="BodySmallRight">
    <w:name w:val="Body Small Right"/>
    <w:basedOn w:val="BodyTextRight"/>
    <w:rsid w:val="000927FD"/>
    <w:rPr>
      <w:sz w:val="18"/>
      <w:szCs w:val="18"/>
    </w:rPr>
  </w:style>
  <w:style w:type="paragraph" w:customStyle="1" w:styleId="MarginEdition">
    <w:name w:val="Margin Edition"/>
    <w:basedOn w:val="MarginNote"/>
    <w:rsid w:val="000927FD"/>
    <w:pPr>
      <w:spacing w:before="0" w:after="0"/>
    </w:pPr>
    <w:rPr>
      <w:rFonts w:ascii="Times New Roman" w:hAnsi="Times New Roman"/>
      <w:color w:val="999999"/>
    </w:rPr>
  </w:style>
  <w:style w:type="paragraph" w:customStyle="1" w:styleId="Spacer">
    <w:name w:val="Spacer"/>
    <w:basedOn w:val="Normal"/>
    <w:rsid w:val="000927FD"/>
    <w:rPr>
      <w:sz w:val="2"/>
      <w:szCs w:val="2"/>
    </w:rPr>
  </w:style>
  <w:style w:type="character" w:customStyle="1" w:styleId="Small">
    <w:name w:val="Small"/>
    <w:basedOn w:val="DefaultParagraphFont"/>
    <w:rsid w:val="000927FD"/>
    <w:rPr>
      <w:sz w:val="16"/>
    </w:rPr>
  </w:style>
  <w:style w:type="paragraph" w:customStyle="1" w:styleId="WideTable">
    <w:name w:val="Wide Table"/>
    <w:basedOn w:val="Normal"/>
    <w:rsid w:val="000927FD"/>
    <w:pPr>
      <w:ind w:left="-1418"/>
    </w:pPr>
    <w:rPr>
      <w:sz w:val="2"/>
      <w:szCs w:val="2"/>
    </w:rPr>
  </w:style>
  <w:style w:type="character" w:styleId="PageNumber">
    <w:name w:val="page number"/>
    <w:basedOn w:val="DefaultParagraphFont"/>
    <w:rsid w:val="000927FD"/>
  </w:style>
  <w:style w:type="paragraph" w:styleId="Quote">
    <w:name w:val="Quote"/>
    <w:basedOn w:val="Heading1"/>
    <w:link w:val="QuoteChar"/>
    <w:qFormat/>
    <w:rsid w:val="000927FD"/>
    <w:rPr>
      <w:b w:val="0"/>
      <w:sz w:val="72"/>
      <w:szCs w:val="72"/>
      <w:lang w:val="en-NZ"/>
    </w:rPr>
  </w:style>
  <w:style w:type="character" w:customStyle="1" w:styleId="QuoteChar">
    <w:name w:val="Quote Char"/>
    <w:basedOn w:val="DefaultParagraphFont"/>
    <w:link w:val="Quote"/>
    <w:rsid w:val="000927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7FD"/>
    <w:pPr>
      <w:pageBreakBefore/>
    </w:pPr>
  </w:style>
  <w:style w:type="paragraph" w:customStyle="1" w:styleId="Border">
    <w:name w:val="Border"/>
    <w:basedOn w:val="Normal"/>
    <w:qFormat/>
    <w:rsid w:val="000927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7FD"/>
    <w:rPr>
      <w:b/>
      <w:bCs/>
      <w:i/>
      <w:iCs/>
      <w:color w:val="auto"/>
    </w:rPr>
  </w:style>
  <w:style w:type="paragraph" w:styleId="IntenseQuote">
    <w:name w:val="Intense Quote"/>
    <w:basedOn w:val="Normal"/>
    <w:next w:val="Normal"/>
    <w:link w:val="IntenseQuoteChar"/>
    <w:uiPriority w:val="30"/>
    <w:qFormat/>
    <w:rsid w:val="000927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7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27FD"/>
    <w:rPr>
      <w:smallCaps/>
      <w:color w:val="auto"/>
      <w:u w:val="single"/>
    </w:rPr>
  </w:style>
  <w:style w:type="character" w:styleId="IntenseReference">
    <w:name w:val="Intense Reference"/>
    <w:basedOn w:val="DefaultParagraphFont"/>
    <w:uiPriority w:val="32"/>
    <w:qFormat/>
    <w:rsid w:val="000927FD"/>
    <w:rPr>
      <w:b/>
      <w:bCs/>
      <w:smallCaps/>
      <w:color w:val="auto"/>
      <w:spacing w:val="5"/>
      <w:u w:val="single"/>
    </w:rPr>
  </w:style>
  <w:style w:type="paragraph" w:customStyle="1" w:styleId="2ColumnHeading">
    <w:name w:val="2Column Heading"/>
    <w:basedOn w:val="BodyText"/>
    <w:qFormat/>
    <w:rsid w:val="000927FD"/>
    <w:pPr>
      <w:spacing w:after="60"/>
      <w:ind w:left="-2268"/>
    </w:pPr>
    <w:rPr>
      <w:b/>
    </w:rPr>
  </w:style>
  <w:style w:type="paragraph" w:customStyle="1" w:styleId="Heading1TOC">
    <w:name w:val="Heading1 TOC"/>
    <w:basedOn w:val="Normal"/>
    <w:qFormat/>
    <w:rsid w:val="000927FD"/>
    <w:pPr>
      <w:spacing w:before="240" w:after="120"/>
    </w:pPr>
    <w:rPr>
      <w:rFonts w:ascii="Times New Roman" w:hAnsi="Times New Roman"/>
      <w:b/>
      <w:sz w:val="32"/>
    </w:rPr>
  </w:style>
  <w:style w:type="paragraph" w:customStyle="1" w:styleId="Heading2TOC">
    <w:name w:val="Heading2 TOC"/>
    <w:basedOn w:val="Normal"/>
    <w:qFormat/>
    <w:rsid w:val="000927FD"/>
    <w:pPr>
      <w:spacing w:before="240" w:after="60"/>
    </w:pPr>
    <w:rPr>
      <w:rFonts w:ascii="Times New Roman" w:hAnsi="Times New Roman"/>
      <w:b/>
      <w:sz w:val="28"/>
    </w:rPr>
  </w:style>
  <w:style w:type="character" w:customStyle="1" w:styleId="Underline">
    <w:name w:val="Underline"/>
    <w:basedOn w:val="DefaultParagraphFont"/>
    <w:qFormat/>
    <w:rsid w:val="000927FD"/>
    <w:rPr>
      <w:u w:val="single"/>
    </w:rPr>
  </w:style>
  <w:style w:type="character" w:customStyle="1" w:styleId="BoldandItalics">
    <w:name w:val="Bold and Italics"/>
    <w:qFormat/>
    <w:rsid w:val="000927FD"/>
    <w:rPr>
      <w:b/>
      <w:i/>
      <w:u w:val="none"/>
    </w:rPr>
  </w:style>
  <w:style w:type="paragraph" w:styleId="BalloonText">
    <w:name w:val="Balloon Text"/>
    <w:basedOn w:val="Normal"/>
    <w:link w:val="BalloonTextChar"/>
    <w:rsid w:val="000927FD"/>
    <w:rPr>
      <w:rFonts w:ascii="Tahoma" w:hAnsi="Tahoma" w:cs="Tahoma"/>
      <w:sz w:val="16"/>
      <w:szCs w:val="16"/>
    </w:rPr>
  </w:style>
  <w:style w:type="character" w:customStyle="1" w:styleId="BalloonTextChar">
    <w:name w:val="Balloon Text Char"/>
    <w:basedOn w:val="DefaultParagraphFont"/>
    <w:link w:val="BalloonText"/>
    <w:rsid w:val="000927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27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27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1219</Words>
  <Characters>7769</Characters>
  <Application>Microsoft Office Word</Application>
  <DocSecurity>0</DocSecurity>
  <Lines>249</Lines>
  <Paragraphs>147</Paragraphs>
  <ScaleCrop>false</ScaleCrop>
  <Company>Author-it Software Corporation Ltd.</Company>
  <LinksUpToDate>false</LinksUpToDate>
  <CharactersWithSpaces>8918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TLIO5018A Manage compliance with customs excise</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2012-05-27T04:01:00Z</dcterms:created>
  <dcterms:modified xsi:type="dcterms:W3CDTF">2012-05-27T04:01:00Z</dcterms:modified>
</cp:coreProperties>
</file>