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4EA" w:rsidP="00CF34EA">
      <w:pPr>
        <w:pStyle w:val="Title"/>
      </w:pPr>
      <w:r>
        <w:fldChar w:fldCharType="begin"/>
      </w:r>
      <w:r>
        <w:instrText xml:space="preserve"> TITLE   \* MERGEFORMAT </w:instrText>
      </w:r>
      <w:r>
        <w:fldChar w:fldCharType="separate"/>
      </w:r>
      <w:r>
        <w:t>TLIO2011A Provide revenue protection measures</w:t>
      </w:r>
      <w:r>
        <w:fldChar w:fldCharType="end"/>
      </w:r>
    </w:p>
    <w:p w:rsidR="00CF34EA" w:rsidP="00CF34EA">
      <w:pPr>
        <w:pStyle w:val="Version"/>
        <w:sectPr w:rsidSect="00EB0C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CA2" w:rsidP="00EB0CA2">
      <w:pPr>
        <w:pStyle w:val="SuperHeading"/>
      </w:pPr>
      <w:r w:rsidRPr="00EB0CA2">
        <w:t>TLIO2011A Provide revenue protection measures</w:t>
      </w:r>
    </w:p>
    <w:p w:rsidR="00000000" w:rsidRPr="00EB0CA2" w:rsidP="00EB0CA2">
      <w:pPr>
        <w:pStyle w:val="Heading1"/>
      </w:pPr>
      <w:bookmarkStart w:id="1" w:name="O_274251"/>
      <w:bookmarkEnd w:id="1"/>
      <w:r w:rsidRPr="00EB0CA2">
        <w:t>Modification History</w:t>
      </w:r>
    </w:p>
    <w:p w:rsidR="00000000" w:rsidRPr="00EB0CA2" w:rsidP="00EB0CA2">
      <w:pPr>
        <w:pStyle w:val="BodyText"/>
      </w:pPr>
      <w:r w:rsidRPr="00EB0CA2">
        <w:t>Not Applicable</w:t>
      </w:r>
    </w:p>
    <w:p w:rsidR="00000000" w:rsidRPr="00EB0CA2" w:rsidP="00EB0CA2">
      <w:pPr>
        <w:pStyle w:val="AllowPageBreak"/>
      </w:pPr>
    </w:p>
    <w:p w:rsidR="00000000" w:rsidRPr="00EB0CA2" w:rsidP="00EB0CA2">
      <w:pPr>
        <w:pStyle w:val="Heading1"/>
      </w:pPr>
      <w:bookmarkStart w:id="2" w:name="O_224066"/>
      <w:bookmarkEnd w:id="2"/>
      <w:r w:rsidRPr="00EB0CA2">
        <w:t>Unit Descriptor</w:t>
      </w:r>
    </w:p>
    <w:tbl>
      <w:tblPr>
        <w:tblW w:w="9640" w:type="dxa"/>
        <w:tblLayout w:type="fixed"/>
        <w:tblCellMar>
          <w:left w:w="62" w:type="dxa"/>
          <w:right w:w="62" w:type="dxa"/>
        </w:tblCellMar>
        <w:tblLook w:val="0000"/>
      </w:tblPr>
      <w:tblGrid>
        <w:gridCol w:w="2978"/>
        <w:gridCol w:w="6662"/>
      </w:tblGrid>
      <w:tr w:rsidTr="00CF34E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B0CA2" w:rsidP="00EB0CA2">
            <w:pPr>
              <w:pStyle w:val="BodyText"/>
            </w:pPr>
            <w:r w:rsidRPr="00EB0CA2">
              <w:t>This unit involves the skills and knowledge required to provide revenue protection measures during transp</w:t>
            </w:r>
            <w:r w:rsidRPr="00EB0CA2">
              <w:t>ort operations, including preparing for revenue protection activities and implementing revenue protection procedures. Licensing, legislative, regulatory or certification requirements are applicable to this unit.</w:t>
            </w:r>
          </w:p>
        </w:tc>
      </w:tr>
    </w:tbl>
    <w:p w:rsidR="00CF34EA" w:rsidP="00EB0CA2">
      <w:pPr>
        <w:pStyle w:val="BodyText"/>
      </w:pPr>
    </w:p>
    <w:p w:rsidR="00CF34EA" w:rsidP="00EB0CA2">
      <w:pPr>
        <w:pStyle w:val="BodyText"/>
      </w:pPr>
    </w:p>
    <w:p w:rsidR="00000000" w:rsidRPr="00EB0CA2" w:rsidP="00EB0CA2">
      <w:pPr>
        <w:pStyle w:val="Heading1"/>
      </w:pPr>
      <w:bookmarkStart w:id="3" w:name="O_224068"/>
      <w:bookmarkEnd w:id="3"/>
      <w:r w:rsidRPr="00EB0CA2">
        <w:t>Application of the Unit</w:t>
      </w:r>
    </w:p>
    <w:tbl>
      <w:tblPr>
        <w:tblW w:w="9640" w:type="dxa"/>
        <w:tblLayout w:type="fixed"/>
        <w:tblCellMar>
          <w:left w:w="62" w:type="dxa"/>
          <w:right w:w="62" w:type="dxa"/>
        </w:tblCellMar>
        <w:tblLook w:val="0000"/>
      </w:tblPr>
      <w:tblGrid>
        <w:gridCol w:w="2978"/>
        <w:gridCol w:w="6662"/>
      </w:tblGrid>
      <w:tr w:rsidTr="00CF34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B0CA2" w:rsidP="00EB0CA2">
            <w:pPr>
              <w:pStyle w:val="BodyText"/>
            </w:pPr>
            <w:r w:rsidRPr="00EB0CA2">
              <w:t>Work must be carried out in compliance with the relevant regulations related to the protection of transport revenue.</w:t>
            </w:r>
          </w:p>
          <w:p w:rsidR="00000000" w:rsidRPr="00EB0CA2" w:rsidP="00EB0CA2">
            <w:pPr>
              <w:pStyle w:val="BodyText"/>
            </w:pPr>
            <w:r w:rsidRPr="00EB0CA2">
              <w:t>Work is performed under some supervision, generally within a team environment. It involves the application of routi</w:t>
            </w:r>
            <w:r w:rsidRPr="00EB0CA2">
              <w:t>ne procedures and regulatory requirements to the provision of revenue protection measures.</w:t>
            </w:r>
          </w:p>
        </w:tc>
      </w:tr>
    </w:tbl>
    <w:p w:rsidR="00CF34EA" w:rsidP="00EB0CA2">
      <w:pPr>
        <w:pStyle w:val="BodyText"/>
      </w:pPr>
    </w:p>
    <w:p w:rsidR="00CF34EA" w:rsidP="00EB0CA2">
      <w:pPr>
        <w:pStyle w:val="BodyText"/>
      </w:pPr>
    </w:p>
    <w:p w:rsidR="00000000" w:rsidRPr="00EB0CA2" w:rsidP="00EB0CA2">
      <w:pPr>
        <w:pStyle w:val="Heading1"/>
      </w:pPr>
      <w:bookmarkStart w:id="4" w:name="O_282511"/>
      <w:bookmarkEnd w:id="4"/>
      <w:r w:rsidRPr="00EB0CA2">
        <w:t>Licensing/Regulatory Information</w:t>
      </w:r>
    </w:p>
    <w:p w:rsidR="00000000" w:rsidRPr="00EB0CA2" w:rsidP="00EB0CA2">
      <w:pPr>
        <w:pStyle w:val="BodyText"/>
      </w:pPr>
      <w:r w:rsidRPr="00EB0CA2">
        <w:t>Refer to Unit Descriptor</w:t>
      </w:r>
    </w:p>
    <w:p w:rsidR="00000000" w:rsidRPr="00EB0CA2" w:rsidP="00EB0CA2">
      <w:pPr>
        <w:pStyle w:val="AllowPageBreak"/>
      </w:pPr>
    </w:p>
    <w:p w:rsidR="00000000" w:rsidRPr="00EB0CA2" w:rsidP="00EB0CA2">
      <w:pPr>
        <w:pStyle w:val="Heading1"/>
      </w:pPr>
      <w:bookmarkStart w:id="5" w:name="O_284961"/>
      <w:bookmarkEnd w:id="5"/>
      <w:r w:rsidRPr="00EB0CA2">
        <w:t>Pre-Requisites</w:t>
      </w:r>
    </w:p>
    <w:p w:rsidR="00000000" w:rsidRPr="00EB0CA2" w:rsidP="00EB0CA2">
      <w:pPr>
        <w:pStyle w:val="BodyText"/>
      </w:pPr>
      <w:r w:rsidRPr="00EB0CA2">
        <w:t>Not Applicable</w:t>
      </w:r>
    </w:p>
    <w:p w:rsidR="00000000" w:rsidRPr="00EB0CA2" w:rsidP="00EB0CA2">
      <w:pPr>
        <w:pStyle w:val="AllowPageBreak"/>
      </w:pPr>
    </w:p>
    <w:p w:rsidR="00000000" w:rsidRPr="00EB0CA2" w:rsidP="00EB0CA2">
      <w:pPr>
        <w:pStyle w:val="Heading1"/>
      </w:pPr>
      <w:bookmarkStart w:id="6" w:name="O_224067"/>
      <w:bookmarkEnd w:id="6"/>
      <w:r w:rsidRPr="00EB0CA2">
        <w:t>Employability Skills Information</w:t>
      </w:r>
    </w:p>
    <w:tbl>
      <w:tblPr>
        <w:tblW w:w="9640" w:type="dxa"/>
        <w:tblLayout w:type="fixed"/>
        <w:tblCellMar>
          <w:left w:w="62" w:type="dxa"/>
          <w:right w:w="62" w:type="dxa"/>
        </w:tblCellMar>
        <w:tblLook w:val="0000"/>
      </w:tblPr>
      <w:tblGrid>
        <w:gridCol w:w="2978"/>
        <w:gridCol w:w="6662"/>
      </w:tblGrid>
      <w:tr w:rsidTr="00CF34E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B0CA2" w:rsidP="00EB0CA2">
            <w:pPr>
              <w:pStyle w:val="BodyText"/>
            </w:pPr>
            <w:r w:rsidRPr="00EB0CA2">
              <w:t>This unit contains employability skills.</w:t>
            </w:r>
          </w:p>
        </w:tc>
      </w:tr>
    </w:tbl>
    <w:p w:rsidR="00CF34EA" w:rsidP="00EB0CA2">
      <w:pPr>
        <w:pStyle w:val="BodyText"/>
      </w:pPr>
    </w:p>
    <w:p w:rsidR="00CF34EA" w:rsidP="00EB0CA2">
      <w:pPr>
        <w:pStyle w:val="BodyText"/>
      </w:pPr>
    </w:p>
    <w:p w:rsidR="00000000" w:rsidRPr="00EB0CA2" w:rsidP="00EB0CA2">
      <w:pPr>
        <w:pStyle w:val="Heading1"/>
      </w:pPr>
      <w:bookmarkStart w:id="7" w:name="O_292297"/>
      <w:bookmarkEnd w:id="7"/>
      <w:r w:rsidRPr="00EB0CA2">
        <w:t>Elements and Performance Criteria Pre-Content</w:t>
      </w:r>
    </w:p>
    <w:tbl>
      <w:tblPr>
        <w:tblW w:w="9640" w:type="dxa"/>
        <w:tblLayout w:type="fixed"/>
        <w:tblCellMar>
          <w:left w:w="62" w:type="dxa"/>
          <w:right w:w="62" w:type="dxa"/>
        </w:tblCellMar>
        <w:tblLook w:val="0000"/>
      </w:tblPr>
      <w:tblGrid>
        <w:gridCol w:w="2978"/>
        <w:gridCol w:w="6662"/>
      </w:tblGrid>
      <w:tr w:rsidTr="00CF34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B0CA2" w:rsidP="00EB0CA2">
            <w:pPr>
              <w:pStyle w:val="BodyText"/>
            </w:pPr>
            <w:r w:rsidRPr="00EB0CA2">
              <w:t>Performance criteria describe</w:t>
            </w:r>
            <w:r w:rsidRPr="00EB0CA2">
              <w:t xml:space="preserve"> the required performance needed to demonstrate achievement of the element. Assessment of performance is to be consistent with the evidence guide.</w:t>
            </w:r>
          </w:p>
        </w:tc>
      </w:tr>
    </w:tbl>
    <w:p w:rsidR="00000000" w:rsidRPr="00EB0CA2" w:rsidP="00EB0CA2">
      <w:pPr>
        <w:pStyle w:val="BodyText"/>
      </w:pPr>
    </w:p>
    <w:p w:rsidR="00000000" w:rsidRPr="00EB0CA2" w:rsidP="00EB0CA2">
      <w:pPr>
        <w:pStyle w:val="AllowPageBreak"/>
      </w:pPr>
    </w:p>
    <w:p w:rsidR="00000000" w:rsidRPr="00EB0CA2" w:rsidP="00EB0CA2">
      <w:pPr>
        <w:pStyle w:val="Heading1"/>
      </w:pPr>
      <w:bookmarkStart w:id="8" w:name="O_238965"/>
      <w:bookmarkEnd w:id="8"/>
      <w:r w:rsidRPr="00EB0CA2">
        <w:t>Elements and Performance Criteria</w:t>
      </w:r>
    </w:p>
    <w:tbl>
      <w:tblPr>
        <w:tblW w:w="9640" w:type="dxa"/>
        <w:tblLayout w:type="fixed"/>
        <w:tblCellMar>
          <w:left w:w="62" w:type="dxa"/>
          <w:right w:w="62" w:type="dxa"/>
        </w:tblCellMar>
        <w:tblLook w:val="0000"/>
      </w:tblPr>
      <w:tblGrid>
        <w:gridCol w:w="2978"/>
        <w:gridCol w:w="6662"/>
      </w:tblGrid>
      <w:tr w:rsidTr="00CF34E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B0CA2" w:rsidP="00EB0CA2">
            <w:pPr>
              <w:pStyle w:val="List"/>
            </w:pPr>
            <w:r w:rsidRPr="00EB0CA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B0CA2">
            <w:pPr>
              <w:pStyle w:val="List"/>
              <w:rPr>
                <w:lang w:val="en-NZ"/>
              </w:rPr>
            </w:pPr>
            <w:r w:rsidRPr="00EB0CA2">
              <w:rPr>
                <w:rStyle w:val="SpecialBold"/>
              </w:rPr>
              <w:t>PERFORMANCE CRITERIA</w:t>
            </w:r>
          </w:p>
        </w:tc>
      </w:tr>
      <w:tr w:rsidTr="00CF34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0CA2">
            <w:pPr>
              <w:pStyle w:val="List"/>
              <w:rPr>
                <w:lang w:val="en-NZ"/>
              </w:rPr>
            </w:pPr>
            <w:r w:rsidRPr="00EB0CA2">
              <w:rPr>
                <w:rStyle w:val="SpecialBold"/>
              </w:rPr>
              <w:t>1</w:t>
            </w:r>
            <w:r w:rsidRPr="00EB0CA2">
              <w:tab/>
            </w:r>
            <w:r w:rsidRPr="00EB0CA2">
              <w:rPr>
                <w:rStyle w:val="SpecialBold"/>
              </w:rPr>
              <w:t>Prepare for revenue protection activities</w:t>
            </w:r>
          </w:p>
        </w:tc>
        <w:tc>
          <w:tcPr>
            <w:tcW w:w="6662" w:type="dxa"/>
            <w:tcBorders>
              <w:top w:val="nil"/>
              <w:left w:val="nil"/>
              <w:bottom w:val="nil"/>
              <w:right w:val="nil"/>
            </w:tcBorders>
            <w:tcMar>
              <w:top w:w="0" w:type="dxa"/>
              <w:left w:w="62" w:type="dxa"/>
              <w:bottom w:w="0" w:type="dxa"/>
              <w:right w:w="62" w:type="dxa"/>
            </w:tcMar>
          </w:tcPr>
          <w:p w:rsidR="00000000" w:rsidRPr="00EB0CA2" w:rsidP="00EB0CA2">
            <w:pPr>
              <w:pStyle w:val="List"/>
            </w:pPr>
            <w:r w:rsidRPr="00EB0CA2">
              <w:t>1.1</w:t>
            </w:r>
            <w:r w:rsidRPr="00EB0CA2">
              <w:tab/>
              <w:t>Strategies to check customer ticketing are planned</w:t>
            </w:r>
          </w:p>
          <w:p w:rsidR="00000000" w:rsidRPr="00EB0CA2" w:rsidP="00EB0CA2">
            <w:pPr>
              <w:pStyle w:val="List"/>
            </w:pPr>
            <w:r w:rsidRPr="00EB0CA2">
              <w:t>1.2</w:t>
            </w:r>
            <w:r w:rsidRPr="00EB0CA2">
              <w:tab/>
              <w:t>Resources to implement ticket checks are arranged to suit anticipated passengers numbers</w:t>
            </w:r>
          </w:p>
          <w:p w:rsidR="00000000" w:rsidRPr="00EB0CA2" w:rsidP="00EB0CA2">
            <w:pPr>
              <w:pStyle w:val="List"/>
            </w:pPr>
            <w:r w:rsidRPr="00EB0CA2">
              <w:t>1.3</w:t>
            </w:r>
            <w:r w:rsidRPr="00EB0CA2">
              <w:tab/>
              <w:t>Queuing systems and barriers are set up to ensure ticket check</w:t>
            </w:r>
            <w:r w:rsidRPr="00EB0CA2">
              <w:t>s are comprehensive</w:t>
            </w:r>
          </w:p>
          <w:p w:rsidR="00000000" w:rsidRPr="00EB0CA2" w:rsidP="00EB0CA2">
            <w:pPr>
              <w:pStyle w:val="List"/>
            </w:pPr>
            <w:r w:rsidRPr="00EB0CA2">
              <w:t>1.4</w:t>
            </w:r>
            <w:r w:rsidRPr="00EB0CA2">
              <w:tab/>
              <w:t>Staff are allocated to planned activities according to organisation procedures and policy</w:t>
            </w:r>
          </w:p>
          <w:p w:rsidR="00000000" w:rsidP="00EB0CA2">
            <w:pPr>
              <w:pStyle w:val="List"/>
              <w:rPr>
                <w:lang w:val="en-NZ"/>
              </w:rPr>
            </w:pPr>
            <w:r w:rsidRPr="00EB0CA2">
              <w:t>1.5</w:t>
            </w:r>
            <w:r w:rsidRPr="00EB0CA2">
              <w:tab/>
              <w:t>Staff are briefed on strategies for checking customers' tickets</w:t>
            </w:r>
          </w:p>
        </w:tc>
      </w:tr>
      <w:tr w:rsidTr="00CF34E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0CA2">
            <w:pPr>
              <w:pStyle w:val="List"/>
              <w:rPr>
                <w:lang w:val="en-NZ"/>
              </w:rPr>
            </w:pPr>
            <w:r w:rsidRPr="00EB0CA2">
              <w:rPr>
                <w:rStyle w:val="SpecialBold"/>
              </w:rPr>
              <w:t>2</w:t>
            </w:r>
            <w:r w:rsidRPr="00EB0CA2">
              <w:tab/>
            </w:r>
            <w:r w:rsidRPr="00EB0CA2">
              <w:rPr>
                <w:rStyle w:val="SpecialBold"/>
              </w:rPr>
              <w:t>Implement revenue protection procedures</w:t>
            </w:r>
          </w:p>
        </w:tc>
        <w:tc>
          <w:tcPr>
            <w:tcW w:w="6662" w:type="dxa"/>
            <w:tcBorders>
              <w:top w:val="nil"/>
              <w:left w:val="nil"/>
              <w:bottom w:val="nil"/>
              <w:right w:val="nil"/>
            </w:tcBorders>
            <w:tcMar>
              <w:top w:w="0" w:type="dxa"/>
              <w:left w:w="62" w:type="dxa"/>
              <w:bottom w:w="0" w:type="dxa"/>
              <w:right w:w="62" w:type="dxa"/>
            </w:tcMar>
          </w:tcPr>
          <w:p w:rsidR="00000000" w:rsidRPr="00EB0CA2" w:rsidP="00EB0CA2">
            <w:pPr>
              <w:pStyle w:val="List"/>
            </w:pPr>
            <w:r w:rsidRPr="00EB0CA2">
              <w:t>2.1</w:t>
            </w:r>
            <w:r w:rsidRPr="00EB0CA2">
              <w:tab/>
              <w:t>Ticket checks are conducted</w:t>
            </w:r>
            <w:r w:rsidRPr="00EB0CA2">
              <w:t xml:space="preserve"> against organisational requirements</w:t>
            </w:r>
          </w:p>
          <w:p w:rsidR="00000000" w:rsidRPr="00EB0CA2" w:rsidP="00EB0CA2">
            <w:pPr>
              <w:pStyle w:val="List"/>
            </w:pPr>
            <w:r w:rsidRPr="00EB0CA2">
              <w:t>2.2</w:t>
            </w:r>
            <w:r w:rsidRPr="00EB0CA2">
              <w:tab/>
              <w:t>Fares are collected or infringement notices are issued</w:t>
            </w:r>
          </w:p>
          <w:p w:rsidR="00000000" w:rsidRPr="00EB0CA2" w:rsidP="00EB0CA2">
            <w:pPr>
              <w:pStyle w:val="List"/>
            </w:pPr>
            <w:r w:rsidRPr="00EB0CA2">
              <w:t>2.3</w:t>
            </w:r>
            <w:r w:rsidRPr="00EB0CA2">
              <w:tab/>
              <w:t>Use of concession, special and privilege passes is monitored for compliance with organisational policies</w:t>
            </w:r>
          </w:p>
        </w:tc>
      </w:tr>
    </w:tbl>
    <w:p w:rsidR="00CF34EA" w:rsidP="00EB0CA2">
      <w:pPr>
        <w:pStyle w:val="BodyText"/>
      </w:pPr>
    </w:p>
    <w:p w:rsidR="00CF34EA" w:rsidP="00EB0CA2">
      <w:pPr>
        <w:pStyle w:val="BodyText"/>
      </w:pPr>
    </w:p>
    <w:p w:rsidR="00000000" w:rsidRPr="00EB0CA2" w:rsidP="00EB0CA2">
      <w:pPr>
        <w:pStyle w:val="Heading1"/>
      </w:pPr>
      <w:bookmarkStart w:id="9" w:name="O_262756"/>
      <w:bookmarkEnd w:id="9"/>
      <w:r w:rsidRPr="00EB0CA2">
        <w:t>Required Skills and Knowledge</w:t>
      </w:r>
    </w:p>
    <w:tbl>
      <w:tblPr>
        <w:tblW w:w="9640" w:type="dxa"/>
        <w:tblLayout w:type="fixed"/>
        <w:tblCellMar>
          <w:left w:w="62" w:type="dxa"/>
          <w:right w:w="62" w:type="dxa"/>
        </w:tblCellMar>
        <w:tblLook w:val="0000"/>
      </w:tblPr>
      <w:tblGrid>
        <w:gridCol w:w="9640"/>
      </w:tblGrid>
      <w:tr w:rsidTr="00CF34E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rPr>
                <w:rStyle w:val="SpecialBold"/>
              </w:rPr>
              <w:t>REQUIRED KNOWLEDGE AND SKILLS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t>This describes the essential knowledge and skills and their level required for this unit.</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rPr>
                <w:rStyle w:val="SpecialBold"/>
              </w:rPr>
              <w:t>Required knowledge</w:t>
            </w:r>
            <w:r w:rsidRPr="00EB0CA2">
              <w:t>:</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Relevant state and territory regulations and requirements pertaining to revenue protection</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Relevant OH&amp;S and environmental protection procedures and guidelines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Organisational policies and procedures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Risks and hazards when providing revenue protection within a transport system and related precautions to control the risk</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Organisation's trans</w:t>
            </w:r>
            <w:r w:rsidRPr="00EB0CA2">
              <w:t>port services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Complementary transport services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Fare structures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Concessional privileges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Timetables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Typical problems that can occur when providing revenue protection measures and appropriate action that can be taken to prevent or solve them</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B0CA2" w:rsidP="00EB0CA2">
            <w:pPr>
              <w:pStyle w:val="ListBullet"/>
            </w:pPr>
            <w:r w:rsidRPr="00EB0CA2">
              <w:t>Customer service requirements</w:t>
            </w:r>
          </w:p>
        </w:tc>
      </w:tr>
    </w:tbl>
    <w:p w:rsidR="00000000" w:rsidRPr="00EB0CA2" w:rsidP="00EB0CA2">
      <w:pPr>
        <w:pStyle w:val="BodyText"/>
      </w:pPr>
    </w:p>
    <w:tbl>
      <w:tblPr>
        <w:tblW w:w="9640" w:type="dxa"/>
        <w:tblLayout w:type="fixed"/>
        <w:tblCellMar>
          <w:left w:w="62" w:type="dxa"/>
          <w:right w:w="62" w:type="dxa"/>
        </w:tblCellMar>
        <w:tblLook w:val="0000"/>
      </w:tblPr>
      <w:tblGrid>
        <w:gridCol w:w="9640"/>
      </w:tblGrid>
      <w:tr w:rsidTr="00CF34E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rPr>
                <w:rStyle w:val="SpecialBold"/>
              </w:rPr>
              <w:t>Required skills</w:t>
            </w:r>
            <w:r w:rsidRPr="00EB0CA2">
              <w:t>:</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Communicate effectively with others when providing revenue protection measures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Resolve conflict situations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 xml:space="preserve">Read and interpret instructions, procedures and information relevant to the provision </w:t>
            </w:r>
            <w:r w:rsidRPr="00EB0CA2">
              <w:t>of revenue protection measures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Interpret and follow operational instructions and prioritise work</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Complete documentation related to the provision of revenue protection measures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Operate electronic communication equipment to required protocol</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Calculate fares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Work collaboratively with others when providing revenue protection measures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Deploy staff</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Adapt appropriately to cultural differences in the workplace, including modes of behaviour and interactions with others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 xml:space="preserve">Promptly report and/or </w:t>
            </w:r>
            <w:r w:rsidRPr="00EB0CA2">
              <w:t>rectify any identified problems that may occur when providing revenue protection measures in accordance with regulatory requirements and workplace procedures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Implement contingency plans for unanticipated situations that may arise when providing revenue p</w:t>
            </w:r>
            <w:r w:rsidRPr="00EB0CA2">
              <w:t>rotection measures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Apply precautions and required action to minimise, control or eliminate hazards that may exist during the provision of revenue protection measures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Monitor work activities in terms of planned schedule</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Manage stress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Modify activities depending on differing operational contingencies, risk situations and environments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Work systematically with required attention to detail without injury to self or others, or damage to goods or equipment</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Operate barriers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Validate tic</w:t>
            </w:r>
            <w:r w:rsidRPr="00EB0CA2">
              <w:t>kets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Apply basic mechanical skills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0CA2">
            <w:pPr>
              <w:pStyle w:val="ListBullet"/>
              <w:rPr>
                <w:lang w:val="en-NZ"/>
              </w:rPr>
            </w:pPr>
            <w:r w:rsidRPr="00EB0CA2">
              <w:t>Adapt to differences in equipment in accordance with standard operating procedures</w:t>
            </w:r>
          </w:p>
        </w:tc>
      </w:tr>
      <w:tr w:rsidTr="00CF34E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B0CA2" w:rsidP="00EB0CA2">
            <w:pPr>
              <w:pStyle w:val="ListBullet"/>
            </w:pPr>
            <w:r w:rsidRPr="00EB0CA2">
              <w:t>Select and use required personal protective equipment conforming to industry and OH&amp;S standards</w:t>
            </w:r>
          </w:p>
        </w:tc>
      </w:tr>
    </w:tbl>
    <w:p w:rsidR="00CF34EA" w:rsidP="00EB0CA2">
      <w:pPr>
        <w:pStyle w:val="BodyText"/>
      </w:pPr>
    </w:p>
    <w:p w:rsidR="00CF34EA" w:rsidP="00EB0CA2">
      <w:pPr>
        <w:pStyle w:val="BodyText"/>
      </w:pPr>
    </w:p>
    <w:p w:rsidR="00000000" w:rsidRPr="00EB0CA2" w:rsidP="00EB0CA2">
      <w:pPr>
        <w:pStyle w:val="Heading1"/>
      </w:pPr>
      <w:bookmarkStart w:id="10" w:name="O_246949"/>
      <w:bookmarkEnd w:id="10"/>
      <w:r w:rsidRPr="00EB0CA2">
        <w:t>Evidence Guide</w:t>
      </w:r>
    </w:p>
    <w:tbl>
      <w:tblPr>
        <w:tblW w:w="9499" w:type="dxa"/>
        <w:tblLayout w:type="fixed"/>
        <w:tblCellMar>
          <w:left w:w="62" w:type="dxa"/>
          <w:right w:w="62" w:type="dxa"/>
        </w:tblCellMar>
        <w:tblLook w:val="0000"/>
      </w:tblPr>
      <w:tblGrid>
        <w:gridCol w:w="3524"/>
        <w:gridCol w:w="5975"/>
      </w:tblGrid>
      <w:tr w:rsidTr="00CF34E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rPr>
                <w:rStyle w:val="SpecialBold"/>
              </w:rPr>
              <w:t>EVIDENCE GUIDE</w:t>
            </w:r>
          </w:p>
        </w:tc>
      </w:tr>
      <w:tr w:rsidTr="00CF34E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t>The evidence guide provides advice on assessment and must be read in conjunction with the performance criteria, required knowledge and skills, the range statement and the assessment guidelines for this Training Package.</w:t>
            </w:r>
          </w:p>
        </w:tc>
      </w:tr>
      <w:tr w:rsidTr="00CF34E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B0CA2" w:rsidP="00EB0CA2">
            <w:pPr>
              <w:pStyle w:val="ListBullet"/>
            </w:pPr>
            <w:r w:rsidRPr="00EB0CA2">
              <w:t>The evidence required to demonstrate competency in this unit must be relevant to and satisfy all of the requirements of the elements and performance criteria of t</w:t>
            </w:r>
            <w:r w:rsidRPr="00EB0CA2">
              <w:t>his unit and include demonstration of applying:</w:t>
            </w:r>
          </w:p>
          <w:p w:rsidR="00000000" w:rsidRPr="00EB0CA2" w:rsidP="00EB0CA2">
            <w:pPr>
              <w:pStyle w:val="ListBullet2"/>
            </w:pPr>
            <w:r w:rsidRPr="00EB0CA2">
              <w:t>the underpinning knowledge and skills</w:t>
            </w:r>
          </w:p>
          <w:p w:rsidR="00000000" w:rsidRPr="00EB0CA2" w:rsidP="00EB0CA2">
            <w:pPr>
              <w:pStyle w:val="ListBullet2"/>
            </w:pPr>
            <w:r w:rsidRPr="00EB0CA2">
              <w:t>relevant legislation and workplace procedures</w:t>
            </w:r>
          </w:p>
          <w:p w:rsidR="00000000" w:rsidP="00EB0CA2">
            <w:pPr>
              <w:pStyle w:val="ListBullet2"/>
              <w:rPr>
                <w:lang w:val="en-NZ"/>
              </w:rPr>
            </w:pPr>
            <w:r w:rsidRPr="00EB0CA2">
              <w:t>other relevant aspects of the range statement</w:t>
            </w:r>
          </w:p>
        </w:tc>
      </w:tr>
      <w:tr w:rsidTr="00CF34E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B0CA2" w:rsidP="00EB0CA2">
            <w:pPr>
              <w:pStyle w:val="ListBullet"/>
            </w:pPr>
            <w:r w:rsidRPr="00EB0CA2">
              <w:t>Performance is demonstrated consistently over a period of time and in a suitable range of contexts</w:t>
            </w:r>
          </w:p>
          <w:p w:rsidR="00000000" w:rsidRPr="00EB0CA2" w:rsidP="00EB0CA2">
            <w:pPr>
              <w:pStyle w:val="ListBullet"/>
            </w:pPr>
            <w:r w:rsidRPr="00EB0CA2">
              <w:t>Resources for assessment include:</w:t>
            </w:r>
          </w:p>
          <w:p w:rsidR="00000000" w:rsidRPr="00EB0CA2" w:rsidP="00EB0CA2">
            <w:pPr>
              <w:pStyle w:val="ListBullet2"/>
            </w:pPr>
            <w:r w:rsidRPr="00EB0CA2">
              <w:t>a range of relevant exercises, case studies and/or other simulated practical and knowledge assessment, and/or</w:t>
            </w:r>
          </w:p>
          <w:p w:rsidR="00000000" w:rsidRPr="00EB0CA2" w:rsidP="00EB0CA2">
            <w:pPr>
              <w:pStyle w:val="ListBullet2"/>
            </w:pPr>
            <w:r w:rsidRPr="00EB0CA2">
              <w:t>access to an appropriate range of relevant operational situations in the workplace</w:t>
            </w:r>
          </w:p>
          <w:p w:rsidR="00000000" w:rsidRPr="00EB0CA2" w:rsidP="00EB0CA2">
            <w:pPr>
              <w:pStyle w:val="ListBullet"/>
            </w:pPr>
            <w:r w:rsidRPr="00EB0CA2">
              <w:t>In both real and simulated environments, access is required to:</w:t>
            </w:r>
          </w:p>
          <w:p w:rsidR="00000000" w:rsidRPr="00EB0CA2" w:rsidP="00EB0CA2">
            <w:pPr>
              <w:pStyle w:val="ListBullet2"/>
            </w:pPr>
            <w:r w:rsidRPr="00EB0CA2">
              <w:t>relevant and appropriate materials and equipment, and</w:t>
            </w:r>
          </w:p>
          <w:p w:rsidR="00000000" w:rsidP="00EB0CA2">
            <w:pPr>
              <w:pStyle w:val="ListBullet2"/>
              <w:rPr>
                <w:lang w:val="en-NZ"/>
              </w:rPr>
            </w:pPr>
            <w:r w:rsidRPr="00EB0CA2">
              <w:t>applicable documentation including workplace procedur</w:t>
            </w:r>
            <w:r w:rsidRPr="00EB0CA2">
              <w:t>es, regulations, codes of practice and operation manuals</w:t>
            </w:r>
          </w:p>
        </w:tc>
      </w:tr>
      <w:tr w:rsidTr="00CF34E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B0CA2" w:rsidP="00EB0CA2">
            <w:pPr>
              <w:pStyle w:val="ListBullet"/>
            </w:pPr>
            <w:r w:rsidRPr="00EB0CA2">
              <w:t>Assessment of this unit must be undertaken by a registered training organisation</w:t>
            </w:r>
          </w:p>
          <w:p w:rsidR="00000000" w:rsidRPr="00EB0CA2" w:rsidP="00EB0CA2">
            <w:pPr>
              <w:pStyle w:val="ListBullet"/>
            </w:pPr>
            <w:r w:rsidRPr="00EB0CA2">
              <w:t>As a minimum, assessment of knowledge must be conducted through appropriate written/oral tests</w:t>
            </w:r>
          </w:p>
          <w:p w:rsidR="00000000" w:rsidRPr="00EB0CA2" w:rsidP="00EB0CA2">
            <w:pPr>
              <w:pStyle w:val="ListBullet"/>
            </w:pPr>
            <w:r w:rsidRPr="00EB0CA2">
              <w:t>Practical assessment must occur:</w:t>
            </w:r>
          </w:p>
          <w:p w:rsidR="00000000" w:rsidRPr="00EB0CA2" w:rsidP="00EB0CA2">
            <w:pPr>
              <w:pStyle w:val="ListBullet2"/>
            </w:pPr>
            <w:r w:rsidRPr="00EB0CA2">
              <w:t>through activities in an appropriately simulated environment at the registered training organisation, and/or</w:t>
            </w:r>
          </w:p>
          <w:p w:rsidR="00000000" w:rsidRPr="00EB0CA2" w:rsidP="00EB0CA2">
            <w:pPr>
              <w:pStyle w:val="ListBullet2"/>
            </w:pPr>
            <w:r w:rsidRPr="00EB0CA2">
              <w:t>in an appropriate range of situations in the workplace</w:t>
            </w:r>
          </w:p>
        </w:tc>
      </w:tr>
    </w:tbl>
    <w:p w:rsidR="00CF34EA" w:rsidP="00EB0CA2">
      <w:pPr>
        <w:pStyle w:val="BodyText"/>
      </w:pPr>
    </w:p>
    <w:p w:rsidR="00CF34EA" w:rsidP="00EB0CA2">
      <w:pPr>
        <w:pStyle w:val="BodyText"/>
      </w:pPr>
    </w:p>
    <w:p w:rsidR="00000000" w:rsidRPr="00EB0CA2" w:rsidP="00EB0CA2">
      <w:pPr>
        <w:pStyle w:val="Heading1"/>
      </w:pPr>
      <w:bookmarkStart w:id="11" w:name="O_254932"/>
      <w:bookmarkEnd w:id="11"/>
      <w:r w:rsidRPr="00EB0CA2">
        <w:t>Range Statement</w:t>
      </w:r>
    </w:p>
    <w:tbl>
      <w:tblPr>
        <w:tblW w:w="9640" w:type="dxa"/>
        <w:tblLayout w:type="fixed"/>
        <w:tblCellMar>
          <w:left w:w="62" w:type="dxa"/>
          <w:right w:w="62" w:type="dxa"/>
        </w:tblCellMar>
        <w:tblLook w:val="0000"/>
      </w:tblPr>
      <w:tblGrid>
        <w:gridCol w:w="3486"/>
        <w:gridCol w:w="6154"/>
      </w:tblGrid>
      <w:tr w:rsidTr="00CF34E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rPr>
                <w:rStyle w:val="SpecialBold"/>
              </w:rPr>
              <w:t>RANGE STATEMENT</w:t>
            </w:r>
            <w:r w:rsidRPr="00EB0CA2">
              <w:t xml:space="preserve"> </w:t>
            </w:r>
          </w:p>
        </w:tc>
      </w:tr>
      <w:tr w:rsidTr="00CF34E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t>The range statement relates to the unit of competency as a whole. It allows for different work environments and situations that may affect performance.</w:t>
            </w:r>
          </w:p>
        </w:tc>
      </w:tr>
      <w:tr w:rsidTr="00CF3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EB0CA2" w:rsidP="00EB0CA2">
            <w:pPr>
              <w:pStyle w:val="ListBullet"/>
            </w:pPr>
            <w:r w:rsidRPr="00EB0CA2">
              <w:t>in a range of work environments and weather conditions</w:t>
            </w:r>
          </w:p>
          <w:p w:rsidR="00000000" w:rsidP="00EB0CA2">
            <w:pPr>
              <w:pStyle w:val="ListBullet"/>
              <w:rPr>
                <w:lang w:val="en-NZ"/>
              </w:rPr>
            </w:pPr>
            <w:r w:rsidRPr="00EB0CA2">
              <w:t>by day or night</w:t>
            </w:r>
          </w:p>
        </w:tc>
      </w:tr>
      <w:tr w:rsidTr="00CF3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t>Revenue protection policy implementation could mean:</w:t>
            </w:r>
          </w:p>
        </w:tc>
        <w:tc>
          <w:tcPr>
            <w:tcW w:w="6154" w:type="dxa"/>
            <w:tcBorders>
              <w:top w:val="nil"/>
              <w:left w:val="nil"/>
              <w:bottom w:val="nil"/>
              <w:right w:val="nil"/>
            </w:tcBorders>
            <w:tcMar>
              <w:top w:w="0" w:type="dxa"/>
              <w:left w:w="62" w:type="dxa"/>
              <w:bottom w:w="0" w:type="dxa"/>
              <w:right w:w="62" w:type="dxa"/>
            </w:tcMar>
          </w:tcPr>
          <w:p w:rsidR="00000000" w:rsidRPr="00EB0CA2" w:rsidP="00EB0CA2">
            <w:pPr>
              <w:pStyle w:val="ListBullet"/>
            </w:pPr>
            <w:r w:rsidRPr="00EB0CA2">
              <w:t>company procedures</w:t>
            </w:r>
          </w:p>
          <w:p w:rsidR="00000000" w:rsidRPr="00EB0CA2" w:rsidP="00EB0CA2">
            <w:pPr>
              <w:pStyle w:val="ListBullet"/>
            </w:pPr>
            <w:r w:rsidRPr="00EB0CA2">
              <w:t>sale of tickets</w:t>
            </w:r>
          </w:p>
          <w:p w:rsidR="00000000" w:rsidRPr="00EB0CA2" w:rsidP="00EB0CA2">
            <w:pPr>
              <w:pStyle w:val="ListBullet"/>
            </w:pPr>
            <w:r w:rsidRPr="00EB0CA2">
              <w:t>confiscation of invalid tickets</w:t>
            </w:r>
          </w:p>
          <w:p w:rsidR="00000000" w:rsidRPr="00EB0CA2" w:rsidP="00EB0CA2">
            <w:pPr>
              <w:pStyle w:val="ListBullet"/>
            </w:pPr>
            <w:r w:rsidRPr="00EB0CA2">
              <w:t>identification confirmation</w:t>
            </w:r>
          </w:p>
          <w:p w:rsidR="00000000" w:rsidP="00EB0CA2">
            <w:pPr>
              <w:pStyle w:val="ListBullet"/>
              <w:rPr>
                <w:lang w:val="en-NZ"/>
              </w:rPr>
            </w:pPr>
            <w:r w:rsidRPr="00EB0CA2">
              <w:t>checking of concessional, special and privilege passes</w:t>
            </w:r>
          </w:p>
        </w:tc>
      </w:tr>
      <w:tr w:rsidTr="00CF3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t>Staff allocation could be to:</w:t>
            </w:r>
          </w:p>
        </w:tc>
        <w:tc>
          <w:tcPr>
            <w:tcW w:w="6154" w:type="dxa"/>
            <w:tcBorders>
              <w:top w:val="nil"/>
              <w:left w:val="nil"/>
              <w:bottom w:val="nil"/>
              <w:right w:val="nil"/>
            </w:tcBorders>
            <w:tcMar>
              <w:top w:w="0" w:type="dxa"/>
              <w:left w:w="62" w:type="dxa"/>
              <w:bottom w:w="0" w:type="dxa"/>
              <w:right w:w="62" w:type="dxa"/>
            </w:tcMar>
          </w:tcPr>
          <w:p w:rsidR="00000000" w:rsidRPr="00EB0CA2" w:rsidP="00EB0CA2">
            <w:pPr>
              <w:pStyle w:val="ListBullet"/>
            </w:pPr>
            <w:r w:rsidRPr="00EB0CA2">
              <w:t>comply with company procedures</w:t>
            </w:r>
          </w:p>
          <w:p w:rsidR="00000000" w:rsidRPr="00EB0CA2" w:rsidP="00EB0CA2">
            <w:pPr>
              <w:pStyle w:val="ListBullet"/>
            </w:pPr>
            <w:r w:rsidRPr="00EB0CA2">
              <w:t>the organisation's embarking and disembarking points</w:t>
            </w:r>
          </w:p>
          <w:p w:rsidR="00000000" w:rsidP="00EB0CA2">
            <w:pPr>
              <w:pStyle w:val="ListBullet"/>
              <w:rPr>
                <w:lang w:val="en-NZ"/>
              </w:rPr>
            </w:pPr>
            <w:r w:rsidRPr="00EB0CA2">
              <w:t>the transportation units</w:t>
            </w:r>
          </w:p>
        </w:tc>
      </w:tr>
      <w:tr w:rsidTr="00CF3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t>Resources to monitor fare compliance may include:</w:t>
            </w:r>
          </w:p>
        </w:tc>
        <w:tc>
          <w:tcPr>
            <w:tcW w:w="6154" w:type="dxa"/>
            <w:tcBorders>
              <w:top w:val="nil"/>
              <w:left w:val="nil"/>
              <w:bottom w:val="nil"/>
              <w:right w:val="nil"/>
            </w:tcBorders>
            <w:tcMar>
              <w:top w:w="0" w:type="dxa"/>
              <w:left w:w="62" w:type="dxa"/>
              <w:bottom w:w="0" w:type="dxa"/>
              <w:right w:w="62" w:type="dxa"/>
            </w:tcMar>
          </w:tcPr>
          <w:p w:rsidR="00000000" w:rsidRPr="00EB0CA2" w:rsidP="00EB0CA2">
            <w:pPr>
              <w:pStyle w:val="ListBullet"/>
            </w:pPr>
            <w:r w:rsidRPr="00EB0CA2">
              <w:t>company procedures</w:t>
            </w:r>
          </w:p>
          <w:p w:rsidR="00000000" w:rsidRPr="00EB0CA2" w:rsidP="00EB0CA2">
            <w:pPr>
              <w:pStyle w:val="ListBullet"/>
            </w:pPr>
            <w:r w:rsidRPr="00EB0CA2">
              <w:t>barrier equipment</w:t>
            </w:r>
          </w:p>
          <w:p w:rsidR="00000000" w:rsidRPr="00EB0CA2" w:rsidP="00EB0CA2">
            <w:pPr>
              <w:pStyle w:val="ListBullet"/>
            </w:pPr>
            <w:r w:rsidRPr="00EB0CA2">
              <w:t>timetable and transport system information</w:t>
            </w:r>
          </w:p>
          <w:p w:rsidR="00000000" w:rsidRPr="00EB0CA2" w:rsidP="00EB0CA2">
            <w:pPr>
              <w:pStyle w:val="ListBullet"/>
            </w:pPr>
            <w:r w:rsidRPr="00EB0CA2">
              <w:t>tickets</w:t>
            </w:r>
          </w:p>
          <w:p w:rsidR="00000000" w:rsidRPr="00EB0CA2" w:rsidP="00EB0CA2">
            <w:pPr>
              <w:pStyle w:val="ListBullet"/>
            </w:pPr>
            <w:r w:rsidRPr="00EB0CA2">
              <w:t>automat</w:t>
            </w:r>
            <w:r w:rsidRPr="00EB0CA2">
              <w:t>ic ticket collection equipment</w:t>
            </w:r>
          </w:p>
          <w:p w:rsidR="00000000" w:rsidRPr="00EB0CA2" w:rsidP="00EB0CA2">
            <w:pPr>
              <w:pStyle w:val="ListBullet"/>
            </w:pPr>
            <w:r w:rsidRPr="00EB0CA2">
              <w:t>radio</w:t>
            </w:r>
          </w:p>
          <w:p w:rsidR="00000000" w:rsidRPr="00EB0CA2" w:rsidP="00EB0CA2">
            <w:pPr>
              <w:pStyle w:val="ListBullet"/>
            </w:pPr>
            <w:r w:rsidRPr="00EB0CA2">
              <w:t>fare schedule</w:t>
            </w:r>
          </w:p>
          <w:p w:rsidR="00000000" w:rsidP="00EB0CA2">
            <w:pPr>
              <w:pStyle w:val="ListBullet"/>
              <w:rPr>
                <w:lang w:val="en-NZ"/>
              </w:rPr>
            </w:pPr>
            <w:r w:rsidRPr="00EB0CA2">
              <w:t>infringement notice</w:t>
            </w:r>
          </w:p>
        </w:tc>
      </w:tr>
      <w:tr w:rsidTr="00CF3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t>Strategies for the checking of ticketing can include:</w:t>
            </w:r>
          </w:p>
        </w:tc>
        <w:tc>
          <w:tcPr>
            <w:tcW w:w="6154" w:type="dxa"/>
            <w:tcBorders>
              <w:top w:val="nil"/>
              <w:left w:val="nil"/>
              <w:bottom w:val="nil"/>
              <w:right w:val="nil"/>
            </w:tcBorders>
            <w:tcMar>
              <w:top w:w="0" w:type="dxa"/>
              <w:left w:w="62" w:type="dxa"/>
              <w:bottom w:w="0" w:type="dxa"/>
              <w:right w:w="62" w:type="dxa"/>
            </w:tcMar>
          </w:tcPr>
          <w:p w:rsidR="00000000" w:rsidRPr="00EB0CA2" w:rsidP="00EB0CA2">
            <w:pPr>
              <w:pStyle w:val="ListBullet"/>
            </w:pPr>
            <w:r w:rsidRPr="00EB0CA2">
              <w:t>company procedures</w:t>
            </w:r>
          </w:p>
          <w:p w:rsidR="00000000" w:rsidRPr="00EB0CA2" w:rsidP="00EB0CA2">
            <w:pPr>
              <w:pStyle w:val="ListBullet"/>
            </w:pPr>
            <w:r w:rsidRPr="00EB0CA2">
              <w:t>continuous checking</w:t>
            </w:r>
          </w:p>
          <w:p w:rsidR="00000000" w:rsidRPr="00EB0CA2" w:rsidP="00EB0CA2">
            <w:pPr>
              <w:pStyle w:val="ListBullet"/>
            </w:pPr>
            <w:r w:rsidRPr="00EB0CA2">
              <w:t>random checking</w:t>
            </w:r>
          </w:p>
          <w:p w:rsidR="00000000" w:rsidP="00EB0CA2">
            <w:pPr>
              <w:pStyle w:val="ListBullet"/>
              <w:rPr>
                <w:lang w:val="en-NZ"/>
              </w:rPr>
            </w:pPr>
            <w:r w:rsidRPr="00EB0CA2">
              <w:t>casual checking</w:t>
            </w:r>
          </w:p>
        </w:tc>
      </w:tr>
      <w:tr w:rsidTr="00CF3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B0CA2" w:rsidP="00EB0CA2">
            <w:pPr>
              <w:pStyle w:val="ListBullet"/>
            </w:pPr>
            <w:r w:rsidRPr="00EB0CA2">
              <w:t>company procedures</w:t>
            </w:r>
          </w:p>
          <w:p w:rsidR="00000000" w:rsidRPr="00EB0CA2" w:rsidP="00EB0CA2">
            <w:pPr>
              <w:pStyle w:val="ListBullet"/>
            </w:pPr>
            <w:r w:rsidRPr="00EB0CA2">
              <w:t>enterprise procedures</w:t>
            </w:r>
          </w:p>
          <w:p w:rsidR="00000000" w:rsidRPr="00EB0CA2" w:rsidP="00EB0CA2">
            <w:pPr>
              <w:pStyle w:val="ListBullet"/>
            </w:pPr>
            <w:r w:rsidRPr="00EB0CA2">
              <w:t>organisational procedures</w:t>
            </w:r>
          </w:p>
          <w:p w:rsidR="00000000" w:rsidP="00EB0CA2">
            <w:pPr>
              <w:pStyle w:val="ListBullet"/>
              <w:rPr>
                <w:lang w:val="en-NZ"/>
              </w:rPr>
            </w:pPr>
            <w:r w:rsidRPr="00EB0CA2">
              <w:t>established procedures</w:t>
            </w:r>
          </w:p>
        </w:tc>
      </w:tr>
      <w:tr w:rsidTr="00CF3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B0CA2" w:rsidP="00EB0CA2">
            <w:pPr>
              <w:pStyle w:val="ListBullet"/>
            </w:pPr>
            <w:r w:rsidRPr="00EB0CA2">
              <w:t>workplace policies and procedures</w:t>
            </w:r>
          </w:p>
          <w:p w:rsidR="00000000" w:rsidRPr="00EB0CA2" w:rsidP="00EB0CA2">
            <w:pPr>
              <w:pStyle w:val="ListBullet"/>
            </w:pPr>
            <w:r w:rsidRPr="00EB0CA2">
              <w:t>customer requests books</w:t>
            </w:r>
          </w:p>
          <w:p w:rsidR="00000000" w:rsidRPr="00EB0CA2" w:rsidP="00EB0CA2">
            <w:pPr>
              <w:pStyle w:val="ListBullet"/>
            </w:pPr>
            <w:r w:rsidRPr="00EB0CA2">
              <w:t>safeworking forms</w:t>
            </w:r>
          </w:p>
          <w:p w:rsidR="00000000" w:rsidRPr="00EB0CA2" w:rsidP="00EB0CA2">
            <w:pPr>
              <w:pStyle w:val="ListBullet"/>
            </w:pPr>
            <w:r w:rsidRPr="00EB0CA2">
              <w:t>dangerous goods manifests</w:t>
            </w:r>
          </w:p>
          <w:p w:rsidR="00000000" w:rsidRPr="00EB0CA2" w:rsidP="00EB0CA2">
            <w:pPr>
              <w:pStyle w:val="ListBullet"/>
            </w:pPr>
            <w:r w:rsidRPr="00EB0CA2">
              <w:t>relevant regulations concerning revenue protection within transport systems</w:t>
            </w:r>
          </w:p>
          <w:p w:rsidR="00000000" w:rsidRPr="00EB0CA2" w:rsidP="00EB0CA2">
            <w:pPr>
              <w:pStyle w:val="ListBullet"/>
            </w:pPr>
            <w:r w:rsidRPr="00EB0CA2">
              <w:t>competency standards and training materials</w:t>
            </w:r>
          </w:p>
          <w:p w:rsidR="00000000" w:rsidRPr="00EB0CA2" w:rsidP="00EB0CA2">
            <w:pPr>
              <w:pStyle w:val="ListBullet"/>
            </w:pPr>
            <w:r w:rsidRPr="00EB0CA2">
              <w:t>award, enterprise bargaining agree</w:t>
            </w:r>
            <w:r w:rsidRPr="00EB0CA2">
              <w:t>ment, other industrial arrangements</w:t>
            </w:r>
          </w:p>
          <w:p w:rsidR="00000000" w:rsidRPr="00EB0CA2" w:rsidP="00EB0CA2">
            <w:pPr>
              <w:pStyle w:val="ListBullet"/>
            </w:pPr>
            <w:r w:rsidRPr="00EB0CA2">
              <w:t>standards and certification requirements</w:t>
            </w:r>
          </w:p>
          <w:p w:rsidR="00000000" w:rsidRPr="00EB0CA2" w:rsidP="00EB0CA2">
            <w:pPr>
              <w:pStyle w:val="ListBullet"/>
            </w:pPr>
            <w:r w:rsidRPr="00EB0CA2">
              <w:t>quality assurance procedures</w:t>
            </w:r>
          </w:p>
          <w:p w:rsidR="00000000" w:rsidP="00EB0CA2">
            <w:pPr>
              <w:pStyle w:val="ListBullet"/>
              <w:rPr>
                <w:lang w:val="en-NZ"/>
              </w:rPr>
            </w:pPr>
            <w:r w:rsidRPr="00EB0CA2">
              <w:t>security and emergency procedures</w:t>
            </w:r>
          </w:p>
        </w:tc>
      </w:tr>
      <w:tr w:rsidTr="00CF34E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B0CA2" w:rsidP="00EB0CA2">
            <w:pPr>
              <w:pStyle w:val="ListBullet"/>
            </w:pPr>
            <w:r w:rsidRPr="00EB0CA2">
              <w:t>relevant state/territory regulations and legislation concerned</w:t>
            </w:r>
            <w:r w:rsidRPr="00EB0CA2">
              <w:t xml:space="preserve"> with revenue protection within transport systems</w:t>
            </w:r>
          </w:p>
          <w:p w:rsidR="00000000" w:rsidRPr="00EB0CA2" w:rsidP="00EB0CA2">
            <w:pPr>
              <w:pStyle w:val="ListBullet"/>
            </w:pPr>
            <w:r w:rsidRPr="00EB0CA2">
              <w:t>relevant state/territory OH&amp;S regulations and legislation</w:t>
            </w:r>
          </w:p>
          <w:p w:rsidR="00000000" w:rsidRPr="00EB0CA2" w:rsidP="00EB0CA2">
            <w:pPr>
              <w:pStyle w:val="ListBullet"/>
            </w:pPr>
            <w:r w:rsidRPr="00EB0CA2">
              <w:t>relevant state/territory environmental protection legislation</w:t>
            </w:r>
          </w:p>
        </w:tc>
      </w:tr>
    </w:tbl>
    <w:p w:rsidR="00CF34EA" w:rsidP="00EB0CA2">
      <w:pPr>
        <w:pStyle w:val="BodyText"/>
      </w:pPr>
    </w:p>
    <w:p w:rsidR="00CF34EA" w:rsidP="00EB0CA2">
      <w:pPr>
        <w:pStyle w:val="BodyText"/>
      </w:pPr>
    </w:p>
    <w:p w:rsidR="00000000" w:rsidRPr="00EB0CA2" w:rsidP="00EB0CA2">
      <w:pPr>
        <w:pStyle w:val="Heading1"/>
      </w:pPr>
      <w:bookmarkStart w:id="12" w:name="O_295945"/>
      <w:bookmarkEnd w:id="12"/>
      <w:r w:rsidRPr="00EB0CA2">
        <w:t>Unit Sector(s)</w:t>
      </w:r>
    </w:p>
    <w:p w:rsidR="00000000" w:rsidRPr="00EB0CA2" w:rsidP="00EB0CA2">
      <w:pPr>
        <w:pStyle w:val="BodyText"/>
      </w:pPr>
      <w:r w:rsidRPr="00EB0CA2">
        <w:t>Not Applicable</w:t>
      </w:r>
    </w:p>
    <w:p w:rsidR="00000000" w:rsidRPr="00EB0CA2" w:rsidP="00EB0CA2">
      <w:pPr>
        <w:pStyle w:val="AllowPageBreak"/>
      </w:pPr>
    </w:p>
    <w:p w:rsidR="00000000" w:rsidRPr="00EB0CA2" w:rsidP="00EB0CA2">
      <w:pPr>
        <w:pStyle w:val="Heading1"/>
      </w:pPr>
      <w:bookmarkStart w:id="13" w:name="O_224069"/>
      <w:bookmarkEnd w:id="13"/>
      <w:r w:rsidRPr="00EB0CA2">
        <w:t>Competency Field</w:t>
      </w:r>
    </w:p>
    <w:tbl>
      <w:tblPr>
        <w:tblW w:w="9640" w:type="dxa"/>
        <w:tblLayout w:type="fixed"/>
        <w:tblCellMar>
          <w:left w:w="62" w:type="dxa"/>
          <w:right w:w="62" w:type="dxa"/>
        </w:tblCellMar>
        <w:tblLook w:val="0000"/>
      </w:tblPr>
      <w:tblGrid>
        <w:gridCol w:w="2978"/>
        <w:gridCol w:w="6662"/>
      </w:tblGrid>
      <w:tr w:rsidTr="00CF34E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B0CA2">
            <w:pPr>
              <w:pStyle w:val="BodyText"/>
              <w:rPr>
                <w:lang w:val="en-NZ"/>
              </w:rPr>
            </w:pPr>
            <w:r w:rsidRPr="00EB0CA2">
              <w:rPr>
                <w:rStyle w:val="SpecialBold"/>
              </w:rPr>
              <w:t>Competency Field</w:t>
            </w:r>
            <w:r w:rsidRPr="00EB0CA2">
              <w:t xml:space="preserve"> </w:t>
            </w:r>
          </w:p>
        </w:tc>
        <w:tc>
          <w:tcPr>
            <w:tcW w:w="6662" w:type="dxa"/>
            <w:tcBorders>
              <w:top w:val="nil"/>
              <w:left w:val="nil"/>
              <w:bottom w:val="nil"/>
              <w:right w:val="nil"/>
            </w:tcBorders>
            <w:tcMar>
              <w:top w:w="0" w:type="dxa"/>
              <w:left w:w="62" w:type="dxa"/>
              <w:bottom w:w="0" w:type="dxa"/>
              <w:right w:w="62" w:type="dxa"/>
            </w:tcMar>
          </w:tcPr>
          <w:p w:rsidR="00000000" w:rsidRPr="00EB0CA2" w:rsidP="00EB0CA2">
            <w:pPr>
              <w:pStyle w:val="BodyText"/>
            </w:pPr>
            <w:r w:rsidRPr="00EB0CA2">
              <w:t>O - Security</w:t>
            </w:r>
          </w:p>
        </w:tc>
      </w:tr>
    </w:tbl>
    <w:p w:rsidR="00CF34EA" w:rsidP="00EB0CA2">
      <w:pPr>
        <w:pStyle w:val="BodyText"/>
      </w:pPr>
    </w:p>
    <w:p w:rsidR="00CF34EA" w:rsidP="00EB0CA2">
      <w:pPr>
        <w:pStyle w:val="BodyText"/>
      </w:pPr>
    </w:p>
    <w:p w:rsidR="00000000" w:rsidRPr="00EB0CA2" w:rsidP="00EB0CA2"/>
    <w:sectPr w:rsidSect="00EB0C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4EA" w:rsidP="00CF34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4EA" w:rsidP="00EB0C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34EA" w:rsidP="00EB0C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F34EA" w:rsidP="00EB0C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4EA" w:rsidP="00CF34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C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4EA" w:rsidP="00EB0CA2">
    <w:pPr>
      <w:pStyle w:val="Header"/>
      <w:framePr w:wrap="around"/>
    </w:pPr>
    <w:r>
      <w:fldChar w:fldCharType="begin"/>
    </w:r>
    <w:r>
      <w:instrText xml:space="preserve"> TITLE   \* MERGEFORMAT </w:instrText>
    </w:r>
    <w:r>
      <w:fldChar w:fldCharType="separate"/>
    </w:r>
    <w:r>
      <w:t>TLIO2011A Provide revenue protection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34EA" w:rsidP="00EB0C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DAD3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A27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3CF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C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0CA2"/>
    <w:pPr>
      <w:spacing w:before="360" w:after="60"/>
      <w:outlineLvl w:val="0"/>
    </w:pPr>
    <w:rPr>
      <w:sz w:val="32"/>
    </w:rPr>
  </w:style>
  <w:style w:type="paragraph" w:styleId="Heading2">
    <w:name w:val="heading 2"/>
    <w:basedOn w:val="HeadingBase"/>
    <w:next w:val="BodyText"/>
    <w:link w:val="Heading2Char"/>
    <w:qFormat/>
    <w:rsid w:val="00EB0CA2"/>
    <w:pPr>
      <w:keepLines/>
      <w:spacing w:before="240" w:after="120"/>
      <w:outlineLvl w:val="1"/>
    </w:pPr>
    <w:rPr>
      <w:sz w:val="28"/>
      <w:szCs w:val="40"/>
    </w:rPr>
  </w:style>
  <w:style w:type="paragraph" w:styleId="Heading3">
    <w:name w:val="heading 3"/>
    <w:basedOn w:val="HeadingBase"/>
    <w:next w:val="BodyText"/>
    <w:link w:val="Heading3Char"/>
    <w:qFormat/>
    <w:rsid w:val="00EB0CA2"/>
    <w:pPr>
      <w:spacing w:before="180" w:after="120"/>
      <w:outlineLvl w:val="2"/>
    </w:pPr>
    <w:rPr>
      <w:spacing w:val="-10"/>
      <w:kern w:val="32"/>
    </w:rPr>
  </w:style>
  <w:style w:type="paragraph" w:styleId="Heading4">
    <w:name w:val="heading 4"/>
    <w:basedOn w:val="HeadingBase"/>
    <w:next w:val="BodyText"/>
    <w:link w:val="Heading4Char"/>
    <w:qFormat/>
    <w:rsid w:val="00EB0CA2"/>
    <w:pPr>
      <w:spacing w:before="160" w:after="120"/>
      <w:outlineLvl w:val="3"/>
    </w:pPr>
    <w:rPr>
      <w:sz w:val="22"/>
    </w:rPr>
  </w:style>
  <w:style w:type="paragraph" w:styleId="Heading5">
    <w:name w:val="heading 5"/>
    <w:basedOn w:val="HeadingBase"/>
    <w:next w:val="Normal"/>
    <w:link w:val="Heading5Char"/>
    <w:qFormat/>
    <w:rsid w:val="00EB0CA2"/>
    <w:pPr>
      <w:spacing w:before="80"/>
      <w:outlineLvl w:val="4"/>
    </w:pPr>
    <w:rPr>
      <w:color w:val="918585"/>
      <w:sz w:val="20"/>
    </w:rPr>
  </w:style>
  <w:style w:type="paragraph" w:styleId="Heading6">
    <w:name w:val="heading 6"/>
    <w:basedOn w:val="HeadingBase"/>
    <w:next w:val="Normal"/>
    <w:link w:val="Heading6Char"/>
    <w:qFormat/>
    <w:rsid w:val="00EB0CA2"/>
    <w:pPr>
      <w:spacing w:before="60"/>
      <w:outlineLvl w:val="5"/>
    </w:pPr>
    <w:rPr>
      <w:color w:val="918585"/>
      <w:sz w:val="20"/>
    </w:rPr>
  </w:style>
  <w:style w:type="paragraph" w:styleId="Heading7">
    <w:name w:val="heading 7"/>
    <w:basedOn w:val="Normal"/>
    <w:next w:val="Normal"/>
    <w:link w:val="Heading7Char"/>
    <w:qFormat/>
    <w:rsid w:val="00EB0CA2"/>
    <w:pPr>
      <w:ind w:left="720"/>
      <w:outlineLvl w:val="6"/>
    </w:pPr>
    <w:rPr>
      <w:i/>
    </w:rPr>
  </w:style>
  <w:style w:type="paragraph" w:styleId="Heading8">
    <w:name w:val="heading 8"/>
    <w:basedOn w:val="Normal"/>
    <w:next w:val="Normal"/>
    <w:link w:val="Heading8Char"/>
    <w:qFormat/>
    <w:rsid w:val="00EB0CA2"/>
    <w:pPr>
      <w:ind w:left="720"/>
      <w:outlineLvl w:val="7"/>
    </w:pPr>
    <w:rPr>
      <w:i/>
    </w:rPr>
  </w:style>
  <w:style w:type="paragraph" w:styleId="Heading9">
    <w:name w:val="heading 9"/>
    <w:basedOn w:val="Normal"/>
    <w:next w:val="Normal"/>
    <w:link w:val="Heading9Char"/>
    <w:qFormat/>
    <w:rsid w:val="00EB0CA2"/>
    <w:pPr>
      <w:ind w:left="720"/>
      <w:outlineLvl w:val="8"/>
    </w:pPr>
    <w:rPr>
      <w:i/>
    </w:rPr>
  </w:style>
  <w:style w:type="character" w:default="1" w:styleId="DefaultParagraphFont">
    <w:name w:val="Default Paragraph Font"/>
    <w:uiPriority w:val="1"/>
    <w:unhideWhenUsed/>
    <w:rsid w:val="00EB0C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CA2"/>
  </w:style>
  <w:style w:type="character" w:customStyle="1" w:styleId="Heading1Char">
    <w:name w:val="Heading 1 Char"/>
    <w:basedOn w:val="DefaultParagraphFont"/>
    <w:link w:val="Heading1"/>
    <w:rsid w:val="00EB0CA2"/>
    <w:rPr>
      <w:rFonts w:ascii="Times New Roman" w:eastAsia="Times New Roman" w:hAnsi="Times New Roman" w:cs="Times New Roman"/>
      <w:b/>
      <w:sz w:val="32"/>
      <w:szCs w:val="20"/>
      <w:lang w:eastAsia="en-US"/>
    </w:rPr>
  </w:style>
  <w:style w:type="paragraph" w:styleId="BodyText">
    <w:name w:val="Body Text"/>
    <w:basedOn w:val="Normal"/>
    <w:link w:val="BodyTextChar"/>
    <w:rsid w:val="00EB0C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0CA2"/>
    <w:rPr>
      <w:rFonts w:ascii="Times New Roman" w:eastAsia="Times New Roman" w:hAnsi="Times New Roman" w:cs="Times New Roman"/>
      <w:sz w:val="24"/>
      <w:lang w:val="en-US" w:eastAsia="en-US"/>
    </w:rPr>
  </w:style>
  <w:style w:type="paragraph" w:styleId="Footer">
    <w:name w:val="footer"/>
    <w:basedOn w:val="Normal"/>
    <w:link w:val="FooterChar"/>
    <w:rsid w:val="00EB0C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CA2"/>
    <w:rPr>
      <w:rFonts w:ascii="Times New Roman" w:eastAsia="Times New Roman" w:hAnsi="Times New Roman" w:cs="Times New Roman"/>
      <w:sz w:val="16"/>
      <w:lang w:val="en-US" w:eastAsia="en-US"/>
    </w:rPr>
  </w:style>
  <w:style w:type="paragraph" w:styleId="List">
    <w:name w:val="List"/>
    <w:basedOn w:val="BodyText"/>
    <w:next w:val="BodyText"/>
    <w:rsid w:val="00EB0CA2"/>
    <w:pPr>
      <w:tabs>
        <w:tab w:val="left" w:pos="340"/>
      </w:tabs>
      <w:spacing w:before="60" w:after="60"/>
      <w:ind w:left="340" w:hanging="340"/>
    </w:pPr>
  </w:style>
  <w:style w:type="paragraph" w:styleId="ListBullet">
    <w:name w:val="List Bullet"/>
    <w:basedOn w:val="List"/>
    <w:rsid w:val="00EB0CA2"/>
    <w:pPr>
      <w:numPr>
        <w:numId w:val="13"/>
      </w:numPr>
      <w:tabs>
        <w:tab w:val="clear" w:pos="340"/>
      </w:tabs>
      <w:spacing w:before="40" w:after="40"/>
    </w:pPr>
  </w:style>
  <w:style w:type="character" w:customStyle="1" w:styleId="SpecialBold">
    <w:name w:val="Special Bold"/>
    <w:basedOn w:val="DefaultParagraphFont"/>
    <w:rsid w:val="00EB0CA2"/>
    <w:rPr>
      <w:b/>
      <w:spacing w:val="0"/>
    </w:rPr>
  </w:style>
  <w:style w:type="paragraph" w:styleId="ListBullet2">
    <w:name w:val="List Bullet 2"/>
    <w:basedOn w:val="List2"/>
    <w:rsid w:val="00EB0CA2"/>
    <w:pPr>
      <w:numPr>
        <w:numId w:val="14"/>
      </w:numPr>
      <w:tabs>
        <w:tab w:val="clear" w:pos="680"/>
      </w:tabs>
    </w:pPr>
  </w:style>
  <w:style w:type="paragraph" w:styleId="Header">
    <w:name w:val="header"/>
    <w:basedOn w:val="Normal"/>
    <w:link w:val="HeaderChar"/>
    <w:rsid w:val="00EB0C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C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0CA2"/>
    <w:pPr>
      <w:spacing w:before="240" w:after="120"/>
      <w:outlineLvl w:val="0"/>
    </w:pPr>
    <w:rPr>
      <w:rFonts w:ascii="Times New Roman" w:hAnsi="Times New Roman"/>
      <w:b/>
      <w:sz w:val="28"/>
    </w:rPr>
  </w:style>
  <w:style w:type="paragraph" w:customStyle="1" w:styleId="AllowPageBreak">
    <w:name w:val="AllowPageBreak"/>
    <w:rsid w:val="00EB0C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0C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C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C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C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C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C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0C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0CA2"/>
    <w:rPr>
      <w:rFonts w:ascii="Courier New" w:eastAsia="Times New Roman" w:hAnsi="Courier New" w:cs="Times New Roman"/>
      <w:i/>
      <w:szCs w:val="20"/>
      <w:lang w:val="en-US" w:eastAsia="en-US"/>
    </w:rPr>
  </w:style>
  <w:style w:type="paragraph" w:customStyle="1" w:styleId="HeadingBase">
    <w:name w:val="Heading Base"/>
    <w:rsid w:val="00EB0C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CA2"/>
    <w:pPr>
      <w:tabs>
        <w:tab w:val="right" w:leader="dot" w:pos="9072"/>
      </w:tabs>
      <w:ind w:left="567"/>
    </w:pPr>
    <w:rPr>
      <w:szCs w:val="22"/>
    </w:rPr>
  </w:style>
  <w:style w:type="paragraph" w:customStyle="1" w:styleId="TOCBase">
    <w:name w:val="TOC Base"/>
    <w:rsid w:val="00EB0C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CA2"/>
    <w:pPr>
      <w:tabs>
        <w:tab w:val="right" w:leader="dot" w:pos="9072"/>
      </w:tabs>
      <w:spacing w:before="40" w:after="40"/>
      <w:ind w:left="284"/>
    </w:pPr>
    <w:rPr>
      <w:rFonts w:ascii="Times New Roman" w:hAnsi="Times New Roman"/>
    </w:rPr>
  </w:style>
  <w:style w:type="paragraph" w:styleId="TOC1">
    <w:name w:val="toc 1"/>
    <w:basedOn w:val="TOCBase"/>
    <w:next w:val="Normal"/>
    <w:rsid w:val="00EB0C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0CA2"/>
    <w:pPr>
      <w:spacing w:before="5040"/>
      <w:jc w:val="center"/>
    </w:pPr>
    <w:rPr>
      <w:sz w:val="48"/>
      <w:szCs w:val="72"/>
      <w:lang w:val="en-US"/>
    </w:rPr>
  </w:style>
  <w:style w:type="character" w:customStyle="1" w:styleId="TitleChar">
    <w:name w:val="Title Char"/>
    <w:basedOn w:val="DefaultParagraphFont"/>
    <w:link w:val="Title"/>
    <w:rsid w:val="00EB0C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CA2"/>
    <w:pPr>
      <w:tabs>
        <w:tab w:val="left" w:pos="3600"/>
        <w:tab w:val="left" w:pos="3958"/>
      </w:tabs>
    </w:pPr>
  </w:style>
  <w:style w:type="paragraph" w:customStyle="1" w:styleId="Note">
    <w:name w:val="Note"/>
    <w:basedOn w:val="BodyText"/>
    <w:rsid w:val="00EB0C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CA2"/>
    <w:pPr>
      <w:framePr w:wrap="auto" w:hAnchor="text" w:y="6049"/>
    </w:pPr>
    <w:rPr>
      <w:color w:val="000000"/>
      <w:sz w:val="40"/>
    </w:rPr>
  </w:style>
  <w:style w:type="paragraph" w:customStyle="1" w:styleId="TOCTitle">
    <w:name w:val="TOCTitle"/>
    <w:basedOn w:val="Heading1"/>
    <w:rsid w:val="00EB0CA2"/>
    <w:pPr>
      <w:spacing w:after="240"/>
      <w:jc w:val="center"/>
      <w:outlineLvl w:val="9"/>
    </w:pPr>
    <w:rPr>
      <w:caps/>
    </w:rPr>
  </w:style>
  <w:style w:type="paragraph" w:customStyle="1" w:styleId="Version">
    <w:name w:val="Version"/>
    <w:rsid w:val="00EB0C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CA2"/>
    <w:pPr>
      <w:keepNext w:val="0"/>
      <w:tabs>
        <w:tab w:val="right" w:pos="4176"/>
      </w:tabs>
      <w:ind w:left="198" w:hanging="198"/>
    </w:pPr>
    <w:rPr>
      <w:rFonts w:ascii="Garamond" w:hAnsi="Garamond"/>
    </w:rPr>
  </w:style>
  <w:style w:type="paragraph" w:styleId="IndexHeading">
    <w:name w:val="index heading"/>
    <w:basedOn w:val="Normal"/>
    <w:next w:val="Index1"/>
    <w:semiHidden/>
    <w:rsid w:val="00EB0CA2"/>
    <w:pPr>
      <w:spacing w:before="120" w:after="120"/>
    </w:pPr>
    <w:rPr>
      <w:rFonts w:ascii="Arial" w:hAnsi="Arial"/>
      <w:b/>
      <w:color w:val="918585"/>
      <w:sz w:val="24"/>
    </w:rPr>
  </w:style>
  <w:style w:type="paragraph" w:customStyle="1" w:styleId="Chapter">
    <w:name w:val="Chapter"/>
    <w:basedOn w:val="Normal"/>
    <w:rsid w:val="00EB0CA2"/>
    <w:pPr>
      <w:spacing w:before="240"/>
    </w:pPr>
    <w:rPr>
      <w:rFonts w:ascii="Times New Roman" w:hAnsi="Times New Roman"/>
      <w:smallCaps/>
      <w:spacing w:val="80"/>
      <w:sz w:val="28"/>
    </w:rPr>
  </w:style>
  <w:style w:type="paragraph" w:customStyle="1" w:styleId="InChapter">
    <w:name w:val="InChapter"/>
    <w:basedOn w:val="Heading3"/>
    <w:rsid w:val="00EB0CA2"/>
    <w:pPr>
      <w:spacing w:after="240"/>
      <w:outlineLvl w:val="9"/>
    </w:pPr>
    <w:rPr>
      <w:noProof/>
    </w:rPr>
  </w:style>
  <w:style w:type="paragraph" w:styleId="Index2">
    <w:name w:val="index 2"/>
    <w:basedOn w:val="Normal"/>
    <w:next w:val="Normal"/>
    <w:semiHidden/>
    <w:rsid w:val="00EB0CA2"/>
    <w:pPr>
      <w:tabs>
        <w:tab w:val="right" w:pos="4176"/>
      </w:tabs>
      <w:ind w:left="568" w:hanging="284"/>
    </w:pPr>
    <w:rPr>
      <w:rFonts w:ascii="Garamond" w:hAnsi="Garamond"/>
    </w:rPr>
  </w:style>
  <w:style w:type="paragraph" w:customStyle="1" w:styleId="Byline">
    <w:name w:val="Byline"/>
    <w:rsid w:val="00EB0C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CA2"/>
    <w:pPr>
      <w:tabs>
        <w:tab w:val="clear" w:pos="3600"/>
        <w:tab w:val="clear" w:pos="3958"/>
      </w:tabs>
      <w:jc w:val="right"/>
    </w:pPr>
  </w:style>
  <w:style w:type="character" w:styleId="Emphasis">
    <w:name w:val="Emphasis"/>
    <w:basedOn w:val="DefaultParagraphFont"/>
    <w:qFormat/>
    <w:rsid w:val="00EB0CA2"/>
    <w:rPr>
      <w:i/>
    </w:rPr>
  </w:style>
  <w:style w:type="paragraph" w:styleId="Caption">
    <w:name w:val="caption"/>
    <w:basedOn w:val="BodyText"/>
    <w:next w:val="Normal"/>
    <w:qFormat/>
    <w:rsid w:val="00EB0CA2"/>
    <w:pPr>
      <w:framePr w:w="2268" w:hSpace="181" w:vSpace="181" w:wrap="around" w:vAnchor="text" w:hAnchor="page" w:x="1135" w:y="285" w:anchorLock="1"/>
    </w:pPr>
    <w:rPr>
      <w:i/>
    </w:rPr>
  </w:style>
  <w:style w:type="paragraph" w:customStyle="1" w:styleId="MiniTOCTitle">
    <w:name w:val="MiniTOCTitle"/>
    <w:basedOn w:val="Heading4"/>
    <w:rsid w:val="00EB0CA2"/>
    <w:pPr>
      <w:spacing w:before="240"/>
      <w:outlineLvl w:val="9"/>
    </w:pPr>
    <w:rPr>
      <w:noProof/>
      <w:sz w:val="24"/>
    </w:rPr>
  </w:style>
  <w:style w:type="paragraph" w:customStyle="1" w:styleId="MiniTOCItem">
    <w:name w:val="MiniTOCItem"/>
    <w:basedOn w:val="ListBullet"/>
    <w:rsid w:val="00EB0CA2"/>
    <w:pPr>
      <w:numPr>
        <w:numId w:val="0"/>
      </w:numPr>
      <w:tabs>
        <w:tab w:val="right" w:leader="dot" w:pos="6521"/>
      </w:tabs>
      <w:spacing w:before="0" w:after="0"/>
    </w:pPr>
  </w:style>
  <w:style w:type="paragraph" w:customStyle="1" w:styleId="TOFTitle">
    <w:name w:val="TOFTitle"/>
    <w:basedOn w:val="TOCTitle"/>
    <w:rsid w:val="00EB0CA2"/>
  </w:style>
  <w:style w:type="paragraph" w:styleId="TableofFigures">
    <w:name w:val="table of figures"/>
    <w:basedOn w:val="Normal"/>
    <w:next w:val="Normal"/>
    <w:semiHidden/>
    <w:rsid w:val="00EB0CA2"/>
    <w:pPr>
      <w:tabs>
        <w:tab w:val="right" w:leader="dot" w:pos="9072"/>
      </w:tabs>
      <w:ind w:left="970" w:hanging="403"/>
    </w:pPr>
    <w:rPr>
      <w:rFonts w:ascii="Times New Roman" w:hAnsi="Times New Roman"/>
      <w:b/>
    </w:rPr>
  </w:style>
  <w:style w:type="paragraph" w:styleId="ListNumber">
    <w:name w:val="List Number"/>
    <w:basedOn w:val="List"/>
    <w:rsid w:val="00EB0CA2"/>
    <w:pPr>
      <w:numPr>
        <w:numId w:val="11"/>
      </w:numPr>
    </w:pPr>
  </w:style>
  <w:style w:type="character" w:customStyle="1" w:styleId="WingdingSymbols">
    <w:name w:val="Wingding Symbols"/>
    <w:rsid w:val="00EB0CA2"/>
    <w:rPr>
      <w:rFonts w:ascii="Wingdings" w:hAnsi="Wingdings"/>
    </w:rPr>
  </w:style>
  <w:style w:type="paragraph" w:customStyle="1" w:styleId="TableHeading">
    <w:name w:val="Table Heading"/>
    <w:basedOn w:val="HeadingBase"/>
    <w:rsid w:val="00EB0CA2"/>
    <w:pPr>
      <w:keepLines/>
      <w:pBdr>
        <w:bottom w:val="single" w:sz="6" w:space="1" w:color="918585"/>
      </w:pBdr>
      <w:spacing w:before="240"/>
    </w:pPr>
  </w:style>
  <w:style w:type="character" w:customStyle="1" w:styleId="HotSpot">
    <w:name w:val="HotSpot"/>
    <w:rsid w:val="00EB0CA2"/>
    <w:rPr>
      <w:color w:val="0033CC"/>
      <w:u w:val="none"/>
    </w:rPr>
  </w:style>
  <w:style w:type="paragraph" w:customStyle="1" w:styleId="BodyTextRight">
    <w:name w:val="Body Text Right"/>
    <w:basedOn w:val="BodyText"/>
    <w:rsid w:val="00EB0CA2"/>
    <w:pPr>
      <w:spacing w:before="0" w:after="0"/>
      <w:jc w:val="right"/>
    </w:pPr>
  </w:style>
  <w:style w:type="paragraph" w:styleId="Index3">
    <w:name w:val="index 3"/>
    <w:basedOn w:val="ListNumber2"/>
    <w:next w:val="Normal"/>
    <w:semiHidden/>
    <w:rsid w:val="00EB0CA2"/>
    <w:pPr>
      <w:numPr>
        <w:numId w:val="0"/>
      </w:numPr>
      <w:tabs>
        <w:tab w:val="right" w:leader="dot" w:pos="4176"/>
      </w:tabs>
    </w:pPr>
  </w:style>
  <w:style w:type="paragraph" w:styleId="ListNumber2">
    <w:name w:val="List Number 2"/>
    <w:basedOn w:val="List2"/>
    <w:rsid w:val="00EB0CA2"/>
    <w:pPr>
      <w:numPr>
        <w:numId w:val="10"/>
      </w:numPr>
      <w:tabs>
        <w:tab w:val="clear" w:pos="1060"/>
      </w:tabs>
    </w:pPr>
  </w:style>
  <w:style w:type="paragraph" w:customStyle="1" w:styleId="MarginNote">
    <w:name w:val="Margin Note"/>
    <w:basedOn w:val="BodyText"/>
    <w:rsid w:val="00EB0C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C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C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0CA2"/>
    <w:rPr>
      <w:sz w:val="32"/>
    </w:rPr>
  </w:style>
  <w:style w:type="paragraph" w:customStyle="1" w:styleId="HeadingProcedure">
    <w:name w:val="Heading Procedure"/>
    <w:basedOn w:val="HeadingBase"/>
    <w:next w:val="Normal"/>
    <w:rsid w:val="00EB0CA2"/>
    <w:pPr>
      <w:tabs>
        <w:tab w:val="left" w:pos="0"/>
      </w:tabs>
      <w:spacing w:before="120" w:after="60"/>
    </w:pPr>
    <w:rPr>
      <w:i/>
      <w:color w:val="918585"/>
      <w:sz w:val="22"/>
    </w:rPr>
  </w:style>
  <w:style w:type="paragraph" w:customStyle="1" w:styleId="TableBodyText">
    <w:name w:val="Table Body Text"/>
    <w:basedOn w:val="BodyText"/>
    <w:rsid w:val="00EB0CA2"/>
    <w:pPr>
      <w:spacing w:before="60" w:after="60"/>
    </w:pPr>
  </w:style>
  <w:style w:type="paragraph" w:styleId="ListContinue">
    <w:name w:val="List Continue"/>
    <w:basedOn w:val="List"/>
    <w:rsid w:val="00EB0CA2"/>
    <w:pPr>
      <w:ind w:firstLine="0"/>
    </w:pPr>
  </w:style>
  <w:style w:type="paragraph" w:customStyle="1" w:styleId="ListNote">
    <w:name w:val="List Note"/>
    <w:basedOn w:val="List"/>
    <w:rsid w:val="00EB0CA2"/>
    <w:pPr>
      <w:pBdr>
        <w:top w:val="single" w:sz="6" w:space="2" w:color="918585"/>
        <w:bottom w:val="single" w:sz="6" w:space="2" w:color="918585"/>
      </w:pBdr>
      <w:tabs>
        <w:tab w:val="left" w:pos="1021"/>
      </w:tabs>
      <w:ind w:firstLine="0"/>
    </w:pPr>
  </w:style>
  <w:style w:type="paragraph" w:customStyle="1" w:styleId="Warning">
    <w:name w:val="Warning"/>
    <w:basedOn w:val="BodyText"/>
    <w:rsid w:val="00EB0CA2"/>
    <w:pPr>
      <w:shd w:val="clear" w:color="auto" w:fill="D9D9D9"/>
      <w:tabs>
        <w:tab w:val="left" w:pos="992"/>
      </w:tabs>
      <w:ind w:left="119" w:right="119"/>
    </w:pPr>
    <w:rPr>
      <w:sz w:val="20"/>
    </w:rPr>
  </w:style>
  <w:style w:type="paragraph" w:customStyle="1" w:styleId="MarginIcons">
    <w:name w:val="Margin Icons"/>
    <w:basedOn w:val="BodyText"/>
    <w:rsid w:val="00EB0C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CA2"/>
    <w:rPr>
      <w:rFonts w:ascii="Courier New" w:hAnsi="Courier New"/>
    </w:rPr>
  </w:style>
  <w:style w:type="paragraph" w:customStyle="1" w:styleId="NoteBullet">
    <w:name w:val="Note Bullet"/>
    <w:basedOn w:val="Note"/>
    <w:rsid w:val="00EB0CA2"/>
    <w:pPr>
      <w:tabs>
        <w:tab w:val="clear" w:pos="680"/>
      </w:tabs>
      <w:spacing w:before="60" w:after="60"/>
    </w:pPr>
  </w:style>
  <w:style w:type="paragraph" w:customStyle="1" w:styleId="SubHeading2">
    <w:name w:val="SubHeading2"/>
    <w:basedOn w:val="HeadingBase"/>
    <w:rsid w:val="00EB0CA2"/>
    <w:pPr>
      <w:spacing w:before="240" w:after="60"/>
    </w:pPr>
    <w:rPr>
      <w:sz w:val="20"/>
    </w:rPr>
  </w:style>
  <w:style w:type="paragraph" w:customStyle="1" w:styleId="SubHeading1">
    <w:name w:val="SubHeading1"/>
    <w:basedOn w:val="HeadingBase"/>
    <w:rsid w:val="00EB0CA2"/>
    <w:pPr>
      <w:spacing w:before="240" w:after="60"/>
    </w:pPr>
    <w:rPr>
      <w:color w:val="918585"/>
      <w:sz w:val="22"/>
    </w:rPr>
  </w:style>
  <w:style w:type="paragraph" w:customStyle="1" w:styleId="SideHeading">
    <w:name w:val="Side Heading"/>
    <w:basedOn w:val="HeadingBase"/>
    <w:rsid w:val="00EB0C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CA2"/>
    <w:pPr>
      <w:numPr>
        <w:numId w:val="12"/>
      </w:numPr>
    </w:pPr>
  </w:style>
  <w:style w:type="paragraph" w:styleId="PlainText">
    <w:name w:val="Plain Text"/>
    <w:basedOn w:val="Normal"/>
    <w:link w:val="PlainTextChar"/>
    <w:rsid w:val="00EB0CA2"/>
    <w:rPr>
      <w:sz w:val="20"/>
    </w:rPr>
  </w:style>
  <w:style w:type="character" w:customStyle="1" w:styleId="PlainTextChar">
    <w:name w:val="Plain Text Char"/>
    <w:basedOn w:val="DefaultParagraphFont"/>
    <w:link w:val="PlainText"/>
    <w:rsid w:val="00EB0C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0CA2"/>
    <w:rPr>
      <w:b/>
      <w:smallCaps/>
    </w:rPr>
  </w:style>
  <w:style w:type="paragraph" w:customStyle="1" w:styleId="TableListNumber">
    <w:name w:val="Table List Number"/>
    <w:basedOn w:val="ListNumber"/>
    <w:rsid w:val="00EB0CA2"/>
    <w:pPr>
      <w:numPr>
        <w:numId w:val="0"/>
      </w:numPr>
    </w:pPr>
  </w:style>
  <w:style w:type="paragraph" w:styleId="TOC4">
    <w:name w:val="toc 4"/>
    <w:basedOn w:val="TOCBase"/>
    <w:next w:val="Normal"/>
    <w:semiHidden/>
    <w:rsid w:val="00EB0CA2"/>
    <w:pPr>
      <w:tabs>
        <w:tab w:val="right" w:leader="dot" w:pos="9071"/>
      </w:tabs>
      <w:ind w:left="1701"/>
    </w:pPr>
  </w:style>
  <w:style w:type="paragraph" w:customStyle="1" w:styleId="ListAlpha">
    <w:name w:val="List Alpha"/>
    <w:basedOn w:val="List"/>
    <w:rsid w:val="00EB0CA2"/>
    <w:pPr>
      <w:numPr>
        <w:numId w:val="9"/>
      </w:numPr>
    </w:pPr>
  </w:style>
  <w:style w:type="paragraph" w:customStyle="1" w:styleId="ListAlpha2">
    <w:name w:val="List Alpha 2"/>
    <w:basedOn w:val="List2"/>
    <w:rsid w:val="00EB0CA2"/>
    <w:pPr>
      <w:numPr>
        <w:numId w:val="8"/>
      </w:numPr>
    </w:pPr>
  </w:style>
  <w:style w:type="paragraph" w:styleId="List2">
    <w:name w:val="List 2"/>
    <w:basedOn w:val="BodyText"/>
    <w:rsid w:val="00EB0CA2"/>
    <w:pPr>
      <w:tabs>
        <w:tab w:val="left" w:pos="680"/>
      </w:tabs>
      <w:spacing w:before="60" w:after="60"/>
      <w:ind w:left="680" w:hanging="340"/>
    </w:pPr>
  </w:style>
  <w:style w:type="paragraph" w:styleId="List3">
    <w:name w:val="List 3"/>
    <w:basedOn w:val="BodyText"/>
    <w:rsid w:val="00EB0CA2"/>
    <w:pPr>
      <w:tabs>
        <w:tab w:val="left" w:pos="1021"/>
      </w:tabs>
      <w:spacing w:before="60" w:after="60"/>
      <w:ind w:left="1020" w:hanging="340"/>
    </w:pPr>
  </w:style>
  <w:style w:type="paragraph" w:styleId="List4">
    <w:name w:val="List 4"/>
    <w:basedOn w:val="BodyText"/>
    <w:rsid w:val="00EB0CA2"/>
    <w:pPr>
      <w:tabs>
        <w:tab w:val="left" w:pos="1361"/>
      </w:tabs>
      <w:spacing w:before="60" w:after="60"/>
      <w:ind w:left="1361" w:hanging="340"/>
    </w:pPr>
  </w:style>
  <w:style w:type="paragraph" w:styleId="List5">
    <w:name w:val="List 5"/>
    <w:basedOn w:val="BodyText"/>
    <w:rsid w:val="00EB0CA2"/>
    <w:pPr>
      <w:tabs>
        <w:tab w:val="left" w:pos="1701"/>
      </w:tabs>
      <w:spacing w:before="60" w:after="60"/>
      <w:ind w:left="1701" w:hanging="340"/>
    </w:pPr>
  </w:style>
  <w:style w:type="paragraph" w:styleId="ListBullet3">
    <w:name w:val="List Bullet 3"/>
    <w:basedOn w:val="List3"/>
    <w:rsid w:val="00EB0CA2"/>
    <w:pPr>
      <w:numPr>
        <w:numId w:val="15"/>
      </w:numPr>
      <w:tabs>
        <w:tab w:val="clear" w:pos="1021"/>
      </w:tabs>
      <w:ind w:left="1037" w:hanging="357"/>
    </w:pPr>
  </w:style>
  <w:style w:type="paragraph" w:styleId="ListBullet4">
    <w:name w:val="List Bullet 4"/>
    <w:basedOn w:val="List4"/>
    <w:rsid w:val="00EB0CA2"/>
    <w:pPr>
      <w:numPr>
        <w:numId w:val="3"/>
      </w:numPr>
    </w:pPr>
  </w:style>
  <w:style w:type="paragraph" w:styleId="ListBullet5">
    <w:name w:val="List Bullet 5"/>
    <w:basedOn w:val="List5"/>
    <w:rsid w:val="00EB0CA2"/>
    <w:pPr>
      <w:numPr>
        <w:numId w:val="4"/>
      </w:numPr>
    </w:pPr>
  </w:style>
  <w:style w:type="paragraph" w:styleId="ListContinue2">
    <w:name w:val="List Continue 2"/>
    <w:basedOn w:val="List2"/>
    <w:rsid w:val="00EB0CA2"/>
    <w:pPr>
      <w:ind w:firstLine="0"/>
    </w:pPr>
  </w:style>
  <w:style w:type="paragraph" w:styleId="ListContinue3">
    <w:name w:val="List Continue 3"/>
    <w:basedOn w:val="List3"/>
    <w:rsid w:val="00EB0CA2"/>
    <w:pPr>
      <w:ind w:left="1021" w:firstLine="0"/>
    </w:pPr>
  </w:style>
  <w:style w:type="paragraph" w:styleId="ListContinue4">
    <w:name w:val="List Continue 4"/>
    <w:basedOn w:val="List4"/>
    <w:rsid w:val="00EB0CA2"/>
    <w:pPr>
      <w:ind w:firstLine="0"/>
    </w:pPr>
  </w:style>
  <w:style w:type="paragraph" w:styleId="ListContinue5">
    <w:name w:val="List Continue 5"/>
    <w:basedOn w:val="List5"/>
    <w:rsid w:val="00EB0CA2"/>
    <w:pPr>
      <w:ind w:firstLine="0"/>
    </w:pPr>
  </w:style>
  <w:style w:type="paragraph" w:styleId="ListNumber3">
    <w:name w:val="List Number 3"/>
    <w:basedOn w:val="List3"/>
    <w:rsid w:val="00EB0CA2"/>
    <w:pPr>
      <w:numPr>
        <w:numId w:val="5"/>
      </w:numPr>
    </w:pPr>
  </w:style>
  <w:style w:type="paragraph" w:styleId="ListNumber4">
    <w:name w:val="List Number 4"/>
    <w:basedOn w:val="List4"/>
    <w:rsid w:val="00EB0CA2"/>
    <w:pPr>
      <w:numPr>
        <w:numId w:val="6"/>
      </w:numPr>
    </w:pPr>
  </w:style>
  <w:style w:type="paragraph" w:styleId="ListNumber5">
    <w:name w:val="List Number 5"/>
    <w:basedOn w:val="List5"/>
    <w:rsid w:val="00EB0CA2"/>
    <w:pPr>
      <w:numPr>
        <w:numId w:val="7"/>
      </w:numPr>
    </w:pPr>
  </w:style>
  <w:style w:type="paragraph" w:styleId="BlockText">
    <w:name w:val="Block Text"/>
    <w:basedOn w:val="Normal"/>
    <w:rsid w:val="00EB0CA2"/>
    <w:pPr>
      <w:spacing w:after="120"/>
      <w:ind w:left="1440" w:right="1440"/>
    </w:pPr>
  </w:style>
  <w:style w:type="character" w:customStyle="1" w:styleId="Subscript">
    <w:name w:val="Subscript"/>
    <w:basedOn w:val="DefaultParagraphFont"/>
    <w:rsid w:val="00EB0CA2"/>
    <w:rPr>
      <w:sz w:val="16"/>
      <w:vertAlign w:val="subscript"/>
    </w:rPr>
  </w:style>
  <w:style w:type="character" w:customStyle="1" w:styleId="Superscript">
    <w:name w:val="Superscript"/>
    <w:basedOn w:val="DefaultParagraphFont"/>
    <w:rsid w:val="00EB0CA2"/>
    <w:rPr>
      <w:sz w:val="16"/>
      <w:vertAlign w:val="superscript"/>
    </w:rPr>
  </w:style>
  <w:style w:type="character" w:customStyle="1" w:styleId="Symbols">
    <w:name w:val="Symbols"/>
    <w:basedOn w:val="DefaultParagraphFont"/>
    <w:rsid w:val="00EB0CA2"/>
    <w:rPr>
      <w:rFonts w:ascii="Symbol" w:hAnsi="Symbol"/>
    </w:rPr>
  </w:style>
  <w:style w:type="character" w:customStyle="1" w:styleId="MenuOptions">
    <w:name w:val="Menu Options"/>
    <w:basedOn w:val="DefaultParagraphFont"/>
    <w:rsid w:val="00EB0CA2"/>
    <w:rPr>
      <w:rFonts w:ascii="Arial Narrow" w:hAnsi="Arial Narrow"/>
      <w:smallCaps/>
    </w:rPr>
  </w:style>
  <w:style w:type="character" w:customStyle="1" w:styleId="Buttons">
    <w:name w:val="Buttons"/>
    <w:basedOn w:val="DefaultParagraphFont"/>
    <w:rsid w:val="00EB0CA2"/>
    <w:rPr>
      <w:b/>
    </w:rPr>
  </w:style>
  <w:style w:type="character" w:customStyle="1" w:styleId="Underlined">
    <w:name w:val="Underlined"/>
    <w:basedOn w:val="DefaultParagraphFont"/>
    <w:rsid w:val="00EB0CA2"/>
    <w:rPr>
      <w:u w:val="single"/>
    </w:rPr>
  </w:style>
  <w:style w:type="paragraph" w:customStyle="1" w:styleId="TableBodyTextRight">
    <w:name w:val="Table Body Text Right"/>
    <w:basedOn w:val="TableBodyText"/>
    <w:rsid w:val="00EB0CA2"/>
    <w:pPr>
      <w:widowControl w:val="0"/>
      <w:autoSpaceDE w:val="0"/>
      <w:autoSpaceDN w:val="0"/>
      <w:adjustRightInd w:val="0"/>
      <w:jc w:val="right"/>
    </w:pPr>
    <w:rPr>
      <w:rFonts w:cs="Arial"/>
      <w:szCs w:val="18"/>
    </w:rPr>
  </w:style>
  <w:style w:type="paragraph" w:customStyle="1" w:styleId="CopyrightText">
    <w:name w:val="Copyright Text"/>
    <w:basedOn w:val="BodyText"/>
    <w:rsid w:val="00EB0CA2"/>
    <w:rPr>
      <w:sz w:val="18"/>
    </w:rPr>
  </w:style>
  <w:style w:type="paragraph" w:customStyle="1" w:styleId="BodySmallRight">
    <w:name w:val="Body Small Right"/>
    <w:basedOn w:val="BodyTextRight"/>
    <w:rsid w:val="00EB0CA2"/>
    <w:rPr>
      <w:sz w:val="18"/>
      <w:szCs w:val="18"/>
    </w:rPr>
  </w:style>
  <w:style w:type="paragraph" w:customStyle="1" w:styleId="MarginEdition">
    <w:name w:val="Margin Edition"/>
    <w:basedOn w:val="MarginNote"/>
    <w:rsid w:val="00EB0CA2"/>
    <w:pPr>
      <w:spacing w:before="0" w:after="0"/>
    </w:pPr>
    <w:rPr>
      <w:rFonts w:ascii="Times New Roman" w:hAnsi="Times New Roman"/>
      <w:color w:val="999999"/>
    </w:rPr>
  </w:style>
  <w:style w:type="paragraph" w:customStyle="1" w:styleId="Spacer">
    <w:name w:val="Spacer"/>
    <w:basedOn w:val="Normal"/>
    <w:rsid w:val="00EB0CA2"/>
    <w:rPr>
      <w:sz w:val="2"/>
      <w:szCs w:val="2"/>
    </w:rPr>
  </w:style>
  <w:style w:type="character" w:customStyle="1" w:styleId="Small">
    <w:name w:val="Small"/>
    <w:basedOn w:val="DefaultParagraphFont"/>
    <w:rsid w:val="00EB0CA2"/>
    <w:rPr>
      <w:sz w:val="16"/>
    </w:rPr>
  </w:style>
  <w:style w:type="paragraph" w:customStyle="1" w:styleId="WideTable">
    <w:name w:val="Wide Table"/>
    <w:basedOn w:val="Normal"/>
    <w:rsid w:val="00EB0CA2"/>
    <w:pPr>
      <w:ind w:left="-1418"/>
    </w:pPr>
    <w:rPr>
      <w:sz w:val="2"/>
      <w:szCs w:val="2"/>
    </w:rPr>
  </w:style>
  <w:style w:type="character" w:styleId="PageNumber">
    <w:name w:val="page number"/>
    <w:basedOn w:val="DefaultParagraphFont"/>
    <w:rsid w:val="00EB0CA2"/>
  </w:style>
  <w:style w:type="paragraph" w:styleId="Quote">
    <w:name w:val="Quote"/>
    <w:basedOn w:val="Heading1"/>
    <w:link w:val="QuoteChar"/>
    <w:qFormat/>
    <w:rsid w:val="00EB0CA2"/>
    <w:rPr>
      <w:b w:val="0"/>
      <w:sz w:val="72"/>
      <w:szCs w:val="72"/>
      <w:lang w:val="en-NZ"/>
    </w:rPr>
  </w:style>
  <w:style w:type="character" w:customStyle="1" w:styleId="QuoteChar">
    <w:name w:val="Quote Char"/>
    <w:basedOn w:val="DefaultParagraphFont"/>
    <w:link w:val="Quote"/>
    <w:rsid w:val="00EB0C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CA2"/>
    <w:pPr>
      <w:pageBreakBefore/>
    </w:pPr>
  </w:style>
  <w:style w:type="paragraph" w:customStyle="1" w:styleId="Border">
    <w:name w:val="Border"/>
    <w:basedOn w:val="Normal"/>
    <w:qFormat/>
    <w:rsid w:val="00EB0C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CA2"/>
    <w:rPr>
      <w:b/>
      <w:bCs/>
      <w:i/>
      <w:iCs/>
      <w:color w:val="auto"/>
    </w:rPr>
  </w:style>
  <w:style w:type="paragraph" w:styleId="IntenseQuote">
    <w:name w:val="Intense Quote"/>
    <w:basedOn w:val="Normal"/>
    <w:next w:val="Normal"/>
    <w:link w:val="IntenseQuoteChar"/>
    <w:uiPriority w:val="30"/>
    <w:qFormat/>
    <w:rsid w:val="00EB0C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C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0CA2"/>
    <w:rPr>
      <w:smallCaps/>
      <w:color w:val="auto"/>
      <w:u w:val="single"/>
    </w:rPr>
  </w:style>
  <w:style w:type="character" w:styleId="IntenseReference">
    <w:name w:val="Intense Reference"/>
    <w:basedOn w:val="DefaultParagraphFont"/>
    <w:uiPriority w:val="32"/>
    <w:qFormat/>
    <w:rsid w:val="00EB0CA2"/>
    <w:rPr>
      <w:b/>
      <w:bCs/>
      <w:smallCaps/>
      <w:color w:val="auto"/>
      <w:spacing w:val="5"/>
      <w:u w:val="single"/>
    </w:rPr>
  </w:style>
  <w:style w:type="paragraph" w:customStyle="1" w:styleId="2ColumnHeading">
    <w:name w:val="2Column Heading"/>
    <w:basedOn w:val="BodyText"/>
    <w:qFormat/>
    <w:rsid w:val="00EB0CA2"/>
    <w:pPr>
      <w:spacing w:after="60"/>
      <w:ind w:left="-2268"/>
    </w:pPr>
    <w:rPr>
      <w:b/>
    </w:rPr>
  </w:style>
  <w:style w:type="paragraph" w:customStyle="1" w:styleId="Heading1TOC">
    <w:name w:val="Heading1 TOC"/>
    <w:basedOn w:val="Normal"/>
    <w:qFormat/>
    <w:rsid w:val="00EB0CA2"/>
    <w:pPr>
      <w:spacing w:before="240" w:after="120"/>
    </w:pPr>
    <w:rPr>
      <w:rFonts w:ascii="Times New Roman" w:hAnsi="Times New Roman"/>
      <w:b/>
      <w:sz w:val="32"/>
    </w:rPr>
  </w:style>
  <w:style w:type="paragraph" w:customStyle="1" w:styleId="Heading2TOC">
    <w:name w:val="Heading2 TOC"/>
    <w:basedOn w:val="Normal"/>
    <w:qFormat/>
    <w:rsid w:val="00EB0CA2"/>
    <w:pPr>
      <w:spacing w:before="240" w:after="60"/>
    </w:pPr>
    <w:rPr>
      <w:rFonts w:ascii="Times New Roman" w:hAnsi="Times New Roman"/>
      <w:b/>
      <w:sz w:val="28"/>
    </w:rPr>
  </w:style>
  <w:style w:type="character" w:customStyle="1" w:styleId="Underline">
    <w:name w:val="Underline"/>
    <w:basedOn w:val="DefaultParagraphFont"/>
    <w:qFormat/>
    <w:rsid w:val="00EB0CA2"/>
    <w:rPr>
      <w:u w:val="single"/>
    </w:rPr>
  </w:style>
  <w:style w:type="character" w:customStyle="1" w:styleId="BoldandItalics">
    <w:name w:val="Bold and Italics"/>
    <w:qFormat/>
    <w:rsid w:val="00EB0CA2"/>
    <w:rPr>
      <w:b/>
      <w:i/>
      <w:u w:val="none"/>
    </w:rPr>
  </w:style>
  <w:style w:type="paragraph" w:styleId="BalloonText">
    <w:name w:val="Balloon Text"/>
    <w:basedOn w:val="Normal"/>
    <w:link w:val="BalloonTextChar"/>
    <w:rsid w:val="00EB0CA2"/>
    <w:rPr>
      <w:rFonts w:ascii="Tahoma" w:hAnsi="Tahoma" w:cs="Tahoma"/>
      <w:sz w:val="16"/>
      <w:szCs w:val="16"/>
    </w:rPr>
  </w:style>
  <w:style w:type="character" w:customStyle="1" w:styleId="BalloonTextChar">
    <w:name w:val="Balloon Text Char"/>
    <w:basedOn w:val="DefaultParagraphFont"/>
    <w:link w:val="BalloonText"/>
    <w:rsid w:val="00EB0C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0C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0C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1067</Words>
  <Characters>7204</Characters>
  <Application>Microsoft Office Word</Application>
  <DocSecurity>0</DocSecurity>
  <Lines>237</Lines>
  <Paragraphs>150</Paragraphs>
  <ScaleCrop>false</ScaleCrop>
  <Company>Author-it Software Corporation Ltd.</Company>
  <LinksUpToDate>false</LinksUpToDate>
  <CharactersWithSpaces>8210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TLIO2011A Provide revenue protection measures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2012-05-27T04:00:00Z</dcterms:created>
  <dcterms:modified xsi:type="dcterms:W3CDTF">2012-05-27T04:00:00Z</dcterms:modified>
</cp:coreProperties>
</file>