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25CB" w:rsidP="006F25CB">
      <w:pPr>
        <w:pStyle w:val="Title"/>
      </w:pPr>
      <w:r>
        <w:fldChar w:fldCharType="begin"/>
      </w:r>
      <w:r>
        <w:instrText xml:space="preserve"> TITLE   \* MERGEFORMAT </w:instrText>
      </w:r>
      <w:r>
        <w:fldChar w:fldCharType="separate"/>
      </w:r>
      <w:r>
        <w:t>TLILIC3017B Licence to drive a heavy combination vehicle</w:t>
      </w:r>
      <w:r>
        <w:fldChar w:fldCharType="end"/>
      </w:r>
    </w:p>
    <w:p w:rsidR="006F25CB" w:rsidP="006F25CB">
      <w:pPr>
        <w:pStyle w:val="Version"/>
        <w:sectPr w:rsidSect="00C15E3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15E34" w:rsidP="00C15E34">
      <w:pPr>
        <w:pStyle w:val="SuperHeading"/>
      </w:pPr>
      <w:r w:rsidRPr="00C15E34">
        <w:t>TLILIC3017B Licence to drive a heavy combination vehicle</w:t>
      </w:r>
    </w:p>
    <w:p w:rsidR="00000000" w:rsidRPr="00C15E34" w:rsidP="00C15E34">
      <w:pPr>
        <w:pStyle w:val="Heading1"/>
      </w:pPr>
      <w:bookmarkStart w:id="1" w:name="O_568062"/>
      <w:bookmarkEnd w:id="1"/>
      <w:r w:rsidRPr="00C15E34">
        <w:t>Modification History</w:t>
      </w:r>
    </w:p>
    <w:p w:rsidR="00000000" w:rsidRPr="00C15E34" w:rsidP="00C15E34">
      <w:pPr>
        <w:pStyle w:val="BodyText"/>
      </w:pPr>
      <w:r w:rsidRPr="00C15E34">
        <w:t>New release. This unit replaces and is equivalent to TLILIC3017A.</w:t>
      </w:r>
    </w:p>
    <w:p w:rsidR="00000000" w:rsidRPr="00C15E34" w:rsidP="00C15E34">
      <w:pPr>
        <w:pStyle w:val="AllowPageBreak"/>
      </w:pPr>
    </w:p>
    <w:p w:rsidR="00000000" w:rsidRPr="00C15E34" w:rsidP="00C15E34">
      <w:pPr>
        <w:pStyle w:val="Heading1"/>
      </w:pPr>
      <w:bookmarkStart w:id="2" w:name="O_568074"/>
      <w:bookmarkEnd w:id="2"/>
      <w:r w:rsidRPr="00C15E34">
        <w:t>Unit Descriptor</w:t>
      </w:r>
    </w:p>
    <w:p w:rsidR="00000000" w:rsidRPr="00C15E34" w:rsidP="00C15E34">
      <w:pPr>
        <w:pStyle w:val="BodyText"/>
      </w:pPr>
      <w:r w:rsidRPr="00C15E34">
        <w:t>This unit involves the skills and knowledge required to obtain a licence to drive a heavy combination vehicle. It includes syste</w:t>
      </w:r>
      <w:r w:rsidRPr="00C15E34">
        <w:t xml:space="preserve">matically and efficiently controlling all vehicle functions, monitoring traffic and road conditions, managing vehicle condition and performance, coupling and uncoupling of trailer, and effectively managing hazardous situations. </w:t>
      </w:r>
    </w:p>
    <w:p w:rsidR="00000000" w:rsidRPr="00C15E34" w:rsidP="00C15E34">
      <w:pPr>
        <w:pStyle w:val="BodyText"/>
      </w:pPr>
      <w:r w:rsidRPr="00C15E34">
        <w:t>Assessment of this unit wil</w:t>
      </w:r>
      <w:r w:rsidRPr="00C15E34">
        <w:t>l be undertaken within a licensing examination conducted by, or under the authority of, the relevant state/territory driver licensing authority.</w:t>
      </w:r>
    </w:p>
    <w:p w:rsidR="00000000" w:rsidRPr="00C15E34" w:rsidP="00C15E34">
      <w:pPr>
        <w:pStyle w:val="AllowPageBreak"/>
      </w:pPr>
    </w:p>
    <w:p w:rsidR="00000000" w:rsidRPr="00C15E34" w:rsidP="00C15E34">
      <w:pPr>
        <w:pStyle w:val="Heading1"/>
      </w:pPr>
      <w:bookmarkStart w:id="3" w:name="O_568073"/>
      <w:bookmarkEnd w:id="3"/>
      <w:r w:rsidRPr="00C15E34">
        <w:t>Application of the Unit</w:t>
      </w:r>
    </w:p>
    <w:p w:rsidR="00000000" w:rsidRPr="00C15E34" w:rsidP="00C15E34">
      <w:pPr>
        <w:pStyle w:val="BodyText"/>
      </w:pPr>
      <w:r w:rsidRPr="00C15E34">
        <w:t>This unit applies to driving that is carried out in compliance with th</w:t>
      </w:r>
      <w:r w:rsidRPr="00C15E34">
        <w:t>e licence requirements and regulations of the relevant state/territory driver licensing authority pertaining to heavy combination vehicles.</w:t>
      </w:r>
    </w:p>
    <w:p w:rsidR="00000000" w:rsidRPr="00C15E34" w:rsidP="00C15E34">
      <w:pPr>
        <w:pStyle w:val="BodyText"/>
      </w:pPr>
      <w:r w:rsidRPr="00C15E34">
        <w:t>Driving is performed with limited or minimum supervision, and with limited accountability and responsibility for sel</w:t>
      </w:r>
      <w:r w:rsidRPr="00C15E34">
        <w:t>f and others in achieving the prescribed outcomes.</w:t>
      </w:r>
    </w:p>
    <w:p w:rsidR="00000000" w:rsidRPr="00C15E34" w:rsidP="00C15E34">
      <w:pPr>
        <w:pStyle w:val="BodyText"/>
      </w:pPr>
      <w:r w:rsidRPr="00C15E34">
        <w:t>Driving involves the application of routine vehicle driving principles and procedures to maintain safety and operate a heavy combination vehicle across a variety of driving contexts.</w:t>
      </w:r>
    </w:p>
    <w:p w:rsidR="00000000" w:rsidRPr="00C15E34" w:rsidP="00C15E34">
      <w:pPr>
        <w:pStyle w:val="BodyText"/>
      </w:pPr>
      <w:r w:rsidRPr="00C15E34">
        <w:t>The primary legislativ</w:t>
      </w:r>
      <w:r w:rsidRPr="00C15E34">
        <w:t>e requirements applicable to this unit of competency are state/territory legislation in relation to road use and driver licensing.</w:t>
      </w:r>
    </w:p>
    <w:p w:rsidR="00000000" w:rsidRPr="00C15E34" w:rsidP="00C15E34">
      <w:pPr>
        <w:pStyle w:val="BodyText"/>
      </w:pPr>
      <w:r w:rsidRPr="00C15E34">
        <w:t>This unit addresses the knowledge and skills necessary for the granting of a Heavy Combination Driver Licence.</w:t>
      </w:r>
    </w:p>
    <w:p w:rsidR="00000000" w:rsidRPr="00C15E34" w:rsidP="00C15E34">
      <w:pPr>
        <w:pStyle w:val="BodyText"/>
      </w:pPr>
      <w:r w:rsidRPr="00C15E34">
        <w:t xml:space="preserve">Being awarded </w:t>
      </w:r>
      <w:r w:rsidRPr="00C15E34">
        <w:t>this unit of competency is a necessary requirement to obtain a Heavy Combination Driver Licence but is only one of several criteria. Prospective licence applicants should check with the state/territory driver licensing authority for other criteria (such as</w:t>
      </w:r>
      <w:r w:rsidRPr="00C15E34">
        <w:t xml:space="preserve"> licence tenure and medical fitness) to confirm compliance with other eligibility requirements before undertaking training and/or assessment.</w:t>
      </w:r>
    </w:p>
    <w:p w:rsidR="00000000" w:rsidRPr="00C15E34" w:rsidP="00C15E34">
      <w:pPr>
        <w:pStyle w:val="AllowPageBreak"/>
      </w:pPr>
    </w:p>
    <w:p w:rsidR="00000000" w:rsidRPr="00C15E34" w:rsidP="00C15E34">
      <w:pPr>
        <w:pStyle w:val="Heading1"/>
      </w:pPr>
      <w:bookmarkStart w:id="4" w:name="O_568072"/>
      <w:bookmarkEnd w:id="4"/>
      <w:r w:rsidRPr="00C15E34">
        <w:t>Licensing/Regulatory Information</w:t>
      </w:r>
    </w:p>
    <w:p w:rsidR="00000000" w:rsidRPr="00C15E34" w:rsidP="00C15E34">
      <w:pPr>
        <w:pStyle w:val="BodyText"/>
      </w:pPr>
      <w:r w:rsidRPr="00C15E34">
        <w:t>Not applicable.</w:t>
      </w:r>
    </w:p>
    <w:p w:rsidR="00000000" w:rsidRPr="00C15E34" w:rsidP="00C15E34">
      <w:pPr>
        <w:pStyle w:val="AllowPageBreak"/>
      </w:pPr>
    </w:p>
    <w:p w:rsidR="00000000" w:rsidRPr="00C15E34" w:rsidP="00C15E34">
      <w:pPr>
        <w:pStyle w:val="Heading1"/>
      </w:pPr>
      <w:bookmarkStart w:id="5" w:name="O_568071"/>
      <w:bookmarkEnd w:id="5"/>
      <w:r w:rsidRPr="00C15E34">
        <w:t>Pre-Requisites</w:t>
      </w:r>
    </w:p>
    <w:p w:rsidR="00000000" w:rsidRPr="00C15E34" w:rsidP="00C15E34">
      <w:pPr>
        <w:pStyle w:val="BodyText"/>
      </w:pPr>
      <w:r w:rsidRPr="00C15E34">
        <w:t>Not applicable.</w:t>
      </w:r>
    </w:p>
    <w:p w:rsidR="00000000" w:rsidRPr="00C15E34" w:rsidP="00C15E34">
      <w:pPr>
        <w:pStyle w:val="AllowPageBreak"/>
      </w:pPr>
    </w:p>
    <w:p w:rsidR="00000000" w:rsidRPr="00C15E34" w:rsidP="00C15E34">
      <w:pPr>
        <w:pStyle w:val="Heading1"/>
      </w:pPr>
      <w:bookmarkStart w:id="6" w:name="O_568070"/>
      <w:bookmarkEnd w:id="6"/>
      <w:r w:rsidRPr="00C15E34">
        <w:t>Employability Skills Information</w:t>
      </w:r>
    </w:p>
    <w:p w:rsidR="00000000" w:rsidRPr="00C15E34" w:rsidP="00C15E34">
      <w:pPr>
        <w:pStyle w:val="BodyText"/>
      </w:pPr>
      <w:r w:rsidRPr="00C15E34">
        <w:t>This unit contains employability skills.</w:t>
      </w:r>
    </w:p>
    <w:p w:rsidR="00000000" w:rsidRPr="00C15E34" w:rsidP="00C15E34">
      <w:pPr>
        <w:pStyle w:val="AllowPageBreak"/>
      </w:pPr>
    </w:p>
    <w:p w:rsidR="00000000" w:rsidRPr="00C15E34" w:rsidP="00C15E34">
      <w:pPr>
        <w:pStyle w:val="Heading1"/>
      </w:pPr>
      <w:bookmarkStart w:id="7" w:name="O_568069"/>
      <w:bookmarkEnd w:id="7"/>
      <w:r w:rsidRPr="00C15E34">
        <w:t>Elements and Performance Criteria Pre-Content</w:t>
      </w:r>
    </w:p>
    <w:tbl>
      <w:tblPr>
        <w:tblW w:w="9640" w:type="dxa"/>
        <w:tblLayout w:type="fixed"/>
        <w:tblCellMar>
          <w:left w:w="62" w:type="dxa"/>
          <w:right w:w="62" w:type="dxa"/>
        </w:tblCellMar>
        <w:tblLook w:val="0000"/>
      </w:tblPr>
      <w:tblGrid>
        <w:gridCol w:w="2776"/>
        <w:gridCol w:w="6864"/>
      </w:tblGrid>
      <w:tr w:rsidTr="006F25CB">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C15E34">
            <w:pPr>
              <w:pStyle w:val="BodyText"/>
              <w:rPr>
                <w:lang w:val="en-NZ"/>
              </w:rPr>
            </w:pPr>
            <w:r w:rsidRPr="00C15E34">
              <w:t>Elements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C15E34" w:rsidP="00C15E34">
            <w:pPr>
              <w:pStyle w:val="BodyText"/>
            </w:pPr>
            <w:r w:rsidRPr="00C15E34">
              <w:t>Performance criteria describe the required performance needed to demonstrate achievement of the element. Assessment of performance is to be consistent with the evidence guide.</w:t>
            </w:r>
          </w:p>
        </w:tc>
      </w:tr>
    </w:tbl>
    <w:p w:rsidR="00000000" w:rsidRPr="00C15E34" w:rsidP="00C15E34">
      <w:pPr>
        <w:pStyle w:val="BodyText"/>
      </w:pPr>
    </w:p>
    <w:p w:rsidR="00000000" w:rsidRPr="00C15E34" w:rsidP="00C15E34">
      <w:pPr>
        <w:pStyle w:val="AllowPageBreak"/>
      </w:pPr>
    </w:p>
    <w:p w:rsidR="00000000" w:rsidRPr="00C15E34" w:rsidP="00C15E34">
      <w:pPr>
        <w:pStyle w:val="Heading1"/>
      </w:pPr>
      <w:bookmarkStart w:id="8" w:name="O_568068"/>
      <w:bookmarkEnd w:id="8"/>
      <w:r w:rsidRPr="00C15E34">
        <w:t>Elements and Performance Criteria</w:t>
      </w:r>
    </w:p>
    <w:tbl>
      <w:tblPr>
        <w:tblW w:w="9640" w:type="dxa"/>
        <w:tblLayout w:type="fixed"/>
        <w:tblCellMar>
          <w:left w:w="62" w:type="dxa"/>
          <w:right w:w="62" w:type="dxa"/>
        </w:tblCellMar>
        <w:tblLook w:val="0000"/>
      </w:tblPr>
      <w:tblGrid>
        <w:gridCol w:w="293"/>
        <w:gridCol w:w="1899"/>
        <w:gridCol w:w="584"/>
        <w:gridCol w:w="6864"/>
      </w:tblGrid>
      <w:tr w:rsidTr="006F25CB">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C15E34" w:rsidP="00C15E34">
            <w:pPr>
              <w:pStyle w:val="BodyText"/>
            </w:pPr>
            <w:r w:rsidRPr="00C15E34">
              <w:rPr>
                <w:rStyle w:val="SpecialBold"/>
              </w:rPr>
              <w:t>1</w:t>
            </w:r>
          </w:p>
        </w:tc>
        <w:tc>
          <w:tcPr>
            <w:tcW w:w="1899" w:type="dxa"/>
            <w:vMerge w:val="restart"/>
            <w:tcBorders>
              <w:top w:val="nil"/>
              <w:left w:val="nil"/>
              <w:bottom w:val="nil"/>
              <w:right w:val="nil"/>
            </w:tcBorders>
            <w:tcMar>
              <w:top w:w="0" w:type="dxa"/>
              <w:left w:w="62" w:type="dxa"/>
              <w:bottom w:w="0" w:type="dxa"/>
              <w:right w:w="62" w:type="dxa"/>
            </w:tcMar>
          </w:tcPr>
          <w:p w:rsidR="00000000" w:rsidP="00C15E34">
            <w:pPr>
              <w:pStyle w:val="BodyText"/>
              <w:rPr>
                <w:lang w:val="en-NZ"/>
              </w:rPr>
            </w:pPr>
            <w:r w:rsidRPr="00C15E34">
              <w:rPr>
                <w:rStyle w:val="SpecialBold"/>
              </w:rPr>
              <w:t>Drive a heavy combination</w:t>
            </w:r>
            <w:r w:rsidRPr="00C15E34">
              <w:rPr>
                <w:rStyle w:val="SpecialBold"/>
              </w:rPr>
              <w:t xml:space="preserve"> vehicle</w:t>
            </w:r>
          </w:p>
        </w:tc>
        <w:tc>
          <w:tcPr>
            <w:tcW w:w="584" w:type="dxa"/>
            <w:tcBorders>
              <w:top w:val="nil"/>
              <w:left w:val="nil"/>
              <w:bottom w:val="nil"/>
              <w:right w:val="nil"/>
            </w:tcBorders>
            <w:tcMar>
              <w:top w:w="0" w:type="dxa"/>
              <w:left w:w="62" w:type="dxa"/>
              <w:bottom w:w="0" w:type="dxa"/>
              <w:right w:w="62" w:type="dxa"/>
            </w:tcMar>
          </w:tcPr>
          <w:p w:rsidR="00000000" w:rsidP="00C15E34">
            <w:pPr>
              <w:pStyle w:val="BodyText"/>
              <w:rPr>
                <w:lang w:val="en-NZ"/>
              </w:rPr>
            </w:pPr>
            <w:r w:rsidRPr="00C15E34">
              <w:t>1.1</w:t>
            </w:r>
          </w:p>
        </w:tc>
        <w:tc>
          <w:tcPr>
            <w:tcW w:w="6864" w:type="dxa"/>
            <w:tcBorders>
              <w:top w:val="nil"/>
              <w:left w:val="nil"/>
              <w:bottom w:val="nil"/>
              <w:right w:val="nil"/>
            </w:tcBorders>
            <w:tcMar>
              <w:top w:w="0" w:type="dxa"/>
              <w:left w:w="62" w:type="dxa"/>
              <w:bottom w:w="0" w:type="dxa"/>
              <w:right w:w="62" w:type="dxa"/>
            </w:tcMar>
          </w:tcPr>
          <w:p w:rsidR="00000000" w:rsidP="00C15E34">
            <w:pPr>
              <w:pStyle w:val="BodyText"/>
              <w:rPr>
                <w:lang w:val="en-NZ"/>
              </w:rPr>
            </w:pPr>
            <w:r w:rsidRPr="00C15E34">
              <w:t>Heavy combination vehicle is started, steered, manoeuvred, positioned and stopped according to traffic regulations, manufacturer instructions and relevant vehicle handling procedures</w:t>
            </w:r>
          </w:p>
        </w:tc>
      </w:tr>
      <w:tr w:rsidTr="006F25CB">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C15E34">
            <w:pPr>
              <w:pStyle w:val="BodyText"/>
              <w:rPr>
                <w:lang w:val="en-NZ"/>
              </w:rPr>
            </w:pPr>
            <w:r w:rsidRPr="00C15E34">
              <w:t>1.2</w:t>
            </w:r>
          </w:p>
        </w:tc>
        <w:tc>
          <w:tcPr>
            <w:tcW w:w="6864" w:type="dxa"/>
            <w:tcBorders>
              <w:top w:val="nil"/>
              <w:left w:val="nil"/>
              <w:bottom w:val="nil"/>
              <w:right w:val="nil"/>
            </w:tcBorders>
            <w:tcMar>
              <w:top w:w="0" w:type="dxa"/>
              <w:left w:w="62" w:type="dxa"/>
              <w:bottom w:w="0" w:type="dxa"/>
              <w:right w:w="62" w:type="dxa"/>
            </w:tcMar>
          </w:tcPr>
          <w:p w:rsidR="00000000" w:rsidP="00C15E34">
            <w:pPr>
              <w:pStyle w:val="BodyText"/>
              <w:rPr>
                <w:lang w:val="en-NZ"/>
              </w:rPr>
            </w:pPr>
            <w:r w:rsidRPr="00C15E34">
              <w:t>Engine power is managed to ensure efficiency and perf</w:t>
            </w:r>
            <w:r w:rsidRPr="00C15E34">
              <w:t>ormance, and to minimise engine and gear damage</w:t>
            </w:r>
          </w:p>
        </w:tc>
      </w:tr>
      <w:tr w:rsidTr="006F25CB">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C15E34">
            <w:pPr>
              <w:pStyle w:val="BodyText"/>
              <w:rPr>
                <w:lang w:val="en-NZ"/>
              </w:rPr>
            </w:pPr>
            <w:r w:rsidRPr="00C15E34">
              <w:t>1.3</w:t>
            </w:r>
          </w:p>
        </w:tc>
        <w:tc>
          <w:tcPr>
            <w:tcW w:w="6864" w:type="dxa"/>
            <w:tcBorders>
              <w:top w:val="nil"/>
              <w:left w:val="nil"/>
              <w:bottom w:val="nil"/>
              <w:right w:val="nil"/>
            </w:tcBorders>
            <w:tcMar>
              <w:top w:w="0" w:type="dxa"/>
              <w:left w:w="62" w:type="dxa"/>
              <w:bottom w:w="0" w:type="dxa"/>
              <w:right w:w="62" w:type="dxa"/>
            </w:tcMar>
          </w:tcPr>
          <w:p w:rsidR="00000000" w:rsidP="00C15E34">
            <w:pPr>
              <w:pStyle w:val="BodyText"/>
              <w:rPr>
                <w:lang w:val="en-NZ"/>
              </w:rPr>
            </w:pPr>
            <w:r w:rsidRPr="00C15E34">
              <w:t>Braking system of heavy combination vehicle is managed and operated efficiently to ensure effective control of vehicle under all conditions</w:t>
            </w:r>
          </w:p>
        </w:tc>
      </w:tr>
      <w:tr w:rsidTr="006F25CB">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C15E34">
            <w:pPr>
              <w:pStyle w:val="BodyText"/>
              <w:rPr>
                <w:lang w:val="en-NZ"/>
              </w:rPr>
            </w:pPr>
            <w:r w:rsidRPr="00C15E34">
              <w:t>1.4</w:t>
            </w:r>
          </w:p>
        </w:tc>
        <w:tc>
          <w:tcPr>
            <w:tcW w:w="6864" w:type="dxa"/>
            <w:tcBorders>
              <w:top w:val="nil"/>
              <w:left w:val="nil"/>
              <w:bottom w:val="nil"/>
              <w:right w:val="nil"/>
            </w:tcBorders>
            <w:tcMar>
              <w:top w:w="0" w:type="dxa"/>
              <w:left w:w="62" w:type="dxa"/>
              <w:bottom w:w="0" w:type="dxa"/>
              <w:right w:w="62" w:type="dxa"/>
            </w:tcMar>
          </w:tcPr>
          <w:p w:rsidR="00000000" w:rsidP="00C15E34">
            <w:pPr>
              <w:pStyle w:val="BodyText"/>
              <w:rPr>
                <w:lang w:val="en-NZ"/>
              </w:rPr>
            </w:pPr>
            <w:r w:rsidRPr="00C15E34">
              <w:t>Driving hazards are identified and/or anticipated and avoided or controlled through defensive driving</w:t>
            </w:r>
          </w:p>
        </w:tc>
      </w:tr>
      <w:tr w:rsidTr="006F25CB">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C15E34">
            <w:pPr>
              <w:pStyle w:val="BodyText"/>
              <w:rPr>
                <w:lang w:val="en-NZ"/>
              </w:rPr>
            </w:pPr>
            <w:r w:rsidRPr="00C15E34">
              <w:t>1.5</w:t>
            </w:r>
          </w:p>
        </w:tc>
        <w:tc>
          <w:tcPr>
            <w:tcW w:w="6864" w:type="dxa"/>
            <w:tcBorders>
              <w:top w:val="nil"/>
              <w:left w:val="nil"/>
              <w:bottom w:val="nil"/>
              <w:right w:val="nil"/>
            </w:tcBorders>
            <w:tcMar>
              <w:top w:w="0" w:type="dxa"/>
              <w:left w:w="62" w:type="dxa"/>
              <w:bottom w:w="0" w:type="dxa"/>
              <w:right w:w="62" w:type="dxa"/>
            </w:tcMar>
          </w:tcPr>
          <w:p w:rsidR="00000000" w:rsidP="00C15E34">
            <w:pPr>
              <w:pStyle w:val="BodyText"/>
              <w:rPr>
                <w:lang w:val="en-NZ"/>
              </w:rPr>
            </w:pPr>
            <w:r w:rsidRPr="00C15E34">
              <w:t>Heavy combination vehicle is driven in reverse, maintaining visibility and achieving accurate positioning</w:t>
            </w:r>
          </w:p>
        </w:tc>
      </w:tr>
      <w:tr w:rsidTr="006F25CB">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C15E34">
            <w:pPr>
              <w:pStyle w:val="BodyText"/>
              <w:rPr>
                <w:lang w:val="en-NZ"/>
              </w:rPr>
            </w:pPr>
            <w:r w:rsidRPr="00C15E34">
              <w:t>1.6</w:t>
            </w:r>
          </w:p>
        </w:tc>
        <w:tc>
          <w:tcPr>
            <w:tcW w:w="6864" w:type="dxa"/>
            <w:tcBorders>
              <w:top w:val="nil"/>
              <w:left w:val="nil"/>
              <w:bottom w:val="nil"/>
              <w:right w:val="nil"/>
            </w:tcBorders>
            <w:tcMar>
              <w:top w:w="0" w:type="dxa"/>
              <w:left w:w="62" w:type="dxa"/>
              <w:bottom w:w="0" w:type="dxa"/>
              <w:right w:w="62" w:type="dxa"/>
            </w:tcMar>
          </w:tcPr>
          <w:p w:rsidR="00000000" w:rsidP="00C15E34">
            <w:pPr>
              <w:pStyle w:val="BodyText"/>
              <w:rPr>
                <w:lang w:val="en-NZ"/>
              </w:rPr>
            </w:pPr>
            <w:r w:rsidRPr="00C15E34">
              <w:t>Heavy combination vehicle is parke</w:t>
            </w:r>
            <w:r w:rsidRPr="00C15E34">
              <w:t>d, shutdown, uncoupled and safely secured according to traffic regulations</w:t>
            </w:r>
          </w:p>
        </w:tc>
      </w:tr>
      <w:tr w:rsidTr="006F25CB">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C15E34">
            <w:pPr>
              <w:pStyle w:val="BodyText"/>
              <w:rPr>
                <w:lang w:val="en-NZ"/>
              </w:rPr>
            </w:pPr>
            <w:r w:rsidRPr="00C15E34">
              <w:t>1.7</w:t>
            </w:r>
          </w:p>
        </w:tc>
        <w:tc>
          <w:tcPr>
            <w:tcW w:w="6864" w:type="dxa"/>
            <w:tcBorders>
              <w:top w:val="nil"/>
              <w:left w:val="nil"/>
              <w:bottom w:val="nil"/>
              <w:right w:val="nil"/>
            </w:tcBorders>
            <w:tcMar>
              <w:top w:w="0" w:type="dxa"/>
              <w:left w:w="62" w:type="dxa"/>
              <w:bottom w:w="0" w:type="dxa"/>
              <w:right w:w="62" w:type="dxa"/>
            </w:tcMar>
          </w:tcPr>
          <w:p w:rsidR="00000000" w:rsidP="00C15E34">
            <w:pPr>
              <w:pStyle w:val="BodyText"/>
              <w:rPr>
                <w:lang w:val="en-NZ"/>
              </w:rPr>
            </w:pPr>
            <w:r w:rsidRPr="00C15E34">
              <w:t>Load is safely and effectively restrained</w:t>
            </w:r>
          </w:p>
        </w:tc>
      </w:tr>
      <w:tr w:rsidTr="006F25CB">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C15E34" w:rsidP="00C15E34">
            <w:pPr>
              <w:pStyle w:val="BodyText"/>
            </w:pPr>
            <w:r w:rsidRPr="00C15E34">
              <w:rPr>
                <w:rStyle w:val="SpecialBold"/>
              </w:rPr>
              <w:t>2</w:t>
            </w:r>
          </w:p>
        </w:tc>
        <w:tc>
          <w:tcPr>
            <w:tcW w:w="1899" w:type="dxa"/>
            <w:vMerge w:val="restart"/>
            <w:tcBorders>
              <w:top w:val="nil"/>
              <w:left w:val="nil"/>
              <w:bottom w:val="nil"/>
              <w:right w:val="nil"/>
            </w:tcBorders>
            <w:tcMar>
              <w:top w:w="0" w:type="dxa"/>
              <w:left w:w="62" w:type="dxa"/>
              <w:bottom w:w="0" w:type="dxa"/>
              <w:right w:w="62" w:type="dxa"/>
            </w:tcMar>
          </w:tcPr>
          <w:p w:rsidR="00000000" w:rsidP="00C15E34">
            <w:pPr>
              <w:pStyle w:val="BodyText"/>
              <w:rPr>
                <w:lang w:val="en-NZ"/>
              </w:rPr>
            </w:pPr>
            <w:r w:rsidRPr="00C15E34">
              <w:rPr>
                <w:rStyle w:val="SpecialBold"/>
              </w:rPr>
              <w:t>Monitor traffic and road conditions</w:t>
            </w:r>
          </w:p>
        </w:tc>
        <w:tc>
          <w:tcPr>
            <w:tcW w:w="584" w:type="dxa"/>
            <w:tcBorders>
              <w:top w:val="nil"/>
              <w:left w:val="nil"/>
              <w:bottom w:val="nil"/>
              <w:right w:val="nil"/>
            </w:tcBorders>
            <w:tcMar>
              <w:top w:w="0" w:type="dxa"/>
              <w:left w:w="62" w:type="dxa"/>
              <w:bottom w:w="0" w:type="dxa"/>
              <w:right w:w="62" w:type="dxa"/>
            </w:tcMar>
          </w:tcPr>
          <w:p w:rsidR="00000000" w:rsidP="00C15E34">
            <w:pPr>
              <w:pStyle w:val="BodyText"/>
              <w:rPr>
                <w:lang w:val="en-NZ"/>
              </w:rPr>
            </w:pPr>
            <w:r w:rsidRPr="00C15E34">
              <w:t>2.1</w:t>
            </w:r>
          </w:p>
        </w:tc>
        <w:tc>
          <w:tcPr>
            <w:tcW w:w="6864" w:type="dxa"/>
            <w:tcBorders>
              <w:top w:val="nil"/>
              <w:left w:val="nil"/>
              <w:bottom w:val="nil"/>
              <w:right w:val="nil"/>
            </w:tcBorders>
            <w:tcMar>
              <w:top w:w="0" w:type="dxa"/>
              <w:left w:w="62" w:type="dxa"/>
              <w:bottom w:w="0" w:type="dxa"/>
              <w:right w:w="62" w:type="dxa"/>
            </w:tcMar>
          </w:tcPr>
          <w:p w:rsidR="00000000" w:rsidP="00C15E34">
            <w:pPr>
              <w:pStyle w:val="BodyText"/>
              <w:rPr>
                <w:lang w:val="en-NZ"/>
              </w:rPr>
            </w:pPr>
            <w:r w:rsidRPr="00C15E34">
              <w:t>Traffic and road conditions are constantly monitored and acte</w:t>
            </w:r>
            <w:r w:rsidRPr="00C15E34">
              <w:t>d upon to enable safe operation and to ensure no injury to people or damage to property, equipment, loads and facilities</w:t>
            </w:r>
          </w:p>
        </w:tc>
      </w:tr>
      <w:tr w:rsidTr="006F25CB">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C15E34">
            <w:pPr>
              <w:pStyle w:val="BodyText"/>
              <w:rPr>
                <w:lang w:val="en-NZ"/>
              </w:rPr>
            </w:pPr>
            <w:r w:rsidRPr="00C15E34">
              <w:t>2.2</w:t>
            </w:r>
          </w:p>
        </w:tc>
        <w:tc>
          <w:tcPr>
            <w:tcW w:w="6864" w:type="dxa"/>
            <w:tcBorders>
              <w:top w:val="nil"/>
              <w:left w:val="nil"/>
              <w:bottom w:val="nil"/>
              <w:right w:val="nil"/>
            </w:tcBorders>
            <w:tcMar>
              <w:top w:w="0" w:type="dxa"/>
              <w:left w:w="62" w:type="dxa"/>
              <w:bottom w:w="0" w:type="dxa"/>
              <w:right w:w="62" w:type="dxa"/>
            </w:tcMar>
          </w:tcPr>
          <w:p w:rsidR="00000000" w:rsidP="00C15E34">
            <w:pPr>
              <w:pStyle w:val="BodyText"/>
              <w:rPr>
                <w:lang w:val="en-NZ"/>
              </w:rPr>
            </w:pPr>
            <w:r w:rsidRPr="00C15E34">
              <w:t>Interaction with other road users is conducted courteously according to road rules to ensure safe and efficient traffic flow</w:t>
            </w:r>
          </w:p>
        </w:tc>
      </w:tr>
      <w:tr w:rsidTr="006F25CB">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C15E34" w:rsidP="00C15E34">
            <w:pPr>
              <w:pStyle w:val="BodyText"/>
            </w:pPr>
            <w:r w:rsidRPr="00C15E34">
              <w:rPr>
                <w:rStyle w:val="SpecialBold"/>
              </w:rPr>
              <w:t>3</w:t>
            </w:r>
          </w:p>
        </w:tc>
        <w:tc>
          <w:tcPr>
            <w:tcW w:w="1899" w:type="dxa"/>
            <w:vMerge w:val="restart"/>
            <w:tcBorders>
              <w:top w:val="nil"/>
              <w:left w:val="nil"/>
              <w:bottom w:val="nil"/>
              <w:right w:val="nil"/>
            </w:tcBorders>
            <w:tcMar>
              <w:top w:w="0" w:type="dxa"/>
              <w:left w:w="62" w:type="dxa"/>
              <w:bottom w:w="0" w:type="dxa"/>
              <w:right w:w="62" w:type="dxa"/>
            </w:tcMar>
          </w:tcPr>
          <w:p w:rsidR="00000000" w:rsidP="00C15E34">
            <w:pPr>
              <w:pStyle w:val="BodyText"/>
              <w:rPr>
                <w:lang w:val="en-NZ"/>
              </w:rPr>
            </w:pPr>
            <w:r w:rsidRPr="00C15E34">
              <w:rPr>
                <w:rStyle w:val="SpecialBold"/>
              </w:rPr>
              <w:t>Monitor and maintain vehicle performance</w:t>
            </w:r>
          </w:p>
        </w:tc>
        <w:tc>
          <w:tcPr>
            <w:tcW w:w="584" w:type="dxa"/>
            <w:tcBorders>
              <w:top w:val="nil"/>
              <w:left w:val="nil"/>
              <w:bottom w:val="nil"/>
              <w:right w:val="nil"/>
            </w:tcBorders>
            <w:tcMar>
              <w:top w:w="0" w:type="dxa"/>
              <w:left w:w="62" w:type="dxa"/>
              <w:bottom w:w="0" w:type="dxa"/>
              <w:right w:w="62" w:type="dxa"/>
            </w:tcMar>
          </w:tcPr>
          <w:p w:rsidR="00000000" w:rsidP="00C15E34">
            <w:pPr>
              <w:pStyle w:val="BodyText"/>
              <w:rPr>
                <w:lang w:val="en-NZ"/>
              </w:rPr>
            </w:pPr>
            <w:r w:rsidRPr="00C15E34">
              <w:t>3.1</w:t>
            </w:r>
          </w:p>
        </w:tc>
        <w:tc>
          <w:tcPr>
            <w:tcW w:w="6864" w:type="dxa"/>
            <w:tcBorders>
              <w:top w:val="nil"/>
              <w:left w:val="nil"/>
              <w:bottom w:val="nil"/>
              <w:right w:val="nil"/>
            </w:tcBorders>
            <w:tcMar>
              <w:top w:w="0" w:type="dxa"/>
              <w:left w:w="62" w:type="dxa"/>
              <w:bottom w:w="0" w:type="dxa"/>
              <w:right w:w="62" w:type="dxa"/>
            </w:tcMar>
          </w:tcPr>
          <w:p w:rsidR="00000000" w:rsidP="00C15E34">
            <w:pPr>
              <w:pStyle w:val="BodyText"/>
              <w:rPr>
                <w:lang w:val="en-NZ"/>
              </w:rPr>
            </w:pPr>
            <w:r w:rsidRPr="00C15E34">
              <w:t xml:space="preserve">Vehicle performance is maintained through pre-operational inspections and vehicle checks </w:t>
            </w:r>
          </w:p>
        </w:tc>
      </w:tr>
      <w:tr w:rsidTr="006F25CB">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C15E34">
            <w:pPr>
              <w:pStyle w:val="BodyText"/>
              <w:rPr>
                <w:lang w:val="en-NZ"/>
              </w:rPr>
            </w:pPr>
            <w:r w:rsidRPr="00C15E34">
              <w:t>3.2</w:t>
            </w:r>
          </w:p>
        </w:tc>
        <w:tc>
          <w:tcPr>
            <w:tcW w:w="6864" w:type="dxa"/>
            <w:tcBorders>
              <w:top w:val="nil"/>
              <w:left w:val="nil"/>
              <w:bottom w:val="nil"/>
              <w:right w:val="nil"/>
            </w:tcBorders>
            <w:tcMar>
              <w:top w:w="0" w:type="dxa"/>
              <w:left w:w="62" w:type="dxa"/>
              <w:bottom w:w="0" w:type="dxa"/>
              <w:right w:w="62" w:type="dxa"/>
            </w:tcMar>
          </w:tcPr>
          <w:p w:rsidR="00000000" w:rsidP="00C15E34">
            <w:pPr>
              <w:pStyle w:val="BodyText"/>
              <w:rPr>
                <w:lang w:val="en-NZ"/>
              </w:rPr>
            </w:pPr>
            <w:r w:rsidRPr="00C15E34">
              <w:t>Appropriate signage, lights and equipment are checked for operational effectiveness and for conformity to prescrib</w:t>
            </w:r>
            <w:r w:rsidRPr="00C15E34">
              <w:t xml:space="preserve">ed traffic </w:t>
            </w:r>
            <w:r w:rsidRPr="00C15E34">
              <w:t>regulations</w:t>
            </w:r>
          </w:p>
        </w:tc>
      </w:tr>
      <w:tr w:rsidTr="006F25CB">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C15E34">
            <w:pPr>
              <w:pStyle w:val="BodyText"/>
              <w:rPr>
                <w:lang w:val="en-NZ"/>
              </w:rPr>
            </w:pPr>
            <w:r w:rsidRPr="00C15E34">
              <w:t>3.3</w:t>
            </w:r>
          </w:p>
        </w:tc>
        <w:tc>
          <w:tcPr>
            <w:tcW w:w="6864" w:type="dxa"/>
            <w:tcBorders>
              <w:top w:val="nil"/>
              <w:left w:val="nil"/>
              <w:bottom w:val="nil"/>
              <w:right w:val="nil"/>
            </w:tcBorders>
            <w:tcMar>
              <w:top w:w="0" w:type="dxa"/>
              <w:left w:w="62" w:type="dxa"/>
              <w:bottom w:w="0" w:type="dxa"/>
              <w:right w:w="62" w:type="dxa"/>
            </w:tcMar>
          </w:tcPr>
          <w:p w:rsidR="00000000" w:rsidP="00C15E34">
            <w:pPr>
              <w:pStyle w:val="BodyText"/>
              <w:rPr>
                <w:lang w:val="en-NZ"/>
              </w:rPr>
            </w:pPr>
            <w:r w:rsidRPr="00C15E34">
              <w:t>Prime mover and trailer are correctly aligned and coupled</w:t>
            </w:r>
          </w:p>
        </w:tc>
      </w:tr>
      <w:tr w:rsidTr="006F25CB">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C15E34">
            <w:pPr>
              <w:pStyle w:val="BodyText"/>
              <w:rPr>
                <w:lang w:val="en-NZ"/>
              </w:rPr>
            </w:pPr>
            <w:r w:rsidRPr="00C15E34">
              <w:t>3.4</w:t>
            </w:r>
          </w:p>
        </w:tc>
        <w:tc>
          <w:tcPr>
            <w:tcW w:w="6864" w:type="dxa"/>
            <w:tcBorders>
              <w:top w:val="nil"/>
              <w:left w:val="nil"/>
              <w:bottom w:val="nil"/>
              <w:right w:val="nil"/>
            </w:tcBorders>
            <w:tcMar>
              <w:top w:w="0" w:type="dxa"/>
              <w:left w:w="62" w:type="dxa"/>
              <w:bottom w:w="0" w:type="dxa"/>
              <w:right w:w="62" w:type="dxa"/>
            </w:tcMar>
          </w:tcPr>
          <w:p w:rsidR="00000000" w:rsidRPr="00C15E34" w:rsidP="00C15E34">
            <w:pPr>
              <w:pStyle w:val="BodyText"/>
            </w:pPr>
            <w:r w:rsidRPr="00C15E34">
              <w:t>Coupled vehicle is checked and tested to ensure it is correctly secured and to confirm it is fully operational</w:t>
            </w:r>
          </w:p>
        </w:tc>
      </w:tr>
    </w:tbl>
    <w:p w:rsidR="00000000" w:rsidRPr="00C15E34" w:rsidP="00C15E34">
      <w:pPr>
        <w:pStyle w:val="BodyText"/>
      </w:pPr>
    </w:p>
    <w:p w:rsidR="00000000" w:rsidRPr="00C15E34" w:rsidP="00C15E34">
      <w:pPr>
        <w:pStyle w:val="AllowPageBreak"/>
      </w:pPr>
    </w:p>
    <w:p w:rsidR="00000000" w:rsidRPr="00C15E34" w:rsidP="00C15E34">
      <w:pPr>
        <w:pStyle w:val="Heading1"/>
      </w:pPr>
      <w:bookmarkStart w:id="9" w:name="O_568067"/>
      <w:bookmarkEnd w:id="9"/>
      <w:r w:rsidRPr="00C15E34">
        <w:t>Required Skills and Knowledge</w:t>
      </w:r>
    </w:p>
    <w:tbl>
      <w:tblPr>
        <w:tblW w:w="9640" w:type="dxa"/>
        <w:tblLayout w:type="fixed"/>
        <w:tblCellMar>
          <w:left w:w="62" w:type="dxa"/>
          <w:right w:w="62" w:type="dxa"/>
        </w:tblCellMar>
        <w:tblLook w:val="0000"/>
      </w:tblPr>
      <w:tblGrid>
        <w:gridCol w:w="9640"/>
      </w:tblGrid>
      <w:tr w:rsidTr="00C15E3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15E34">
            <w:pPr>
              <w:pStyle w:val="BodyText"/>
              <w:rPr>
                <w:lang w:val="en-NZ"/>
              </w:rPr>
            </w:pPr>
            <w:r w:rsidRPr="00C15E34">
              <w:t>This section describes the knowledge and skills required for this unit.</w:t>
            </w:r>
          </w:p>
        </w:tc>
      </w:tr>
      <w:tr w:rsidTr="00C15E3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15E34">
            <w:pPr>
              <w:pStyle w:val="BodyText"/>
              <w:rPr>
                <w:lang w:val="en-NZ"/>
              </w:rPr>
            </w:pPr>
            <w:r w:rsidRPr="00C15E34">
              <w:rPr>
                <w:rStyle w:val="SpecialBold"/>
              </w:rPr>
              <w:t>Required knowledge:</w:t>
            </w:r>
          </w:p>
        </w:tc>
      </w:tr>
      <w:tr w:rsidTr="00C15E3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15E34">
            <w:pPr>
              <w:pStyle w:val="ListBullet"/>
              <w:rPr>
                <w:lang w:val="en-NZ"/>
              </w:rPr>
            </w:pPr>
            <w:r w:rsidRPr="00C15E34">
              <w:t>Driving hazards and related defensive driving techniques</w:t>
            </w:r>
          </w:p>
        </w:tc>
      </w:tr>
      <w:tr w:rsidTr="00C15E3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15E34">
            <w:pPr>
              <w:pStyle w:val="ListBullet"/>
              <w:rPr>
                <w:lang w:val="en-NZ"/>
              </w:rPr>
            </w:pPr>
            <w:r w:rsidRPr="00C15E34">
              <w:t>Efficient driving techniques</w:t>
            </w:r>
          </w:p>
        </w:tc>
      </w:tr>
      <w:tr w:rsidTr="00C15E3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15E34">
            <w:pPr>
              <w:pStyle w:val="ListBullet"/>
              <w:rPr>
                <w:lang w:val="en-NZ"/>
              </w:rPr>
            </w:pPr>
            <w:r w:rsidRPr="00C15E34">
              <w:t>Engine power management and safe driving strategies</w:t>
            </w:r>
          </w:p>
        </w:tc>
      </w:tr>
      <w:tr w:rsidTr="00C15E3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15E34">
            <w:pPr>
              <w:pStyle w:val="ListBullet"/>
              <w:rPr>
                <w:lang w:val="en-NZ"/>
              </w:rPr>
            </w:pPr>
            <w:r w:rsidRPr="00C15E34">
              <w:t>Heavy combination vehicle controls, instruments and indicators and their use</w:t>
            </w:r>
          </w:p>
        </w:tc>
      </w:tr>
      <w:tr w:rsidTr="00C15E3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15E34">
            <w:pPr>
              <w:pStyle w:val="ListBullet"/>
              <w:rPr>
                <w:lang w:val="en-NZ"/>
              </w:rPr>
            </w:pPr>
            <w:r w:rsidRPr="00C15E34">
              <w:t>Heavy combination vehicle handling procedures</w:t>
            </w:r>
          </w:p>
        </w:tc>
      </w:tr>
      <w:tr w:rsidTr="00C15E3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15E34">
            <w:pPr>
              <w:pStyle w:val="ListBullet"/>
              <w:rPr>
                <w:lang w:val="en-NZ"/>
              </w:rPr>
            </w:pPr>
            <w:r w:rsidRPr="00C15E34">
              <w:t>Pre-operational checks carried out on vehicle and related action</w:t>
            </w:r>
          </w:p>
        </w:tc>
      </w:tr>
      <w:tr w:rsidTr="00C15E3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15E34">
            <w:pPr>
              <w:pStyle w:val="ListBullet"/>
              <w:rPr>
                <w:lang w:val="en-NZ"/>
              </w:rPr>
            </w:pPr>
            <w:r w:rsidRPr="00C15E34">
              <w:t>Relevant state/territory driver licensing authority road rules</w:t>
            </w:r>
            <w:r w:rsidRPr="00C15E34">
              <w:t>, regulations, permit and licence requirements</w:t>
            </w:r>
          </w:p>
        </w:tc>
      </w:tr>
      <w:tr w:rsidTr="00C15E3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15E34">
            <w:pPr>
              <w:pStyle w:val="BodyText"/>
              <w:rPr>
                <w:lang w:val="en-NZ"/>
              </w:rPr>
            </w:pPr>
            <w:r w:rsidRPr="00C15E34">
              <w:rPr>
                <w:rStyle w:val="SpecialBold"/>
              </w:rPr>
              <w:t>Required skills:</w:t>
            </w:r>
          </w:p>
        </w:tc>
      </w:tr>
      <w:tr w:rsidTr="00C15E3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15E34">
            <w:pPr>
              <w:pStyle w:val="ListBullet"/>
              <w:rPr>
                <w:lang w:val="en-NZ"/>
              </w:rPr>
            </w:pPr>
            <w:r w:rsidRPr="00C15E34">
              <w:t>Anticipate and monitor and traffic hazards and take appropriate action</w:t>
            </w:r>
          </w:p>
        </w:tc>
      </w:tr>
      <w:tr w:rsidTr="00C15E3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15E34">
            <w:pPr>
              <w:pStyle w:val="ListBullet"/>
              <w:rPr>
                <w:lang w:val="en-NZ"/>
              </w:rPr>
            </w:pPr>
            <w:r w:rsidRPr="00C15E34">
              <w:t xml:space="preserve">Apply precautions and required action to eliminate, minimise or control hazards </w:t>
            </w:r>
            <w:r w:rsidRPr="00C15E34">
              <w:t>that may exist when driving a heavy combination vehicle</w:t>
            </w:r>
          </w:p>
        </w:tc>
      </w:tr>
      <w:tr w:rsidTr="00C15E3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15E34">
            <w:pPr>
              <w:pStyle w:val="ListBullet"/>
              <w:rPr>
                <w:lang w:val="en-NZ"/>
              </w:rPr>
            </w:pPr>
            <w:r w:rsidRPr="00C15E34">
              <w:t>Carry out pre-operational vehicle checks</w:t>
            </w:r>
          </w:p>
        </w:tc>
      </w:tr>
      <w:tr w:rsidTr="00C15E3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15E34">
            <w:pPr>
              <w:pStyle w:val="ListBullet"/>
              <w:rPr>
                <w:lang w:val="en-NZ"/>
              </w:rPr>
            </w:pPr>
            <w:r w:rsidRPr="00C15E34">
              <w:t>Communicate effectively with others when driving a heavy combination vehicle</w:t>
            </w:r>
          </w:p>
        </w:tc>
      </w:tr>
      <w:tr w:rsidTr="00C15E3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15E34">
            <w:pPr>
              <w:pStyle w:val="ListBullet"/>
              <w:rPr>
                <w:lang w:val="en-NZ"/>
              </w:rPr>
            </w:pPr>
            <w:r w:rsidRPr="00C15E34">
              <w:t>Monitor performance of vehicle, its trailers and its equipment, and take app</w:t>
            </w:r>
            <w:r w:rsidRPr="00C15E34">
              <w:t>ropriate action where required</w:t>
            </w:r>
          </w:p>
        </w:tc>
      </w:tr>
      <w:tr w:rsidTr="00C15E3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C15E34" w:rsidP="00C15E34">
            <w:pPr>
              <w:pStyle w:val="ListBullet"/>
            </w:pPr>
            <w:r w:rsidRPr="00C15E34">
              <w:t>Read and interpret instructions, procedures, information and signs relevant to driving a heavy combination vehicle</w:t>
            </w:r>
          </w:p>
        </w:tc>
      </w:tr>
    </w:tbl>
    <w:p w:rsidR="00000000" w:rsidRPr="00C15E34" w:rsidP="00C15E34">
      <w:pPr>
        <w:pStyle w:val="BodyText"/>
      </w:pPr>
    </w:p>
    <w:p w:rsidR="00000000" w:rsidRPr="00C15E34" w:rsidP="00C15E34">
      <w:pPr>
        <w:pStyle w:val="AllowPageBreak"/>
      </w:pPr>
    </w:p>
    <w:p w:rsidR="00000000" w:rsidRPr="00C15E34" w:rsidP="00C15E34">
      <w:pPr>
        <w:pStyle w:val="Heading1"/>
      </w:pPr>
      <w:bookmarkStart w:id="10" w:name="O_568066"/>
      <w:bookmarkEnd w:id="10"/>
      <w:r w:rsidRPr="00C15E34">
        <w:t>Evidence Guide</w:t>
      </w:r>
    </w:p>
    <w:tbl>
      <w:tblPr>
        <w:tblW w:w="9499" w:type="dxa"/>
        <w:tblLayout w:type="fixed"/>
        <w:tblCellMar>
          <w:left w:w="62" w:type="dxa"/>
          <w:right w:w="62" w:type="dxa"/>
        </w:tblCellMar>
        <w:tblLook w:val="0000"/>
      </w:tblPr>
      <w:tblGrid>
        <w:gridCol w:w="3340"/>
        <w:gridCol w:w="6159"/>
      </w:tblGrid>
      <w:tr w:rsidTr="00C15E34">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C15E34">
            <w:pPr>
              <w:pStyle w:val="BodyText"/>
              <w:rPr>
                <w:lang w:val="en-NZ"/>
              </w:rPr>
            </w:pPr>
            <w:r w:rsidRPr="00C15E34">
              <w:t>The evidence guide provides advice on assessment and must be read in conjunction with the performance criteria, required knowledge and skills, the range statement and the assessment guidelines for this Training Package.</w:t>
            </w:r>
          </w:p>
        </w:tc>
      </w:tr>
      <w:tr w:rsidTr="00C15E34">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C15E34">
            <w:pPr>
              <w:pStyle w:val="BodyText"/>
              <w:rPr>
                <w:lang w:val="en-NZ"/>
              </w:rPr>
            </w:pPr>
            <w:r w:rsidRPr="00C15E34">
              <w:rPr>
                <w:rStyle w:val="SpecialBold"/>
              </w:rPr>
              <w:t>Critical aspects for assessment an</w:t>
            </w:r>
            <w:r w:rsidRPr="00C15E34">
              <w:rPr>
                <w:rStyle w:val="SpecialBold"/>
              </w:rPr>
              <w:t>d evidence required to demonstrate competency in this unit</w:t>
            </w:r>
          </w:p>
        </w:tc>
        <w:tc>
          <w:tcPr>
            <w:tcW w:w="6159" w:type="dxa"/>
            <w:tcBorders>
              <w:top w:val="nil"/>
              <w:left w:val="nil"/>
              <w:bottom w:val="nil"/>
              <w:right w:val="nil"/>
            </w:tcBorders>
            <w:tcMar>
              <w:top w:w="0" w:type="dxa"/>
              <w:left w:w="62" w:type="dxa"/>
              <w:bottom w:w="0" w:type="dxa"/>
              <w:right w:w="62" w:type="dxa"/>
            </w:tcMar>
          </w:tcPr>
          <w:p w:rsidR="00000000" w:rsidRPr="00C15E34" w:rsidP="00C15E34">
            <w:pPr>
              <w:pStyle w:val="ListBullet"/>
            </w:pPr>
            <w:r w:rsidRPr="00C15E34">
              <w:t xml:space="preserve">The evidence required to demonstrate competence in this unit must be relevant to and satisfy all of the requirements of the Elements, Performance Criteria, Required Skills, Required Knowledge and </w:t>
            </w:r>
            <w:r w:rsidRPr="00C15E34">
              <w:t>include:</w:t>
            </w:r>
          </w:p>
          <w:p w:rsidR="00000000" w:rsidRPr="00C15E34" w:rsidP="00C15E34">
            <w:pPr>
              <w:pStyle w:val="ListBullet"/>
            </w:pPr>
            <w:r w:rsidRPr="00C15E34">
              <w:t>applying relevant procedures that reflect legislative requirements</w:t>
            </w:r>
          </w:p>
          <w:p w:rsidR="00000000" w:rsidP="00C15E34">
            <w:pPr>
              <w:pStyle w:val="ListBullet"/>
              <w:rPr>
                <w:lang w:val="en-NZ"/>
              </w:rPr>
            </w:pPr>
            <w:r w:rsidRPr="00C15E34">
              <w:t>negotiating a range of complex traffic infrastructure (such as roundabouts, traffic lights, stalemate intersections, railway level crossings).</w:t>
            </w:r>
          </w:p>
        </w:tc>
      </w:tr>
      <w:tr w:rsidTr="00C15E34">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C15E34">
            <w:pPr>
              <w:pStyle w:val="BodyText"/>
              <w:rPr>
                <w:lang w:val="en-NZ"/>
              </w:rPr>
            </w:pPr>
            <w:r w:rsidRPr="00C15E34">
              <w:rPr>
                <w:rStyle w:val="SpecialBold"/>
              </w:rPr>
              <w:t>Context of and specific resources fo</w:t>
            </w:r>
            <w:r w:rsidRPr="00C15E34">
              <w:rPr>
                <w:rStyle w:val="SpecialBold"/>
              </w:rPr>
              <w:t>r assessment</w:t>
            </w:r>
          </w:p>
        </w:tc>
        <w:tc>
          <w:tcPr>
            <w:tcW w:w="6159" w:type="dxa"/>
            <w:tcBorders>
              <w:top w:val="nil"/>
              <w:left w:val="nil"/>
              <w:bottom w:val="nil"/>
              <w:right w:val="nil"/>
            </w:tcBorders>
            <w:tcMar>
              <w:top w:w="0" w:type="dxa"/>
              <w:left w:w="62" w:type="dxa"/>
              <w:bottom w:w="0" w:type="dxa"/>
              <w:right w:w="62" w:type="dxa"/>
            </w:tcMar>
          </w:tcPr>
          <w:p w:rsidR="00000000" w:rsidRPr="00C15E34" w:rsidP="00C15E34">
            <w:pPr>
              <w:pStyle w:val="BodyText"/>
            </w:pPr>
            <w:r w:rsidRPr="00C15E34">
              <w:t>Resources for assessment include access to:</w:t>
            </w:r>
          </w:p>
          <w:p w:rsidR="00000000" w:rsidRPr="00C15E34" w:rsidP="00C15E34">
            <w:pPr>
              <w:pStyle w:val="ListBullet"/>
            </w:pPr>
            <w:r w:rsidRPr="00C15E34">
              <w:t>range of relevant exercises, case studies and/or other simulated practical and knowledge assessment</w:t>
            </w:r>
          </w:p>
          <w:p w:rsidR="00000000" w:rsidRPr="00C15E34" w:rsidP="00C15E34">
            <w:pPr>
              <w:pStyle w:val="ListBullet"/>
            </w:pPr>
            <w:r w:rsidRPr="00C15E34">
              <w:t>appropriate range of relevant on-road operational situations or in the workplace</w:t>
            </w:r>
          </w:p>
          <w:p w:rsidR="00000000" w:rsidRPr="00C15E34" w:rsidP="00C15E34">
            <w:pPr>
              <w:pStyle w:val="ListBullet"/>
            </w:pPr>
            <w:r w:rsidRPr="00C15E34">
              <w:t>relevant and appropriate materials and equipment</w:t>
            </w:r>
          </w:p>
          <w:p w:rsidR="00000000" w:rsidP="00C15E34">
            <w:pPr>
              <w:pStyle w:val="ListBullet"/>
              <w:rPr>
                <w:lang w:val="en-NZ"/>
              </w:rPr>
            </w:pPr>
            <w:r w:rsidRPr="00C15E34">
              <w:t>applicable documentation such as workplace procedures, regulations, codes of practice and operation manuals.</w:t>
            </w:r>
          </w:p>
        </w:tc>
      </w:tr>
      <w:tr w:rsidTr="00C15E34">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C15E34">
            <w:pPr>
              <w:pStyle w:val="BodyText"/>
              <w:rPr>
                <w:lang w:val="en-NZ"/>
              </w:rPr>
            </w:pPr>
            <w:r w:rsidRPr="00C15E34">
              <w:rPr>
                <w:rStyle w:val="SpecialBold"/>
              </w:rPr>
              <w:t>Method of assessment</w:t>
            </w:r>
          </w:p>
        </w:tc>
        <w:tc>
          <w:tcPr>
            <w:tcW w:w="6159" w:type="dxa"/>
            <w:tcBorders>
              <w:top w:val="nil"/>
              <w:left w:val="nil"/>
              <w:bottom w:val="nil"/>
              <w:right w:val="nil"/>
            </w:tcBorders>
            <w:tcMar>
              <w:top w:w="0" w:type="dxa"/>
              <w:left w:w="62" w:type="dxa"/>
              <w:bottom w:w="0" w:type="dxa"/>
              <w:right w:w="62" w:type="dxa"/>
            </w:tcMar>
          </w:tcPr>
          <w:p w:rsidR="00000000" w:rsidRPr="00C15E34" w:rsidP="00C15E34">
            <w:pPr>
              <w:pStyle w:val="BodyText"/>
            </w:pPr>
            <w:r w:rsidRPr="00C15E34">
              <w:t>Practical driving aspects must be assessed in a vehicle typical of the class</w:t>
            </w:r>
            <w:r w:rsidRPr="00C15E34">
              <w:t xml:space="preserve"> as approved by the state/territory driver licensing authority. The use of simulators for driver testing is not permitted.</w:t>
            </w:r>
          </w:p>
          <w:p w:rsidR="00000000" w:rsidRPr="00C15E34" w:rsidP="00C15E34">
            <w:pPr>
              <w:pStyle w:val="BodyText"/>
            </w:pPr>
            <w:r w:rsidRPr="00C15E34">
              <w:t>The assessor must use the mandatory assessment tool provided by the state/territory driver licensing authority to conduct the assessm</w:t>
            </w:r>
            <w:r w:rsidRPr="00C15E34">
              <w:t>ent for this unit according to licensing authority requirements.</w:t>
            </w:r>
          </w:p>
          <w:p w:rsidR="00000000" w:rsidRPr="00C15E34" w:rsidP="00C15E34">
            <w:pPr>
              <w:pStyle w:val="BodyText"/>
            </w:pPr>
            <w:r w:rsidRPr="00C15E34">
              <w:t>The state/territory driver licensing authority may prescribe approved routes, which must be used for the final assessment.</w:t>
            </w:r>
          </w:p>
        </w:tc>
      </w:tr>
    </w:tbl>
    <w:p w:rsidR="00000000" w:rsidRPr="00C15E34" w:rsidP="00C15E34">
      <w:pPr>
        <w:pStyle w:val="BodyText"/>
      </w:pPr>
    </w:p>
    <w:p w:rsidR="00000000" w:rsidRPr="00C15E34" w:rsidP="00C15E34">
      <w:pPr>
        <w:pStyle w:val="AllowPageBreak"/>
      </w:pPr>
    </w:p>
    <w:p w:rsidR="00000000" w:rsidRPr="00C15E34" w:rsidP="00C15E34">
      <w:pPr>
        <w:pStyle w:val="Heading1"/>
      </w:pPr>
      <w:bookmarkStart w:id="11" w:name="O_568065"/>
      <w:bookmarkEnd w:id="11"/>
      <w:r w:rsidRPr="00C15E34">
        <w:t>Range Statement</w:t>
      </w:r>
    </w:p>
    <w:tbl>
      <w:tblPr>
        <w:tblW w:w="0" w:type="auto"/>
        <w:tblCellMar>
          <w:left w:w="62" w:type="dxa"/>
          <w:right w:w="62" w:type="dxa"/>
        </w:tblCellMar>
        <w:tblLook w:val="0000"/>
      </w:tblPr>
      <w:tblGrid>
        <w:gridCol w:w="2586"/>
        <w:gridCol w:w="6610"/>
      </w:tblGrid>
      <w:tr w:rsidTr="006F25C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15E34">
            <w:pPr>
              <w:pStyle w:val="BodyText"/>
              <w:rPr>
                <w:lang w:val="en-NZ"/>
              </w:rPr>
            </w:pPr>
            <w:r w:rsidRPr="00C15E34">
              <w:t>The range statement relates to the unit of competency as a whole. It allows for different work environments and situations that may affect performance.</w:t>
            </w:r>
          </w:p>
        </w:tc>
      </w:tr>
      <w:tr w:rsidTr="006F25C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5E34">
            <w:pPr>
              <w:pStyle w:val="BodyText"/>
              <w:rPr>
                <w:lang w:val="en-NZ"/>
              </w:rPr>
            </w:pPr>
            <w:r w:rsidRPr="00C15E34">
              <w:t>Heavy combination vehicle includes:</w:t>
            </w:r>
          </w:p>
        </w:tc>
        <w:tc>
          <w:tcPr>
            <w:tcW w:w="0" w:type="auto"/>
            <w:tcBorders>
              <w:top w:val="nil"/>
              <w:left w:val="nil"/>
              <w:bottom w:val="nil"/>
              <w:right w:val="nil"/>
            </w:tcBorders>
            <w:tcMar>
              <w:top w:w="0" w:type="dxa"/>
              <w:left w:w="62" w:type="dxa"/>
              <w:bottom w:w="0" w:type="dxa"/>
              <w:right w:w="62" w:type="dxa"/>
            </w:tcMar>
          </w:tcPr>
          <w:p w:rsidR="00000000" w:rsidRPr="00C15E34" w:rsidP="00C15E34">
            <w:pPr>
              <w:pStyle w:val="ListBullet"/>
            </w:pPr>
            <w:r w:rsidRPr="00C15E34">
              <w:t>Prime mover with a minimum of three axles and a semi-trailer with</w:t>
            </w:r>
            <w:r w:rsidRPr="00C15E34">
              <w:t xml:space="preserve"> a minimum of two axles - vehicle must have a GCM rating of at least 24 tonnes</w:t>
            </w:r>
          </w:p>
          <w:p w:rsidR="00000000" w:rsidP="00C15E34">
            <w:pPr>
              <w:pStyle w:val="ListBullet"/>
              <w:rPr>
                <w:lang w:val="en-NZ"/>
              </w:rPr>
            </w:pPr>
            <w:r w:rsidRPr="00C15E34">
              <w:t>Heavy rigid vehicle towing a trailer - trailer must have at least two axles and a GVM of 12 tonnes or more</w:t>
            </w:r>
          </w:p>
        </w:tc>
      </w:tr>
      <w:tr w:rsidTr="006F25C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5E34">
            <w:pPr>
              <w:pStyle w:val="BodyText"/>
              <w:rPr>
                <w:lang w:val="en-NZ"/>
              </w:rPr>
            </w:pPr>
            <w:r w:rsidRPr="00C15E34">
              <w:t>Vehicle handling procedures may include:</w:t>
            </w:r>
          </w:p>
        </w:tc>
        <w:tc>
          <w:tcPr>
            <w:tcW w:w="0" w:type="auto"/>
            <w:tcBorders>
              <w:top w:val="nil"/>
              <w:left w:val="nil"/>
              <w:bottom w:val="nil"/>
              <w:right w:val="nil"/>
            </w:tcBorders>
            <w:tcMar>
              <w:top w:w="0" w:type="dxa"/>
              <w:left w:w="62" w:type="dxa"/>
              <w:bottom w:w="0" w:type="dxa"/>
              <w:right w:w="62" w:type="dxa"/>
            </w:tcMar>
          </w:tcPr>
          <w:p w:rsidR="00000000" w:rsidRPr="00C15E34" w:rsidP="00C15E34">
            <w:pPr>
              <w:pStyle w:val="ListBullet"/>
            </w:pPr>
            <w:r w:rsidRPr="00C15E34">
              <w:t>Accelerating and braking</w:t>
            </w:r>
          </w:p>
          <w:p w:rsidR="00000000" w:rsidRPr="00C15E34" w:rsidP="00C15E34">
            <w:pPr>
              <w:pStyle w:val="ListBullet"/>
            </w:pPr>
            <w:r w:rsidRPr="00C15E34">
              <w:t>Managing engine performance</w:t>
            </w:r>
          </w:p>
          <w:p w:rsidR="00000000" w:rsidRPr="00C15E34" w:rsidP="00C15E34">
            <w:pPr>
              <w:pStyle w:val="ListBullet"/>
            </w:pPr>
            <w:r w:rsidRPr="00C15E34">
              <w:t>Operating vehicle controls, instruments and indicators</w:t>
            </w:r>
          </w:p>
          <w:p w:rsidR="00000000" w:rsidRPr="00C15E34" w:rsidP="00C15E34">
            <w:pPr>
              <w:pStyle w:val="ListBullet"/>
            </w:pPr>
            <w:r w:rsidRPr="00C15E34">
              <w:t>Positioning and stopping a vehicle</w:t>
            </w:r>
          </w:p>
          <w:p w:rsidR="00000000" w:rsidRPr="00C15E34" w:rsidP="00C15E34">
            <w:pPr>
              <w:pStyle w:val="ListBullet"/>
            </w:pPr>
            <w:r w:rsidRPr="00C15E34">
              <w:t>Reversing a vehicle</w:t>
            </w:r>
          </w:p>
          <w:p w:rsidR="00000000" w:rsidRPr="00C15E34" w:rsidP="00C15E34">
            <w:pPr>
              <w:pStyle w:val="ListBullet"/>
            </w:pPr>
            <w:r w:rsidRPr="00C15E34">
              <w:t>Starting a vehicle</w:t>
            </w:r>
          </w:p>
          <w:p w:rsidR="00000000" w:rsidRPr="00C15E34" w:rsidP="00C15E34">
            <w:pPr>
              <w:pStyle w:val="ListBullet"/>
            </w:pPr>
            <w:r w:rsidRPr="00C15E34">
              <w:t>Steering and manoeuvring a vehicle</w:t>
            </w:r>
          </w:p>
          <w:p w:rsidR="00000000" w:rsidP="00C15E34">
            <w:pPr>
              <w:pStyle w:val="ListBullet"/>
              <w:rPr>
                <w:lang w:val="en-NZ"/>
              </w:rPr>
            </w:pPr>
            <w:r w:rsidRPr="00C15E34">
              <w:t>Using defensive driving techniques</w:t>
            </w:r>
          </w:p>
        </w:tc>
      </w:tr>
      <w:tr w:rsidTr="006F25C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5E34">
            <w:pPr>
              <w:pStyle w:val="BodyText"/>
              <w:rPr>
                <w:lang w:val="en-NZ"/>
              </w:rPr>
            </w:pPr>
            <w:r w:rsidRPr="00C15E34">
              <w:t>Driving hazards may include:</w:t>
            </w:r>
          </w:p>
        </w:tc>
        <w:tc>
          <w:tcPr>
            <w:tcW w:w="0" w:type="auto"/>
            <w:tcBorders>
              <w:top w:val="nil"/>
              <w:left w:val="nil"/>
              <w:bottom w:val="nil"/>
              <w:right w:val="nil"/>
            </w:tcBorders>
            <w:tcMar>
              <w:top w:w="0" w:type="dxa"/>
              <w:left w:w="62" w:type="dxa"/>
              <w:bottom w:w="0" w:type="dxa"/>
              <w:right w:w="62" w:type="dxa"/>
            </w:tcMar>
          </w:tcPr>
          <w:p w:rsidR="00000000" w:rsidRPr="00C15E34" w:rsidP="00C15E34">
            <w:pPr>
              <w:pStyle w:val="ListBullet"/>
            </w:pPr>
            <w:r w:rsidRPr="00C15E34">
              <w:t>Animals and objects on road</w:t>
            </w:r>
          </w:p>
          <w:p w:rsidR="00000000" w:rsidRPr="00C15E34" w:rsidP="00C15E34">
            <w:pPr>
              <w:pStyle w:val="ListBullet"/>
            </w:pPr>
            <w:r w:rsidRPr="00C15E34">
              <w:t>Faulty:</w:t>
            </w:r>
          </w:p>
          <w:p w:rsidR="00000000" w:rsidRPr="00C15E34" w:rsidP="00C15E34">
            <w:pPr>
              <w:pStyle w:val="ListBullet2"/>
            </w:pPr>
            <w:r w:rsidRPr="00C15E34">
              <w:t>brakes</w:t>
            </w:r>
          </w:p>
          <w:p w:rsidR="00000000" w:rsidRPr="00C15E34" w:rsidP="00C15E34">
            <w:pPr>
              <w:pStyle w:val="ListBullet2"/>
            </w:pPr>
            <w:r w:rsidRPr="00C15E34">
              <w:t>steering mechanism on vehicle</w:t>
            </w:r>
          </w:p>
          <w:p w:rsidR="00000000" w:rsidRPr="00C15E34" w:rsidP="00C15E34">
            <w:pPr>
              <w:pStyle w:val="ListBullet"/>
            </w:pPr>
            <w:r w:rsidRPr="00C15E34">
              <w:t>Fire in vehicle</w:t>
            </w:r>
          </w:p>
          <w:p w:rsidR="00000000" w:rsidRPr="00C15E34" w:rsidP="00C15E34">
            <w:pPr>
              <w:pStyle w:val="ListBullet"/>
            </w:pPr>
            <w:r w:rsidRPr="00C15E34">
              <w:t>Flooded sections of road</w:t>
            </w:r>
          </w:p>
          <w:p w:rsidR="00000000" w:rsidRPr="00C15E34" w:rsidP="00C15E34">
            <w:pPr>
              <w:pStyle w:val="ListBullet"/>
            </w:pPr>
            <w:r w:rsidRPr="00C15E34">
              <w:t xml:space="preserve">Foggy conditions </w:t>
            </w:r>
          </w:p>
          <w:p w:rsidR="00000000" w:rsidRPr="00C15E34" w:rsidP="00C15E34">
            <w:pPr>
              <w:pStyle w:val="ListBullet"/>
            </w:pPr>
            <w:r w:rsidRPr="00C15E34">
              <w:t>Leaking fuel</w:t>
            </w:r>
          </w:p>
          <w:p w:rsidR="00000000" w:rsidRPr="00C15E34" w:rsidP="00C15E34">
            <w:pPr>
              <w:pStyle w:val="ListBullet"/>
            </w:pPr>
            <w:r w:rsidRPr="00C15E34">
              <w:t>Oil on road</w:t>
            </w:r>
          </w:p>
          <w:p w:rsidR="00000000" w:rsidRPr="00C15E34" w:rsidP="00C15E34">
            <w:pPr>
              <w:pStyle w:val="ListBullet"/>
            </w:pPr>
            <w:r w:rsidRPr="00C15E34">
              <w:t>Parked vehicles on road</w:t>
            </w:r>
          </w:p>
          <w:p w:rsidR="00000000" w:rsidRPr="00C15E34" w:rsidP="00C15E34">
            <w:pPr>
              <w:pStyle w:val="ListBullet"/>
            </w:pPr>
            <w:r w:rsidRPr="00C15E34">
              <w:t>Pedestrians crossing road</w:t>
            </w:r>
          </w:p>
          <w:p w:rsidR="00000000" w:rsidRPr="00C15E34" w:rsidP="00C15E34">
            <w:pPr>
              <w:pStyle w:val="ListBullet"/>
            </w:pPr>
            <w:r w:rsidRPr="00C15E34">
              <w:t>Wet and iced roads</w:t>
            </w:r>
          </w:p>
          <w:p w:rsidR="00000000" w:rsidP="00C15E34">
            <w:pPr>
              <w:pStyle w:val="ListBullet"/>
              <w:rPr>
                <w:lang w:val="en-NZ"/>
              </w:rPr>
            </w:pPr>
            <w:r w:rsidRPr="00C15E34">
              <w:t>Windy sections of road</w:t>
            </w:r>
          </w:p>
        </w:tc>
      </w:tr>
      <w:tr w:rsidTr="006F25C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5E34">
            <w:pPr>
              <w:pStyle w:val="BodyText"/>
              <w:rPr>
                <w:lang w:val="en-NZ"/>
              </w:rPr>
            </w:pPr>
            <w:r w:rsidRPr="00C15E34">
              <w:t>Traffic and road conditions may include:</w:t>
            </w:r>
          </w:p>
        </w:tc>
        <w:tc>
          <w:tcPr>
            <w:tcW w:w="0" w:type="auto"/>
            <w:tcBorders>
              <w:top w:val="nil"/>
              <w:left w:val="nil"/>
              <w:bottom w:val="nil"/>
              <w:right w:val="nil"/>
            </w:tcBorders>
            <w:tcMar>
              <w:top w:w="0" w:type="dxa"/>
              <w:left w:w="62" w:type="dxa"/>
              <w:bottom w:w="0" w:type="dxa"/>
              <w:right w:w="62" w:type="dxa"/>
            </w:tcMar>
          </w:tcPr>
          <w:p w:rsidR="00000000" w:rsidRPr="00C15E34" w:rsidP="00C15E34">
            <w:pPr>
              <w:pStyle w:val="ListBullet"/>
            </w:pPr>
            <w:r w:rsidRPr="00C15E34">
              <w:t>Negotiating a range of more complex traffic infrastructure (such as roundabouts, traffic lights, stalemate intersections, railway level crossings)</w:t>
            </w:r>
          </w:p>
          <w:p w:rsidR="00000000" w:rsidRPr="00C15E34" w:rsidP="00C15E34">
            <w:pPr>
              <w:pStyle w:val="ListBullet"/>
            </w:pPr>
            <w:r w:rsidRPr="00C15E34">
              <w:t>On open or private roads including roads with moderate inclines and</w:t>
            </w:r>
            <w:r w:rsidRPr="00C15E34">
              <w:t xml:space="preserve"> declines</w:t>
            </w:r>
          </w:p>
          <w:p w:rsidR="00000000" w:rsidRPr="00C15E34" w:rsidP="00C15E34">
            <w:pPr>
              <w:pStyle w:val="ListBullet"/>
            </w:pPr>
            <w:r w:rsidRPr="00C15E34">
              <w:t>Operations conducted during the day or night</w:t>
            </w:r>
          </w:p>
          <w:p w:rsidR="00000000" w:rsidRPr="00C15E34" w:rsidP="00C15E34">
            <w:pPr>
              <w:pStyle w:val="ListBullet"/>
            </w:pPr>
            <w:r w:rsidRPr="00C15E34">
              <w:t>Typical weather conditions</w:t>
            </w:r>
          </w:p>
          <w:p w:rsidR="00000000" w:rsidRPr="00C15E34" w:rsidP="00C15E34">
            <w:pPr>
              <w:pStyle w:val="ListBullet"/>
            </w:pPr>
            <w:r w:rsidRPr="00C15E34">
              <w:t>While at a depot, base or warehouse</w:t>
            </w:r>
          </w:p>
          <w:p w:rsidR="00000000" w:rsidP="00C15E34">
            <w:pPr>
              <w:pStyle w:val="ListBullet"/>
              <w:rPr>
                <w:lang w:val="en-NZ"/>
              </w:rPr>
            </w:pPr>
            <w:r w:rsidRPr="00C15E34">
              <w:t xml:space="preserve">While at a client workplace or worksite </w:t>
            </w:r>
          </w:p>
        </w:tc>
      </w:tr>
      <w:tr w:rsidTr="006F25C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5E34">
            <w:pPr>
              <w:pStyle w:val="BodyText"/>
              <w:rPr>
                <w:lang w:val="en-NZ"/>
              </w:rPr>
            </w:pPr>
            <w:r w:rsidRPr="00C15E34">
              <w:t>Pre-operational inspections and equipment checks may include:</w:t>
            </w:r>
          </w:p>
        </w:tc>
        <w:tc>
          <w:tcPr>
            <w:tcW w:w="0" w:type="auto"/>
            <w:tcBorders>
              <w:top w:val="nil"/>
              <w:left w:val="nil"/>
              <w:bottom w:val="nil"/>
              <w:right w:val="nil"/>
            </w:tcBorders>
            <w:tcMar>
              <w:top w:w="0" w:type="dxa"/>
              <w:left w:w="62" w:type="dxa"/>
              <w:bottom w:w="0" w:type="dxa"/>
              <w:right w:w="62" w:type="dxa"/>
            </w:tcMar>
          </w:tcPr>
          <w:p w:rsidR="00000000" w:rsidRPr="00C15E34" w:rsidP="00C15E34">
            <w:pPr>
              <w:pStyle w:val="ListBullet"/>
            </w:pPr>
            <w:r w:rsidRPr="00C15E34">
              <w:t>Checking and topping up fluid lev</w:t>
            </w:r>
            <w:r w:rsidRPr="00C15E34">
              <w:t>els</w:t>
            </w:r>
          </w:p>
          <w:p w:rsidR="00000000" w:rsidRPr="00C15E34" w:rsidP="00C15E34">
            <w:pPr>
              <w:pStyle w:val="ListBullet"/>
            </w:pPr>
            <w:r w:rsidRPr="00C15E34">
              <w:t>Checking:</w:t>
            </w:r>
          </w:p>
          <w:p w:rsidR="00000000" w:rsidRPr="00C15E34" w:rsidP="00C15E34">
            <w:pPr>
              <w:pStyle w:val="ListBullet2"/>
            </w:pPr>
            <w:r w:rsidRPr="00C15E34">
              <w:t>brakes</w:t>
            </w:r>
          </w:p>
          <w:p w:rsidR="00000000" w:rsidRPr="00C15E34" w:rsidP="00C15E34">
            <w:pPr>
              <w:pStyle w:val="ListBullet2"/>
            </w:pPr>
            <w:r w:rsidRPr="00C15E34">
              <w:t>operation of vehicle lights and indicators</w:t>
            </w:r>
          </w:p>
          <w:p w:rsidR="00000000" w:rsidRPr="00C15E34" w:rsidP="00C15E34">
            <w:pPr>
              <w:pStyle w:val="ListBullet2"/>
            </w:pPr>
            <w:r w:rsidRPr="00C15E34">
              <w:t>tyre pressures</w:t>
            </w:r>
          </w:p>
          <w:p w:rsidR="00000000" w:rsidRPr="00C15E34" w:rsidP="00C15E34">
            <w:pPr>
              <w:pStyle w:val="ListBullet"/>
            </w:pPr>
            <w:r w:rsidRPr="00C15E34">
              <w:t>Visually checking vehicle</w:t>
            </w:r>
          </w:p>
        </w:tc>
      </w:tr>
    </w:tbl>
    <w:p w:rsidR="00000000" w:rsidRPr="00C15E34" w:rsidP="00C15E34">
      <w:pPr>
        <w:pStyle w:val="BodyText"/>
      </w:pPr>
    </w:p>
    <w:p w:rsidR="00000000" w:rsidRPr="00C15E34" w:rsidP="00C15E34">
      <w:pPr>
        <w:pStyle w:val="AllowPageBreak"/>
      </w:pPr>
    </w:p>
    <w:p w:rsidR="00000000" w:rsidRPr="00C15E34" w:rsidP="00C15E34">
      <w:pPr>
        <w:pStyle w:val="Heading1"/>
      </w:pPr>
      <w:bookmarkStart w:id="12" w:name="O_568064"/>
      <w:bookmarkEnd w:id="12"/>
      <w:r w:rsidRPr="00C15E34">
        <w:t>Unit Sector(s)</w:t>
      </w:r>
    </w:p>
    <w:p w:rsidR="00000000" w:rsidRPr="00C15E34" w:rsidP="00C15E34">
      <w:pPr>
        <w:pStyle w:val="BodyText"/>
      </w:pPr>
      <w:r w:rsidRPr="00C15E34">
        <w:t>Not applicable.</w:t>
      </w:r>
    </w:p>
    <w:p w:rsidR="00000000" w:rsidRPr="00C15E34" w:rsidP="00C15E34">
      <w:pPr>
        <w:pStyle w:val="AllowPageBreak"/>
      </w:pPr>
    </w:p>
    <w:p w:rsidR="00000000" w:rsidRPr="00C15E34" w:rsidP="00C15E34">
      <w:pPr>
        <w:pStyle w:val="Heading1"/>
      </w:pPr>
      <w:bookmarkStart w:id="13" w:name="O_568063"/>
      <w:bookmarkEnd w:id="13"/>
      <w:r w:rsidRPr="00C15E34">
        <w:t>Competency Field</w:t>
      </w:r>
    </w:p>
    <w:p w:rsidR="00000000" w:rsidRPr="00C15E34" w:rsidP="00C15E34">
      <w:pPr>
        <w:pStyle w:val="BodyText"/>
      </w:pPr>
      <w:r w:rsidRPr="00C15E34">
        <w:t>LIC - Licensing</w:t>
      </w:r>
    </w:p>
    <w:p w:rsidR="00000000" w:rsidRPr="00C15E34" w:rsidP="00C15E34"/>
    <w:sectPr w:rsidSect="00C15E3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E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E34" w:rsidRPr="006F25CB" w:rsidP="006F25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E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5CB" w:rsidP="00C15E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F25CB" w:rsidP="00C15E3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6F25CB" w:rsidP="00C15E3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E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E34" w:rsidRPr="006F25CB" w:rsidP="006F25C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E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5CB" w:rsidRPr="002D2AF8" w:rsidP="00C15E34">
    <w:pPr>
      <w:pStyle w:val="Header"/>
      <w:framePr w:wrap="around"/>
    </w:pPr>
    <w:r>
      <w:fldChar w:fldCharType="begin"/>
    </w:r>
    <w:r>
      <w:instrText xml:space="preserve"> TITLE   \* MERGEFORMAT </w:instrText>
    </w:r>
    <w:r>
      <w:fldChar w:fldCharType="separate"/>
    </w:r>
    <w:r>
      <w:t>TLILIC3017B Licence to drive a heavy combination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April 2013</w:t>
    </w:r>
    <w:r>
      <w:fldChar w:fldCharType="end"/>
    </w:r>
  </w:p>
  <w:p w:rsidR="006F25CB" w:rsidP="00C15E3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4CA44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5443E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E4237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5E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15E34"/>
    <w:pPr>
      <w:spacing w:before="360" w:after="60"/>
      <w:outlineLvl w:val="0"/>
    </w:pPr>
    <w:rPr>
      <w:sz w:val="32"/>
    </w:rPr>
  </w:style>
  <w:style w:type="paragraph" w:styleId="Heading2">
    <w:name w:val="heading 2"/>
    <w:basedOn w:val="HeadingBase"/>
    <w:next w:val="BodyText"/>
    <w:link w:val="Heading2Char"/>
    <w:qFormat/>
    <w:rsid w:val="00C15E34"/>
    <w:pPr>
      <w:keepLines/>
      <w:spacing w:before="240" w:after="120"/>
      <w:outlineLvl w:val="1"/>
    </w:pPr>
    <w:rPr>
      <w:sz w:val="28"/>
      <w:szCs w:val="40"/>
    </w:rPr>
  </w:style>
  <w:style w:type="paragraph" w:styleId="Heading3">
    <w:name w:val="heading 3"/>
    <w:basedOn w:val="HeadingBase"/>
    <w:next w:val="BodyText"/>
    <w:link w:val="Heading3Char"/>
    <w:qFormat/>
    <w:rsid w:val="00C15E34"/>
    <w:pPr>
      <w:spacing w:before="180" w:after="120"/>
      <w:outlineLvl w:val="2"/>
    </w:pPr>
    <w:rPr>
      <w:spacing w:val="-10"/>
      <w:kern w:val="32"/>
    </w:rPr>
  </w:style>
  <w:style w:type="paragraph" w:styleId="Heading4">
    <w:name w:val="heading 4"/>
    <w:basedOn w:val="HeadingBase"/>
    <w:next w:val="BodyText"/>
    <w:link w:val="Heading4Char"/>
    <w:qFormat/>
    <w:rsid w:val="00C15E34"/>
    <w:pPr>
      <w:spacing w:before="160" w:after="120"/>
      <w:outlineLvl w:val="3"/>
    </w:pPr>
    <w:rPr>
      <w:sz w:val="22"/>
    </w:rPr>
  </w:style>
  <w:style w:type="paragraph" w:styleId="Heading5">
    <w:name w:val="heading 5"/>
    <w:basedOn w:val="HeadingBase"/>
    <w:next w:val="Normal"/>
    <w:link w:val="Heading5Char"/>
    <w:qFormat/>
    <w:rsid w:val="00C15E34"/>
    <w:pPr>
      <w:spacing w:before="80"/>
      <w:outlineLvl w:val="4"/>
    </w:pPr>
    <w:rPr>
      <w:color w:val="918585"/>
      <w:sz w:val="20"/>
    </w:rPr>
  </w:style>
  <w:style w:type="paragraph" w:styleId="Heading6">
    <w:name w:val="heading 6"/>
    <w:basedOn w:val="HeadingBase"/>
    <w:next w:val="Normal"/>
    <w:link w:val="Heading6Char"/>
    <w:qFormat/>
    <w:rsid w:val="00C15E34"/>
    <w:pPr>
      <w:spacing w:before="60"/>
      <w:outlineLvl w:val="5"/>
    </w:pPr>
    <w:rPr>
      <w:color w:val="918585"/>
      <w:sz w:val="20"/>
    </w:rPr>
  </w:style>
  <w:style w:type="paragraph" w:styleId="Heading7">
    <w:name w:val="heading 7"/>
    <w:basedOn w:val="Normal"/>
    <w:next w:val="Normal"/>
    <w:link w:val="Heading7Char"/>
    <w:qFormat/>
    <w:rsid w:val="00C15E34"/>
    <w:pPr>
      <w:ind w:left="720"/>
      <w:outlineLvl w:val="6"/>
    </w:pPr>
    <w:rPr>
      <w:i/>
    </w:rPr>
  </w:style>
  <w:style w:type="paragraph" w:styleId="Heading8">
    <w:name w:val="heading 8"/>
    <w:basedOn w:val="Normal"/>
    <w:next w:val="Normal"/>
    <w:link w:val="Heading8Char"/>
    <w:qFormat/>
    <w:rsid w:val="00C15E34"/>
    <w:pPr>
      <w:ind w:left="720"/>
      <w:outlineLvl w:val="7"/>
    </w:pPr>
    <w:rPr>
      <w:i/>
    </w:rPr>
  </w:style>
  <w:style w:type="paragraph" w:styleId="Heading9">
    <w:name w:val="heading 9"/>
    <w:basedOn w:val="Normal"/>
    <w:next w:val="Normal"/>
    <w:link w:val="Heading9Char"/>
    <w:qFormat/>
    <w:rsid w:val="00C15E34"/>
    <w:pPr>
      <w:ind w:left="720"/>
      <w:outlineLvl w:val="8"/>
    </w:pPr>
    <w:rPr>
      <w:i/>
    </w:rPr>
  </w:style>
  <w:style w:type="character" w:default="1" w:styleId="DefaultParagraphFont">
    <w:name w:val="Default Paragraph Font"/>
    <w:uiPriority w:val="1"/>
    <w:unhideWhenUsed/>
    <w:rsid w:val="00C15E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5E34"/>
  </w:style>
  <w:style w:type="character" w:customStyle="1" w:styleId="Heading1Char">
    <w:name w:val="Heading 1 Char"/>
    <w:basedOn w:val="DefaultParagraphFont"/>
    <w:link w:val="Heading1"/>
    <w:rsid w:val="00C15E34"/>
    <w:rPr>
      <w:rFonts w:ascii="Times New Roman" w:eastAsia="Times New Roman" w:hAnsi="Times New Roman" w:cs="Times New Roman"/>
      <w:b/>
      <w:sz w:val="32"/>
      <w:szCs w:val="20"/>
      <w:lang w:eastAsia="en-US"/>
    </w:rPr>
  </w:style>
  <w:style w:type="paragraph" w:styleId="BodyText">
    <w:name w:val="Body Text"/>
    <w:basedOn w:val="Normal"/>
    <w:link w:val="BodyTextChar"/>
    <w:rsid w:val="00C15E3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15E34"/>
    <w:rPr>
      <w:rFonts w:ascii="Times New Roman" w:eastAsia="Times New Roman" w:hAnsi="Times New Roman" w:cs="Times New Roman"/>
      <w:sz w:val="24"/>
      <w:lang w:eastAsia="en-US"/>
    </w:rPr>
  </w:style>
  <w:style w:type="paragraph" w:styleId="ListBullet">
    <w:name w:val="List Bullet"/>
    <w:basedOn w:val="List"/>
    <w:rsid w:val="00C15E34"/>
    <w:pPr>
      <w:numPr>
        <w:numId w:val="13"/>
      </w:numPr>
      <w:tabs>
        <w:tab w:val="clear" w:pos="340"/>
      </w:tabs>
      <w:spacing w:before="40" w:after="40"/>
    </w:pPr>
  </w:style>
  <w:style w:type="character" w:customStyle="1" w:styleId="SpecialBold">
    <w:name w:val="Special Bold"/>
    <w:basedOn w:val="DefaultParagraphFont"/>
    <w:rsid w:val="00C15E34"/>
    <w:rPr>
      <w:b/>
      <w:spacing w:val="0"/>
    </w:rPr>
  </w:style>
  <w:style w:type="paragraph" w:styleId="ListBullet2">
    <w:name w:val="List Bullet 2"/>
    <w:basedOn w:val="List2"/>
    <w:rsid w:val="00C15E34"/>
    <w:pPr>
      <w:numPr>
        <w:numId w:val="14"/>
      </w:numPr>
      <w:tabs>
        <w:tab w:val="clear" w:pos="680"/>
      </w:tabs>
    </w:pPr>
  </w:style>
  <w:style w:type="paragraph" w:customStyle="1" w:styleId="SuperHeading">
    <w:name w:val="SuperHeading"/>
    <w:basedOn w:val="Normal"/>
    <w:rsid w:val="00C15E34"/>
    <w:pPr>
      <w:spacing w:before="240" w:after="120"/>
      <w:outlineLvl w:val="0"/>
    </w:pPr>
    <w:rPr>
      <w:rFonts w:ascii="Times New Roman" w:hAnsi="Times New Roman"/>
      <w:b/>
      <w:sz w:val="32"/>
    </w:rPr>
  </w:style>
  <w:style w:type="paragraph" w:customStyle="1" w:styleId="AllowPageBreak">
    <w:name w:val="AllowPageBreak"/>
    <w:rsid w:val="00C15E3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15E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5E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5E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5E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5E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5E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15E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15E34"/>
    <w:rPr>
      <w:rFonts w:ascii="Courier New" w:eastAsia="Times New Roman" w:hAnsi="Courier New" w:cs="Times New Roman"/>
      <w:i/>
      <w:szCs w:val="20"/>
      <w:lang w:eastAsia="en-US"/>
    </w:rPr>
  </w:style>
  <w:style w:type="paragraph" w:customStyle="1" w:styleId="HeadingBase">
    <w:name w:val="Heading Base"/>
    <w:rsid w:val="00C15E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5E34"/>
    <w:pPr>
      <w:tabs>
        <w:tab w:val="right" w:leader="dot" w:pos="9072"/>
      </w:tabs>
      <w:ind w:left="567"/>
    </w:pPr>
    <w:rPr>
      <w:szCs w:val="22"/>
    </w:rPr>
  </w:style>
  <w:style w:type="paragraph" w:customStyle="1" w:styleId="TOCBase">
    <w:name w:val="TOC Base"/>
    <w:rsid w:val="00C15E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5E34"/>
    <w:pPr>
      <w:tabs>
        <w:tab w:val="right" w:leader="dot" w:pos="9072"/>
      </w:tabs>
      <w:spacing w:before="40" w:after="40"/>
      <w:ind w:left="284"/>
    </w:pPr>
    <w:rPr>
      <w:rFonts w:ascii="Times New Roman" w:hAnsi="Times New Roman"/>
    </w:rPr>
  </w:style>
  <w:style w:type="paragraph" w:styleId="TOC1">
    <w:name w:val="toc 1"/>
    <w:basedOn w:val="TOCBase"/>
    <w:next w:val="Normal"/>
    <w:rsid w:val="00C15E3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15E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5E34"/>
    <w:rPr>
      <w:rFonts w:ascii="Times New Roman" w:eastAsia="Times New Roman" w:hAnsi="Times New Roman" w:cs="Times New Roman"/>
      <w:sz w:val="16"/>
      <w:lang w:eastAsia="en-US"/>
    </w:rPr>
  </w:style>
  <w:style w:type="paragraph" w:styleId="Title">
    <w:name w:val="Title"/>
    <w:basedOn w:val="HeadingBase"/>
    <w:link w:val="TitleChar"/>
    <w:qFormat/>
    <w:rsid w:val="00C15E34"/>
    <w:pPr>
      <w:spacing w:before="5040"/>
      <w:jc w:val="center"/>
    </w:pPr>
    <w:rPr>
      <w:sz w:val="48"/>
      <w:szCs w:val="72"/>
      <w:lang w:val="en-US"/>
    </w:rPr>
  </w:style>
  <w:style w:type="character" w:customStyle="1" w:styleId="TitleChar">
    <w:name w:val="Title Char"/>
    <w:basedOn w:val="DefaultParagraphFont"/>
    <w:link w:val="Title"/>
    <w:rsid w:val="00C15E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5E34"/>
    <w:pPr>
      <w:tabs>
        <w:tab w:val="left" w:pos="3600"/>
        <w:tab w:val="left" w:pos="3958"/>
      </w:tabs>
    </w:pPr>
  </w:style>
  <w:style w:type="paragraph" w:styleId="List">
    <w:name w:val="List"/>
    <w:basedOn w:val="BodyText"/>
    <w:next w:val="BodyText"/>
    <w:rsid w:val="00C15E34"/>
    <w:pPr>
      <w:tabs>
        <w:tab w:val="left" w:pos="340"/>
      </w:tabs>
      <w:spacing w:before="60" w:after="60"/>
      <w:ind w:left="340" w:hanging="340"/>
    </w:pPr>
  </w:style>
  <w:style w:type="paragraph" w:customStyle="1" w:styleId="Note">
    <w:name w:val="Note"/>
    <w:basedOn w:val="BodyText"/>
    <w:rsid w:val="00C15E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5E34"/>
    <w:pPr>
      <w:framePr w:wrap="auto" w:hAnchor="text" w:y="6049"/>
    </w:pPr>
    <w:rPr>
      <w:color w:val="000000"/>
      <w:sz w:val="40"/>
    </w:rPr>
  </w:style>
  <w:style w:type="paragraph" w:customStyle="1" w:styleId="TOCTitle">
    <w:name w:val="TOCTitle"/>
    <w:basedOn w:val="Heading1"/>
    <w:rsid w:val="00C15E34"/>
    <w:pPr>
      <w:spacing w:after="240"/>
      <w:jc w:val="center"/>
      <w:outlineLvl w:val="9"/>
    </w:pPr>
    <w:rPr>
      <w:caps/>
    </w:rPr>
  </w:style>
  <w:style w:type="paragraph" w:customStyle="1" w:styleId="Version">
    <w:name w:val="Version"/>
    <w:rsid w:val="00C15E3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15E34"/>
    <w:pPr>
      <w:keepNext w:val="0"/>
      <w:tabs>
        <w:tab w:val="right" w:pos="4176"/>
      </w:tabs>
      <w:ind w:left="198" w:hanging="198"/>
    </w:pPr>
    <w:rPr>
      <w:rFonts w:ascii="Garamond" w:hAnsi="Garamond"/>
    </w:rPr>
  </w:style>
  <w:style w:type="paragraph" w:styleId="IndexHeading">
    <w:name w:val="index heading"/>
    <w:basedOn w:val="Normal"/>
    <w:next w:val="Index1"/>
    <w:semiHidden/>
    <w:rsid w:val="00C15E34"/>
    <w:pPr>
      <w:spacing w:before="120" w:after="120"/>
    </w:pPr>
    <w:rPr>
      <w:rFonts w:ascii="Arial" w:hAnsi="Arial"/>
      <w:b/>
      <w:color w:val="918585"/>
      <w:sz w:val="24"/>
    </w:rPr>
  </w:style>
  <w:style w:type="paragraph" w:styleId="Header">
    <w:name w:val="header"/>
    <w:basedOn w:val="Normal"/>
    <w:link w:val="HeaderChar"/>
    <w:rsid w:val="00C15E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5E34"/>
    <w:rPr>
      <w:rFonts w:ascii="Times New Roman" w:eastAsia="Times New Roman" w:hAnsi="Times New Roman" w:cs="Times New Roman"/>
      <w:sz w:val="16"/>
      <w:szCs w:val="20"/>
      <w:lang w:val="en-GB" w:eastAsia="en-US"/>
    </w:rPr>
  </w:style>
  <w:style w:type="paragraph" w:customStyle="1" w:styleId="Chapter">
    <w:name w:val="Chapter"/>
    <w:basedOn w:val="Normal"/>
    <w:rsid w:val="00C15E34"/>
    <w:pPr>
      <w:spacing w:before="240"/>
    </w:pPr>
    <w:rPr>
      <w:rFonts w:ascii="Times New Roman" w:hAnsi="Times New Roman"/>
      <w:smallCaps/>
      <w:spacing w:val="80"/>
      <w:sz w:val="28"/>
    </w:rPr>
  </w:style>
  <w:style w:type="paragraph" w:customStyle="1" w:styleId="InChapter">
    <w:name w:val="InChapter"/>
    <w:basedOn w:val="Heading3"/>
    <w:rsid w:val="00C15E34"/>
    <w:pPr>
      <w:spacing w:after="240"/>
      <w:outlineLvl w:val="9"/>
    </w:pPr>
    <w:rPr>
      <w:noProof/>
    </w:rPr>
  </w:style>
  <w:style w:type="paragraph" w:styleId="Index2">
    <w:name w:val="index 2"/>
    <w:basedOn w:val="Normal"/>
    <w:next w:val="Normal"/>
    <w:semiHidden/>
    <w:rsid w:val="00C15E34"/>
    <w:pPr>
      <w:tabs>
        <w:tab w:val="right" w:pos="4176"/>
      </w:tabs>
      <w:ind w:left="568" w:hanging="284"/>
    </w:pPr>
    <w:rPr>
      <w:rFonts w:ascii="Garamond" w:hAnsi="Garamond"/>
    </w:rPr>
  </w:style>
  <w:style w:type="paragraph" w:customStyle="1" w:styleId="Byline">
    <w:name w:val="Byline"/>
    <w:rsid w:val="00C15E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5E34"/>
    <w:pPr>
      <w:tabs>
        <w:tab w:val="clear" w:pos="3600"/>
        <w:tab w:val="clear" w:pos="3958"/>
      </w:tabs>
      <w:jc w:val="right"/>
    </w:pPr>
  </w:style>
  <w:style w:type="character" w:styleId="Emphasis">
    <w:name w:val="Emphasis"/>
    <w:basedOn w:val="DefaultParagraphFont"/>
    <w:qFormat/>
    <w:rsid w:val="00C15E34"/>
    <w:rPr>
      <w:i/>
    </w:rPr>
  </w:style>
  <w:style w:type="paragraph" w:styleId="Caption">
    <w:name w:val="caption"/>
    <w:basedOn w:val="BodyText"/>
    <w:next w:val="Normal"/>
    <w:qFormat/>
    <w:rsid w:val="00C15E34"/>
    <w:pPr>
      <w:framePr w:w="2268" w:hSpace="181" w:vSpace="181" w:wrap="around" w:vAnchor="text" w:hAnchor="page" w:x="1135" w:y="285" w:anchorLock="1"/>
    </w:pPr>
    <w:rPr>
      <w:i/>
    </w:rPr>
  </w:style>
  <w:style w:type="paragraph" w:customStyle="1" w:styleId="MiniTOCTitle">
    <w:name w:val="MiniTOCTitle"/>
    <w:basedOn w:val="Heading4"/>
    <w:rsid w:val="00C15E34"/>
    <w:pPr>
      <w:spacing w:before="240"/>
      <w:outlineLvl w:val="9"/>
    </w:pPr>
    <w:rPr>
      <w:noProof/>
      <w:sz w:val="24"/>
    </w:rPr>
  </w:style>
  <w:style w:type="paragraph" w:customStyle="1" w:styleId="MiniTOCItem">
    <w:name w:val="MiniTOCItem"/>
    <w:basedOn w:val="ListBullet"/>
    <w:rsid w:val="00C15E34"/>
    <w:pPr>
      <w:numPr>
        <w:numId w:val="0"/>
      </w:numPr>
      <w:tabs>
        <w:tab w:val="right" w:leader="dot" w:pos="6521"/>
      </w:tabs>
      <w:spacing w:before="0" w:after="0"/>
    </w:pPr>
  </w:style>
  <w:style w:type="paragraph" w:customStyle="1" w:styleId="TOFTitle">
    <w:name w:val="TOFTitle"/>
    <w:basedOn w:val="TOCTitle"/>
    <w:rsid w:val="00C15E34"/>
  </w:style>
  <w:style w:type="paragraph" w:styleId="TableofFigures">
    <w:name w:val="table of figures"/>
    <w:basedOn w:val="Normal"/>
    <w:next w:val="Normal"/>
    <w:semiHidden/>
    <w:rsid w:val="00C15E34"/>
    <w:pPr>
      <w:tabs>
        <w:tab w:val="right" w:leader="dot" w:pos="9072"/>
      </w:tabs>
      <w:ind w:left="970" w:hanging="403"/>
    </w:pPr>
    <w:rPr>
      <w:rFonts w:ascii="Times New Roman" w:hAnsi="Times New Roman"/>
      <w:b/>
    </w:rPr>
  </w:style>
  <w:style w:type="paragraph" w:styleId="ListNumber">
    <w:name w:val="List Number"/>
    <w:basedOn w:val="List"/>
    <w:rsid w:val="00C15E34"/>
    <w:pPr>
      <w:numPr>
        <w:numId w:val="11"/>
      </w:numPr>
    </w:pPr>
  </w:style>
  <w:style w:type="character" w:customStyle="1" w:styleId="WingdingSymbols">
    <w:name w:val="Wingding Symbols"/>
    <w:rsid w:val="00C15E34"/>
    <w:rPr>
      <w:rFonts w:ascii="Wingdings" w:hAnsi="Wingdings"/>
    </w:rPr>
  </w:style>
  <w:style w:type="paragraph" w:customStyle="1" w:styleId="TableHeading">
    <w:name w:val="Table Heading"/>
    <w:basedOn w:val="HeadingBase"/>
    <w:rsid w:val="00C15E34"/>
    <w:pPr>
      <w:keepLines/>
      <w:pBdr>
        <w:bottom w:val="single" w:sz="6" w:space="1" w:color="918585"/>
      </w:pBdr>
      <w:spacing w:before="240"/>
    </w:pPr>
  </w:style>
  <w:style w:type="character" w:customStyle="1" w:styleId="HotSpot">
    <w:name w:val="HotSpot"/>
    <w:rsid w:val="00C15E34"/>
    <w:rPr>
      <w:color w:val="0033CC"/>
      <w:u w:val="none"/>
    </w:rPr>
  </w:style>
  <w:style w:type="paragraph" w:customStyle="1" w:styleId="BodyTextRight">
    <w:name w:val="Body Text Right"/>
    <w:basedOn w:val="BodyText"/>
    <w:rsid w:val="00C15E34"/>
    <w:pPr>
      <w:spacing w:before="0" w:after="0"/>
      <w:jc w:val="right"/>
    </w:pPr>
  </w:style>
  <w:style w:type="paragraph" w:styleId="Index3">
    <w:name w:val="index 3"/>
    <w:basedOn w:val="ListNumber2"/>
    <w:next w:val="Normal"/>
    <w:semiHidden/>
    <w:rsid w:val="00C15E34"/>
    <w:pPr>
      <w:numPr>
        <w:numId w:val="0"/>
      </w:numPr>
      <w:tabs>
        <w:tab w:val="right" w:leader="dot" w:pos="4176"/>
      </w:tabs>
    </w:pPr>
  </w:style>
  <w:style w:type="paragraph" w:styleId="ListNumber2">
    <w:name w:val="List Number 2"/>
    <w:basedOn w:val="List2"/>
    <w:rsid w:val="00C15E34"/>
    <w:pPr>
      <w:numPr>
        <w:numId w:val="10"/>
      </w:numPr>
      <w:tabs>
        <w:tab w:val="clear" w:pos="1060"/>
      </w:tabs>
    </w:pPr>
  </w:style>
  <w:style w:type="paragraph" w:customStyle="1" w:styleId="MarginNote">
    <w:name w:val="Margin Note"/>
    <w:basedOn w:val="BodyText"/>
    <w:rsid w:val="00C15E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5E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5E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15E34"/>
    <w:rPr>
      <w:sz w:val="32"/>
    </w:rPr>
  </w:style>
  <w:style w:type="paragraph" w:customStyle="1" w:styleId="HeadingProcedure">
    <w:name w:val="Heading Procedure"/>
    <w:basedOn w:val="HeadingBase"/>
    <w:next w:val="Normal"/>
    <w:rsid w:val="00C15E34"/>
    <w:pPr>
      <w:tabs>
        <w:tab w:val="left" w:pos="0"/>
      </w:tabs>
      <w:spacing w:before="120" w:after="60"/>
    </w:pPr>
    <w:rPr>
      <w:i/>
      <w:color w:val="918585"/>
      <w:sz w:val="22"/>
    </w:rPr>
  </w:style>
  <w:style w:type="paragraph" w:customStyle="1" w:styleId="TableBodyText">
    <w:name w:val="Table Body Text"/>
    <w:basedOn w:val="BodyText"/>
    <w:rsid w:val="00C15E34"/>
    <w:pPr>
      <w:spacing w:before="60" w:after="60"/>
    </w:pPr>
  </w:style>
  <w:style w:type="paragraph" w:styleId="ListContinue">
    <w:name w:val="List Continue"/>
    <w:basedOn w:val="List"/>
    <w:rsid w:val="00C15E34"/>
    <w:pPr>
      <w:ind w:firstLine="0"/>
    </w:pPr>
  </w:style>
  <w:style w:type="paragraph" w:customStyle="1" w:styleId="ListNote">
    <w:name w:val="List Note"/>
    <w:basedOn w:val="List"/>
    <w:rsid w:val="00C15E34"/>
    <w:pPr>
      <w:pBdr>
        <w:top w:val="single" w:sz="6" w:space="2" w:color="918585"/>
        <w:bottom w:val="single" w:sz="6" w:space="2" w:color="918585"/>
      </w:pBdr>
      <w:tabs>
        <w:tab w:val="left" w:pos="1021"/>
      </w:tabs>
      <w:ind w:firstLine="0"/>
    </w:pPr>
  </w:style>
  <w:style w:type="paragraph" w:customStyle="1" w:styleId="Warning">
    <w:name w:val="Warning"/>
    <w:basedOn w:val="BodyText"/>
    <w:rsid w:val="00C15E34"/>
    <w:pPr>
      <w:shd w:val="clear" w:color="auto" w:fill="D9D9D9"/>
      <w:tabs>
        <w:tab w:val="left" w:pos="992"/>
      </w:tabs>
      <w:ind w:left="119" w:right="119"/>
    </w:pPr>
    <w:rPr>
      <w:sz w:val="20"/>
    </w:rPr>
  </w:style>
  <w:style w:type="paragraph" w:customStyle="1" w:styleId="MarginIcons">
    <w:name w:val="Margin Icons"/>
    <w:basedOn w:val="BodyText"/>
    <w:rsid w:val="00C15E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5E34"/>
    <w:rPr>
      <w:rFonts w:ascii="Courier New" w:hAnsi="Courier New"/>
    </w:rPr>
  </w:style>
  <w:style w:type="paragraph" w:customStyle="1" w:styleId="NoteBullet">
    <w:name w:val="Note Bullet"/>
    <w:basedOn w:val="Note"/>
    <w:rsid w:val="00C15E34"/>
    <w:pPr>
      <w:tabs>
        <w:tab w:val="clear" w:pos="680"/>
      </w:tabs>
      <w:spacing w:before="60" w:after="60"/>
    </w:pPr>
  </w:style>
  <w:style w:type="paragraph" w:customStyle="1" w:styleId="SubHeading2">
    <w:name w:val="SubHeading2"/>
    <w:basedOn w:val="HeadingBase"/>
    <w:rsid w:val="00C15E34"/>
    <w:pPr>
      <w:spacing w:before="240" w:after="60"/>
    </w:pPr>
    <w:rPr>
      <w:sz w:val="20"/>
    </w:rPr>
  </w:style>
  <w:style w:type="paragraph" w:customStyle="1" w:styleId="SubHeading1">
    <w:name w:val="SubHeading1"/>
    <w:basedOn w:val="HeadingBase"/>
    <w:rsid w:val="00C15E34"/>
    <w:pPr>
      <w:spacing w:before="240" w:after="60"/>
    </w:pPr>
    <w:rPr>
      <w:color w:val="918585"/>
      <w:sz w:val="22"/>
    </w:rPr>
  </w:style>
  <w:style w:type="paragraph" w:customStyle="1" w:styleId="SideHeading">
    <w:name w:val="Side Heading"/>
    <w:basedOn w:val="HeadingBase"/>
    <w:rsid w:val="00C15E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5E34"/>
    <w:pPr>
      <w:numPr>
        <w:numId w:val="12"/>
      </w:numPr>
    </w:pPr>
  </w:style>
  <w:style w:type="paragraph" w:styleId="PlainText">
    <w:name w:val="Plain Text"/>
    <w:basedOn w:val="Normal"/>
    <w:link w:val="PlainTextChar"/>
    <w:rsid w:val="00C15E34"/>
    <w:rPr>
      <w:sz w:val="20"/>
    </w:rPr>
  </w:style>
  <w:style w:type="character" w:customStyle="1" w:styleId="PlainTextChar">
    <w:name w:val="Plain Text Char"/>
    <w:basedOn w:val="DefaultParagraphFont"/>
    <w:link w:val="PlainText"/>
    <w:rsid w:val="00C15E34"/>
    <w:rPr>
      <w:rFonts w:ascii="Courier New" w:eastAsia="Times New Roman" w:hAnsi="Courier New" w:cs="Times New Roman"/>
      <w:sz w:val="20"/>
      <w:szCs w:val="20"/>
      <w:lang w:eastAsia="en-US"/>
    </w:rPr>
  </w:style>
  <w:style w:type="character" w:customStyle="1" w:styleId="MenuOption">
    <w:name w:val="Menu Option"/>
    <w:basedOn w:val="DefaultParagraphFont"/>
    <w:rsid w:val="00C15E34"/>
    <w:rPr>
      <w:b/>
      <w:smallCaps/>
    </w:rPr>
  </w:style>
  <w:style w:type="paragraph" w:customStyle="1" w:styleId="TableListNumber">
    <w:name w:val="Table List Number"/>
    <w:basedOn w:val="ListNumber"/>
    <w:rsid w:val="00C15E34"/>
    <w:pPr>
      <w:numPr>
        <w:numId w:val="0"/>
      </w:numPr>
    </w:pPr>
  </w:style>
  <w:style w:type="paragraph" w:styleId="TOC4">
    <w:name w:val="toc 4"/>
    <w:basedOn w:val="TOCBase"/>
    <w:next w:val="Normal"/>
    <w:semiHidden/>
    <w:rsid w:val="00C15E34"/>
    <w:pPr>
      <w:tabs>
        <w:tab w:val="right" w:leader="dot" w:pos="9071"/>
      </w:tabs>
      <w:ind w:left="1701"/>
    </w:pPr>
  </w:style>
  <w:style w:type="paragraph" w:customStyle="1" w:styleId="ListAlpha">
    <w:name w:val="List Alpha"/>
    <w:basedOn w:val="List"/>
    <w:rsid w:val="00C15E34"/>
    <w:pPr>
      <w:numPr>
        <w:numId w:val="9"/>
      </w:numPr>
    </w:pPr>
  </w:style>
  <w:style w:type="paragraph" w:customStyle="1" w:styleId="ListAlpha2">
    <w:name w:val="List Alpha 2"/>
    <w:basedOn w:val="List2"/>
    <w:rsid w:val="00C15E34"/>
    <w:pPr>
      <w:numPr>
        <w:numId w:val="8"/>
      </w:numPr>
    </w:pPr>
  </w:style>
  <w:style w:type="paragraph" w:styleId="List2">
    <w:name w:val="List 2"/>
    <w:basedOn w:val="BodyText"/>
    <w:rsid w:val="00C15E34"/>
    <w:pPr>
      <w:tabs>
        <w:tab w:val="left" w:pos="680"/>
      </w:tabs>
      <w:spacing w:before="60" w:after="60"/>
      <w:ind w:left="680" w:hanging="340"/>
    </w:pPr>
  </w:style>
  <w:style w:type="paragraph" w:styleId="List3">
    <w:name w:val="List 3"/>
    <w:basedOn w:val="BodyText"/>
    <w:rsid w:val="00C15E34"/>
    <w:pPr>
      <w:tabs>
        <w:tab w:val="left" w:pos="1021"/>
      </w:tabs>
      <w:spacing w:before="60" w:after="60"/>
      <w:ind w:left="1020" w:hanging="340"/>
    </w:pPr>
  </w:style>
  <w:style w:type="paragraph" w:styleId="List4">
    <w:name w:val="List 4"/>
    <w:basedOn w:val="BodyText"/>
    <w:rsid w:val="00C15E34"/>
    <w:pPr>
      <w:tabs>
        <w:tab w:val="left" w:pos="1361"/>
      </w:tabs>
      <w:spacing w:before="60" w:after="60"/>
      <w:ind w:left="1361" w:hanging="340"/>
    </w:pPr>
  </w:style>
  <w:style w:type="paragraph" w:styleId="List5">
    <w:name w:val="List 5"/>
    <w:basedOn w:val="BodyText"/>
    <w:rsid w:val="00C15E34"/>
    <w:pPr>
      <w:tabs>
        <w:tab w:val="left" w:pos="1701"/>
      </w:tabs>
      <w:spacing w:before="60" w:after="60"/>
      <w:ind w:left="1701" w:hanging="340"/>
    </w:pPr>
  </w:style>
  <w:style w:type="paragraph" w:styleId="ListBullet3">
    <w:name w:val="List Bullet 3"/>
    <w:basedOn w:val="List3"/>
    <w:rsid w:val="00C15E34"/>
    <w:pPr>
      <w:numPr>
        <w:numId w:val="15"/>
      </w:numPr>
      <w:tabs>
        <w:tab w:val="clear" w:pos="1021"/>
      </w:tabs>
      <w:ind w:left="1037" w:hanging="357"/>
    </w:pPr>
  </w:style>
  <w:style w:type="paragraph" w:styleId="ListBullet4">
    <w:name w:val="List Bullet 4"/>
    <w:basedOn w:val="List4"/>
    <w:rsid w:val="00C15E34"/>
    <w:pPr>
      <w:numPr>
        <w:numId w:val="3"/>
      </w:numPr>
    </w:pPr>
  </w:style>
  <w:style w:type="paragraph" w:styleId="ListBullet5">
    <w:name w:val="List Bullet 5"/>
    <w:basedOn w:val="List5"/>
    <w:rsid w:val="00C15E34"/>
    <w:pPr>
      <w:numPr>
        <w:numId w:val="4"/>
      </w:numPr>
    </w:pPr>
  </w:style>
  <w:style w:type="paragraph" w:styleId="ListContinue2">
    <w:name w:val="List Continue 2"/>
    <w:basedOn w:val="List2"/>
    <w:rsid w:val="00C15E34"/>
    <w:pPr>
      <w:ind w:firstLine="0"/>
    </w:pPr>
  </w:style>
  <w:style w:type="paragraph" w:styleId="ListContinue3">
    <w:name w:val="List Continue 3"/>
    <w:basedOn w:val="List3"/>
    <w:rsid w:val="00C15E34"/>
    <w:pPr>
      <w:ind w:left="1021" w:firstLine="0"/>
    </w:pPr>
  </w:style>
  <w:style w:type="paragraph" w:styleId="ListContinue4">
    <w:name w:val="List Continue 4"/>
    <w:basedOn w:val="List4"/>
    <w:rsid w:val="00C15E34"/>
    <w:pPr>
      <w:ind w:firstLine="0"/>
    </w:pPr>
  </w:style>
  <w:style w:type="paragraph" w:styleId="ListContinue5">
    <w:name w:val="List Continue 5"/>
    <w:basedOn w:val="List5"/>
    <w:rsid w:val="00C15E34"/>
    <w:pPr>
      <w:ind w:firstLine="0"/>
    </w:pPr>
  </w:style>
  <w:style w:type="paragraph" w:styleId="ListNumber3">
    <w:name w:val="List Number 3"/>
    <w:basedOn w:val="List3"/>
    <w:rsid w:val="00C15E34"/>
    <w:pPr>
      <w:numPr>
        <w:numId w:val="5"/>
      </w:numPr>
    </w:pPr>
  </w:style>
  <w:style w:type="paragraph" w:styleId="ListNumber4">
    <w:name w:val="List Number 4"/>
    <w:basedOn w:val="List4"/>
    <w:rsid w:val="00C15E34"/>
    <w:pPr>
      <w:numPr>
        <w:numId w:val="6"/>
      </w:numPr>
    </w:pPr>
  </w:style>
  <w:style w:type="paragraph" w:styleId="ListNumber5">
    <w:name w:val="List Number 5"/>
    <w:basedOn w:val="List5"/>
    <w:rsid w:val="00C15E34"/>
    <w:pPr>
      <w:numPr>
        <w:numId w:val="7"/>
      </w:numPr>
    </w:pPr>
  </w:style>
  <w:style w:type="paragraph" w:styleId="BlockText">
    <w:name w:val="Block Text"/>
    <w:basedOn w:val="Normal"/>
    <w:rsid w:val="00C15E34"/>
    <w:pPr>
      <w:spacing w:after="120"/>
      <w:ind w:left="1440" w:right="1440"/>
    </w:pPr>
  </w:style>
  <w:style w:type="character" w:customStyle="1" w:styleId="Subscript">
    <w:name w:val="Subscript"/>
    <w:basedOn w:val="DefaultParagraphFont"/>
    <w:rsid w:val="00C15E34"/>
    <w:rPr>
      <w:sz w:val="16"/>
      <w:vertAlign w:val="subscript"/>
    </w:rPr>
  </w:style>
  <w:style w:type="character" w:customStyle="1" w:styleId="Superscript">
    <w:name w:val="Superscript"/>
    <w:basedOn w:val="DefaultParagraphFont"/>
    <w:rsid w:val="00C15E34"/>
    <w:rPr>
      <w:sz w:val="16"/>
      <w:vertAlign w:val="superscript"/>
    </w:rPr>
  </w:style>
  <w:style w:type="character" w:customStyle="1" w:styleId="Symbols">
    <w:name w:val="Symbols"/>
    <w:basedOn w:val="DefaultParagraphFont"/>
    <w:rsid w:val="00C15E34"/>
    <w:rPr>
      <w:rFonts w:ascii="Symbol" w:hAnsi="Symbol"/>
    </w:rPr>
  </w:style>
  <w:style w:type="character" w:customStyle="1" w:styleId="MenuOptions">
    <w:name w:val="Menu Options"/>
    <w:basedOn w:val="DefaultParagraphFont"/>
    <w:rsid w:val="00C15E34"/>
    <w:rPr>
      <w:rFonts w:ascii="Arial Narrow" w:hAnsi="Arial Narrow"/>
      <w:smallCaps/>
    </w:rPr>
  </w:style>
  <w:style w:type="character" w:customStyle="1" w:styleId="Buttons">
    <w:name w:val="Buttons"/>
    <w:basedOn w:val="DefaultParagraphFont"/>
    <w:rsid w:val="00C15E34"/>
    <w:rPr>
      <w:b/>
    </w:rPr>
  </w:style>
  <w:style w:type="character" w:customStyle="1" w:styleId="Underlined">
    <w:name w:val="Underlined"/>
    <w:basedOn w:val="DefaultParagraphFont"/>
    <w:rsid w:val="00C15E34"/>
    <w:rPr>
      <w:u w:val="single"/>
    </w:rPr>
  </w:style>
  <w:style w:type="paragraph" w:customStyle="1" w:styleId="TableBodyTextRight">
    <w:name w:val="Table Body Text Right"/>
    <w:basedOn w:val="TableBodyText"/>
    <w:rsid w:val="00C15E34"/>
    <w:pPr>
      <w:widowControl w:val="0"/>
      <w:autoSpaceDE w:val="0"/>
      <w:autoSpaceDN w:val="0"/>
      <w:adjustRightInd w:val="0"/>
      <w:jc w:val="right"/>
    </w:pPr>
    <w:rPr>
      <w:rFonts w:cs="Arial"/>
      <w:szCs w:val="18"/>
    </w:rPr>
  </w:style>
  <w:style w:type="paragraph" w:customStyle="1" w:styleId="CopyrightText">
    <w:name w:val="Copyright Text"/>
    <w:basedOn w:val="BodyText"/>
    <w:rsid w:val="00C15E34"/>
    <w:rPr>
      <w:sz w:val="18"/>
    </w:rPr>
  </w:style>
  <w:style w:type="paragraph" w:customStyle="1" w:styleId="BodySmallRight">
    <w:name w:val="Body Small Right"/>
    <w:basedOn w:val="BodyTextRight"/>
    <w:rsid w:val="00C15E34"/>
    <w:rPr>
      <w:sz w:val="18"/>
      <w:szCs w:val="18"/>
    </w:rPr>
  </w:style>
  <w:style w:type="paragraph" w:customStyle="1" w:styleId="MarginEdition">
    <w:name w:val="Margin Edition"/>
    <w:basedOn w:val="MarginNote"/>
    <w:rsid w:val="00C15E34"/>
    <w:pPr>
      <w:spacing w:before="0" w:after="0"/>
    </w:pPr>
    <w:rPr>
      <w:rFonts w:ascii="Times New Roman" w:hAnsi="Times New Roman"/>
      <w:color w:val="999999"/>
    </w:rPr>
  </w:style>
  <w:style w:type="paragraph" w:customStyle="1" w:styleId="Spacer">
    <w:name w:val="Spacer"/>
    <w:basedOn w:val="Normal"/>
    <w:rsid w:val="00C15E34"/>
    <w:rPr>
      <w:sz w:val="2"/>
      <w:szCs w:val="2"/>
    </w:rPr>
  </w:style>
  <w:style w:type="character" w:customStyle="1" w:styleId="Small">
    <w:name w:val="Small"/>
    <w:basedOn w:val="DefaultParagraphFont"/>
    <w:rsid w:val="00C15E34"/>
    <w:rPr>
      <w:sz w:val="16"/>
    </w:rPr>
  </w:style>
  <w:style w:type="paragraph" w:customStyle="1" w:styleId="WideTable">
    <w:name w:val="Wide Table"/>
    <w:basedOn w:val="Normal"/>
    <w:rsid w:val="00C15E34"/>
    <w:pPr>
      <w:ind w:left="-1418"/>
    </w:pPr>
    <w:rPr>
      <w:sz w:val="2"/>
      <w:szCs w:val="2"/>
    </w:rPr>
  </w:style>
  <w:style w:type="character" w:styleId="PageNumber">
    <w:name w:val="page number"/>
    <w:basedOn w:val="DefaultParagraphFont"/>
    <w:rsid w:val="00C15E34"/>
  </w:style>
  <w:style w:type="paragraph" w:styleId="Quote">
    <w:name w:val="Quote"/>
    <w:basedOn w:val="Heading1"/>
    <w:link w:val="QuoteChar"/>
    <w:qFormat/>
    <w:rsid w:val="00C15E34"/>
    <w:rPr>
      <w:b w:val="0"/>
      <w:sz w:val="72"/>
      <w:szCs w:val="72"/>
      <w:lang w:val="en-NZ"/>
    </w:rPr>
  </w:style>
  <w:style w:type="character" w:customStyle="1" w:styleId="QuoteChar">
    <w:name w:val="Quote Char"/>
    <w:basedOn w:val="DefaultParagraphFont"/>
    <w:link w:val="Quote"/>
    <w:rsid w:val="00C15E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5E34"/>
    <w:pPr>
      <w:pageBreakBefore/>
    </w:pPr>
  </w:style>
  <w:style w:type="paragraph" w:customStyle="1" w:styleId="Border">
    <w:name w:val="Border"/>
    <w:basedOn w:val="Normal"/>
    <w:qFormat/>
    <w:rsid w:val="00C15E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5E34"/>
    <w:rPr>
      <w:b/>
      <w:bCs/>
      <w:i/>
      <w:iCs/>
      <w:color w:val="auto"/>
    </w:rPr>
  </w:style>
  <w:style w:type="paragraph" w:styleId="IntenseQuote">
    <w:name w:val="Intense Quote"/>
    <w:basedOn w:val="Normal"/>
    <w:next w:val="Normal"/>
    <w:link w:val="IntenseQuoteChar"/>
    <w:uiPriority w:val="30"/>
    <w:qFormat/>
    <w:rsid w:val="00C15E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5E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15E34"/>
    <w:rPr>
      <w:smallCaps/>
      <w:color w:val="auto"/>
      <w:u w:val="single"/>
    </w:rPr>
  </w:style>
  <w:style w:type="character" w:styleId="IntenseReference">
    <w:name w:val="Intense Reference"/>
    <w:basedOn w:val="DefaultParagraphFont"/>
    <w:uiPriority w:val="32"/>
    <w:qFormat/>
    <w:rsid w:val="00C15E34"/>
    <w:rPr>
      <w:b/>
      <w:bCs/>
      <w:smallCaps/>
      <w:color w:val="auto"/>
      <w:spacing w:val="5"/>
      <w:u w:val="single"/>
    </w:rPr>
  </w:style>
  <w:style w:type="paragraph" w:customStyle="1" w:styleId="2ColumnHeading">
    <w:name w:val="2Column Heading"/>
    <w:basedOn w:val="BodyText"/>
    <w:qFormat/>
    <w:rsid w:val="00C15E34"/>
    <w:pPr>
      <w:spacing w:after="60"/>
      <w:ind w:left="-2268"/>
    </w:pPr>
    <w:rPr>
      <w:b/>
    </w:rPr>
  </w:style>
  <w:style w:type="paragraph" w:customStyle="1" w:styleId="Heading1TOC">
    <w:name w:val="Heading1 TOC"/>
    <w:basedOn w:val="Normal"/>
    <w:qFormat/>
    <w:rsid w:val="00C15E34"/>
    <w:pPr>
      <w:spacing w:before="240" w:after="120"/>
    </w:pPr>
    <w:rPr>
      <w:rFonts w:ascii="Times New Roman" w:hAnsi="Times New Roman"/>
      <w:b/>
      <w:sz w:val="32"/>
    </w:rPr>
  </w:style>
  <w:style w:type="paragraph" w:customStyle="1" w:styleId="Heading2TOC">
    <w:name w:val="Heading2 TOC"/>
    <w:basedOn w:val="Normal"/>
    <w:qFormat/>
    <w:rsid w:val="00C15E34"/>
    <w:pPr>
      <w:spacing w:before="240" w:after="60"/>
    </w:pPr>
    <w:rPr>
      <w:rFonts w:ascii="Times New Roman" w:hAnsi="Times New Roman"/>
      <w:b/>
      <w:sz w:val="28"/>
    </w:rPr>
  </w:style>
  <w:style w:type="character" w:customStyle="1" w:styleId="Underline">
    <w:name w:val="Underline"/>
    <w:basedOn w:val="DefaultParagraphFont"/>
    <w:qFormat/>
    <w:rsid w:val="00C15E34"/>
    <w:rPr>
      <w:u w:val="single"/>
    </w:rPr>
  </w:style>
  <w:style w:type="character" w:customStyle="1" w:styleId="BoldandItalics">
    <w:name w:val="Bold and Italics"/>
    <w:qFormat/>
    <w:rsid w:val="00C15E34"/>
    <w:rPr>
      <w:b/>
      <w:i/>
      <w:u w:val="none"/>
    </w:rPr>
  </w:style>
  <w:style w:type="paragraph" w:styleId="BalloonText">
    <w:name w:val="Balloon Text"/>
    <w:basedOn w:val="Normal"/>
    <w:link w:val="BalloonTextChar"/>
    <w:rsid w:val="00C15E34"/>
    <w:rPr>
      <w:rFonts w:ascii="Tahoma" w:hAnsi="Tahoma" w:cs="Tahoma"/>
      <w:sz w:val="16"/>
      <w:szCs w:val="16"/>
    </w:rPr>
  </w:style>
  <w:style w:type="character" w:customStyle="1" w:styleId="BalloonTextChar">
    <w:name w:val="Balloon Text Char"/>
    <w:basedOn w:val="DefaultParagraphFont"/>
    <w:link w:val="BalloonText"/>
    <w:rsid w:val="00C15E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15E3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15E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15E34"/>
    <w:rPr>
      <w:b/>
      <w:color w:val="660033"/>
      <w:spacing w:val="0"/>
    </w:rPr>
  </w:style>
  <w:style w:type="paragraph" w:customStyle="1" w:styleId="Nameditemlist">
    <w:name w:val="Named item list"/>
    <w:basedOn w:val="BodyText"/>
    <w:qFormat/>
    <w:rsid w:val="00C15E3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1213</Words>
  <Characters>7525</Characters>
  <Application>Microsoft Office Word</Application>
  <DocSecurity>0</DocSecurity>
  <Lines>254</Lines>
  <Paragraphs>136</Paragraphs>
  <ScaleCrop>false</ScaleCrop>
  <Company>Author-it Software Corporation Ltd.</Company>
  <LinksUpToDate>false</LinksUpToDate>
  <CharactersWithSpaces>8661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TLILIC3017B Licence to drive a heavy combination vehicle</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2013-04-18T07:38:00Z</dcterms:created>
  <dcterms:modified xsi:type="dcterms:W3CDTF">2013-04-18T07:38:00Z</dcterms:modified>
</cp:coreProperties>
</file>