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90E" w:rsidP="0025290E">
      <w:pPr>
        <w:pStyle w:val="Title"/>
      </w:pPr>
      <w:bookmarkStart w:id="0" w:name="_GoBack"/>
      <w:bookmarkEnd w:id="0"/>
      <w:r>
        <w:fldChar w:fldCharType="begin"/>
      </w:r>
      <w:r>
        <w:instrText xml:space="preserve"> TITLE   \* MERGEFORMAT </w:instrText>
      </w:r>
      <w:r>
        <w:fldChar w:fldCharType="separate"/>
      </w:r>
      <w:r>
        <w:t>TLIL5061A Apply knowledge of the international freight forwarding industry</w:t>
      </w:r>
      <w:r>
        <w:fldChar w:fldCharType="end"/>
      </w:r>
    </w:p>
    <w:p w:rsidR="0025290E" w:rsidP="0025290E">
      <w:pPr>
        <w:pStyle w:val="Version"/>
        <w:sectPr w:rsidSect="00297A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ACF" w:rsidP="00297ACF">
      <w:pPr>
        <w:pStyle w:val="SuperHeading"/>
      </w:pPr>
      <w:r w:rsidRPr="00297ACF">
        <w:t>TLIL5061A Apply knowledge of the international freight forwarding industry</w:t>
      </w:r>
    </w:p>
    <w:p w:rsidR="00000000" w:rsidRPr="00297ACF" w:rsidP="00297ACF">
      <w:pPr>
        <w:pStyle w:val="Heading1"/>
      </w:pPr>
      <w:bookmarkStart w:id="1" w:name="O_274224"/>
      <w:bookmarkEnd w:id="1"/>
      <w:r w:rsidRPr="00297ACF">
        <w:t>Modification History</w:t>
      </w:r>
    </w:p>
    <w:p w:rsidR="00000000" w:rsidRPr="00297ACF" w:rsidP="00297ACF">
      <w:pPr>
        <w:pStyle w:val="BodyText"/>
      </w:pPr>
      <w:r w:rsidRPr="00297ACF">
        <w:t>Not Applicable</w:t>
      </w:r>
    </w:p>
    <w:p w:rsidR="00000000" w:rsidRPr="00297ACF" w:rsidP="00297ACF">
      <w:pPr>
        <w:pStyle w:val="AllowPageBreak"/>
      </w:pPr>
    </w:p>
    <w:p w:rsidR="00000000" w:rsidRPr="00297ACF" w:rsidP="00297ACF">
      <w:pPr>
        <w:pStyle w:val="Heading1"/>
      </w:pPr>
      <w:bookmarkStart w:id="2" w:name="O_223970"/>
      <w:bookmarkEnd w:id="2"/>
      <w:r w:rsidRPr="00297ACF">
        <w:t>Unit Descriptor</w:t>
      </w:r>
    </w:p>
    <w:tbl>
      <w:tblPr>
        <w:tblW w:w="9640" w:type="dxa"/>
        <w:tblLayout w:type="fixed"/>
        <w:tblCellMar>
          <w:left w:w="62" w:type="dxa"/>
          <w:right w:w="62" w:type="dxa"/>
        </w:tblCellMar>
        <w:tblLook w:val="0000"/>
      </w:tblPr>
      <w:tblGrid>
        <w:gridCol w:w="2978"/>
        <w:gridCol w:w="6662"/>
      </w:tblGrid>
      <w:tr w:rsidTr="002529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Unit D</w:t>
            </w:r>
            <w:r w:rsidRPr="00297ACF">
              <w:rPr>
                <w:rStyle w:val="SpecialBold"/>
              </w:rPr>
              <w:t>escriptor</w:t>
            </w:r>
          </w:p>
        </w:tc>
        <w:tc>
          <w:tcPr>
            <w:tcW w:w="6662" w:type="dxa"/>
            <w:tcBorders>
              <w:top w:val="nil"/>
              <w:left w:val="nil"/>
              <w:bottom w:val="nil"/>
              <w:right w:val="nil"/>
            </w:tcBorders>
            <w:tcMar>
              <w:top w:w="0" w:type="dxa"/>
              <w:left w:w="62" w:type="dxa"/>
              <w:bottom w:w="0" w:type="dxa"/>
              <w:right w:w="62" w:type="dxa"/>
            </w:tcMar>
          </w:tcPr>
          <w:p w:rsidR="00000000" w:rsidRPr="00297ACF" w:rsidP="00297ACF">
            <w:pPr>
              <w:pStyle w:val="BodyText"/>
            </w:pPr>
            <w:r w:rsidRPr="00297ACF">
              <w:t>This unit involves the skills and knowledge required to develop, update and apply an in-depth understanding of the international freight forwarding industry to advanced freight forwarding activities. This includes the demonstration of the require</w:t>
            </w:r>
            <w:r w:rsidRPr="00297ACF">
              <w:t>d industry knowledge; the consistent interpretation and application of that knowledge to the freight forwarding role and functions; and undertaking sufficient appropriate continuous professional development activities to maintain the currency of the requir</w:t>
            </w:r>
            <w:r w:rsidRPr="00297ACF">
              <w:t>ed knowledge and understanding. International freight forwarding covers the importing, exporting and transiting of freight. There are no specific licensing or certification requirements applicable to this unit.</w:t>
            </w:r>
          </w:p>
        </w:tc>
      </w:tr>
    </w:tbl>
    <w:p w:rsidR="0025290E" w:rsidP="00297ACF">
      <w:pPr>
        <w:pStyle w:val="BodyText"/>
      </w:pPr>
    </w:p>
    <w:p w:rsidR="0025290E" w:rsidP="00297ACF">
      <w:pPr>
        <w:pStyle w:val="BodyText"/>
      </w:pPr>
    </w:p>
    <w:p w:rsidR="00000000" w:rsidRPr="00297ACF" w:rsidP="00297ACF">
      <w:pPr>
        <w:pStyle w:val="Heading1"/>
      </w:pPr>
      <w:bookmarkStart w:id="3" w:name="O_223972"/>
      <w:bookmarkEnd w:id="3"/>
      <w:r w:rsidRPr="00297ACF">
        <w:t>Application of the Unit</w:t>
      </w:r>
    </w:p>
    <w:tbl>
      <w:tblPr>
        <w:tblW w:w="9640" w:type="dxa"/>
        <w:tblLayout w:type="fixed"/>
        <w:tblCellMar>
          <w:left w:w="62" w:type="dxa"/>
          <w:right w:w="62" w:type="dxa"/>
        </w:tblCellMar>
        <w:tblLook w:val="0000"/>
      </w:tblPr>
      <w:tblGrid>
        <w:gridCol w:w="2978"/>
        <w:gridCol w:w="6662"/>
      </w:tblGrid>
      <w:tr w:rsidTr="002529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97ACF" w:rsidP="00297ACF">
            <w:pPr>
              <w:pStyle w:val="BodyText"/>
            </w:pPr>
            <w:r w:rsidRPr="00297ACF">
              <w:t>This unit was developed for persons applying knowledge of the international freight forwarding industry as part of advanced international freight forwarding functions.</w:t>
            </w:r>
          </w:p>
          <w:p w:rsidR="00000000" w:rsidRPr="00297ACF" w:rsidP="00297ACF">
            <w:pPr>
              <w:pStyle w:val="BodyText"/>
            </w:pPr>
            <w:r w:rsidRPr="00297ACF">
              <w:t>Typically these individuals must demonstrate the ability to work</w:t>
            </w:r>
            <w:r w:rsidRPr="00297ACF">
              <w:t xml:space="preserve"> independently or as part of a team under direct and/or indirect supervision, perform detailed analyses, use discretion and judgement, and take responsibility for the quality of their outputs.</w:t>
            </w:r>
          </w:p>
          <w:p w:rsidR="00000000" w:rsidRPr="00297ACF" w:rsidP="00297ACF">
            <w:pPr>
              <w:pStyle w:val="BodyText"/>
            </w:pPr>
            <w:r w:rsidRPr="00297ACF">
              <w:t>All activities are carried out in accordance with relevant orga</w:t>
            </w:r>
            <w:r w:rsidRPr="00297ACF">
              <w:t>nisational policy and procedures, as well as national and global codes of practice and regulations applicable to international freight forwarding.</w:t>
            </w:r>
          </w:p>
        </w:tc>
      </w:tr>
    </w:tbl>
    <w:p w:rsidR="0025290E" w:rsidP="00297ACF">
      <w:pPr>
        <w:pStyle w:val="BodyText"/>
      </w:pPr>
    </w:p>
    <w:p w:rsidR="0025290E" w:rsidP="00297ACF">
      <w:pPr>
        <w:pStyle w:val="BodyText"/>
      </w:pPr>
    </w:p>
    <w:p w:rsidR="00000000" w:rsidRPr="00297ACF" w:rsidP="00297ACF">
      <w:pPr>
        <w:pStyle w:val="Heading1"/>
      </w:pPr>
      <w:bookmarkStart w:id="4" w:name="O_282484"/>
      <w:bookmarkEnd w:id="4"/>
      <w:r w:rsidRPr="00297ACF">
        <w:t>Licensing/Regulatory Information</w:t>
      </w:r>
    </w:p>
    <w:p w:rsidR="00000000" w:rsidRPr="00297ACF" w:rsidP="00297ACF">
      <w:pPr>
        <w:pStyle w:val="BodyText"/>
      </w:pPr>
      <w:r w:rsidRPr="00297ACF">
        <w:t>Refer to Unit Descriptor</w:t>
      </w:r>
    </w:p>
    <w:p w:rsidR="00000000" w:rsidRPr="00297ACF" w:rsidP="00297ACF">
      <w:pPr>
        <w:pStyle w:val="AllowPageBreak"/>
      </w:pPr>
    </w:p>
    <w:p w:rsidR="00000000" w:rsidRPr="00297ACF" w:rsidP="00297ACF">
      <w:pPr>
        <w:pStyle w:val="Heading1"/>
      </w:pPr>
      <w:bookmarkStart w:id="5" w:name="O_284934"/>
      <w:bookmarkEnd w:id="5"/>
      <w:r w:rsidRPr="00297ACF">
        <w:t>Pre-Requisites</w:t>
      </w:r>
    </w:p>
    <w:p w:rsidR="00000000" w:rsidRPr="00297ACF" w:rsidP="00297ACF">
      <w:pPr>
        <w:pStyle w:val="BodyText"/>
      </w:pPr>
      <w:r w:rsidRPr="00297ACF">
        <w:t>Not Applicable</w:t>
      </w:r>
    </w:p>
    <w:p w:rsidR="00000000" w:rsidRPr="00297ACF" w:rsidP="00297ACF">
      <w:pPr>
        <w:pStyle w:val="AllowPageBreak"/>
      </w:pPr>
    </w:p>
    <w:p w:rsidR="00000000" w:rsidRPr="00297ACF" w:rsidP="00297ACF">
      <w:pPr>
        <w:pStyle w:val="Heading1"/>
      </w:pPr>
      <w:bookmarkStart w:id="6" w:name="O_223971"/>
      <w:bookmarkEnd w:id="6"/>
      <w:r w:rsidRPr="00297ACF">
        <w:t>Employability Skills Information</w:t>
      </w:r>
    </w:p>
    <w:tbl>
      <w:tblPr>
        <w:tblW w:w="9640" w:type="dxa"/>
        <w:tblLayout w:type="fixed"/>
        <w:tblCellMar>
          <w:left w:w="62" w:type="dxa"/>
          <w:right w:w="62" w:type="dxa"/>
        </w:tblCellMar>
        <w:tblLook w:val="0000"/>
      </w:tblPr>
      <w:tblGrid>
        <w:gridCol w:w="2978"/>
        <w:gridCol w:w="6662"/>
      </w:tblGrid>
      <w:tr w:rsidTr="0025290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97ACF" w:rsidP="00297ACF">
            <w:pPr>
              <w:pStyle w:val="BodyText"/>
            </w:pPr>
            <w:r w:rsidRPr="00297ACF">
              <w:t>This unit contains employability skills.</w:t>
            </w:r>
          </w:p>
        </w:tc>
      </w:tr>
    </w:tbl>
    <w:p w:rsidR="0025290E" w:rsidP="00297ACF">
      <w:pPr>
        <w:pStyle w:val="BodyText"/>
      </w:pPr>
    </w:p>
    <w:p w:rsidR="0025290E" w:rsidP="00297ACF">
      <w:pPr>
        <w:pStyle w:val="BodyText"/>
      </w:pPr>
    </w:p>
    <w:p w:rsidR="00000000" w:rsidRPr="00297ACF" w:rsidP="00297ACF">
      <w:pPr>
        <w:pStyle w:val="Heading1"/>
      </w:pPr>
      <w:bookmarkStart w:id="7" w:name="O_292270"/>
      <w:bookmarkEnd w:id="7"/>
      <w:r w:rsidRPr="00297ACF">
        <w:t>Elements and Performance Criteria Pre-Content</w:t>
      </w:r>
    </w:p>
    <w:tbl>
      <w:tblPr>
        <w:tblW w:w="9640" w:type="dxa"/>
        <w:tblLayout w:type="fixed"/>
        <w:tblCellMar>
          <w:left w:w="62" w:type="dxa"/>
          <w:right w:w="62" w:type="dxa"/>
        </w:tblCellMar>
        <w:tblLook w:val="0000"/>
      </w:tblPr>
      <w:tblGrid>
        <w:gridCol w:w="2978"/>
        <w:gridCol w:w="6662"/>
      </w:tblGrid>
      <w:tr w:rsidTr="002529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97ACF" w:rsidP="00297ACF">
            <w:pPr>
              <w:pStyle w:val="BodyText"/>
            </w:pPr>
            <w:r w:rsidRPr="00297ACF">
              <w:t>Performance criteria describe the required performance needed to demonstrate achievement of the element. Assessment of performance is to be consistent with the evidence guide.</w:t>
            </w:r>
          </w:p>
        </w:tc>
      </w:tr>
    </w:tbl>
    <w:p w:rsidR="00000000" w:rsidRPr="00297ACF" w:rsidP="00297ACF">
      <w:pPr>
        <w:pStyle w:val="BodyText"/>
      </w:pPr>
    </w:p>
    <w:p w:rsidR="00000000" w:rsidRPr="00297ACF" w:rsidP="00297ACF">
      <w:pPr>
        <w:pStyle w:val="AllowPageBreak"/>
      </w:pPr>
    </w:p>
    <w:p w:rsidR="00000000" w:rsidRPr="00297ACF" w:rsidP="00297ACF">
      <w:pPr>
        <w:pStyle w:val="Heading1"/>
      </w:pPr>
      <w:bookmarkStart w:id="8" w:name="O_238938"/>
      <w:bookmarkEnd w:id="8"/>
      <w:r w:rsidRPr="00297ACF">
        <w:t>Elements and Performance Criteria</w:t>
      </w:r>
    </w:p>
    <w:tbl>
      <w:tblPr>
        <w:tblW w:w="9640" w:type="dxa"/>
        <w:tblLayout w:type="fixed"/>
        <w:tblCellMar>
          <w:left w:w="62" w:type="dxa"/>
          <w:right w:w="62" w:type="dxa"/>
        </w:tblCellMar>
        <w:tblLook w:val="0000"/>
      </w:tblPr>
      <w:tblGrid>
        <w:gridCol w:w="2978"/>
        <w:gridCol w:w="6662"/>
      </w:tblGrid>
      <w:tr w:rsidTr="0025290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97ACF" w:rsidP="00297ACF">
            <w:pPr>
              <w:pStyle w:val="List"/>
            </w:pPr>
            <w:r w:rsidRPr="00297AC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97ACF">
            <w:pPr>
              <w:pStyle w:val="List"/>
              <w:rPr>
                <w:lang w:val="en-NZ"/>
              </w:rPr>
            </w:pPr>
            <w:r w:rsidRPr="00297ACF">
              <w:rPr>
                <w:rStyle w:val="SpecialBold"/>
              </w:rPr>
              <w:t>PERFORMANCE CRITERIA</w:t>
            </w:r>
          </w:p>
        </w:tc>
      </w:tr>
      <w:tr w:rsidTr="002529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ACF">
            <w:pPr>
              <w:pStyle w:val="List"/>
              <w:rPr>
                <w:lang w:val="en-NZ"/>
              </w:rPr>
            </w:pPr>
            <w:r w:rsidRPr="00297ACF">
              <w:rPr>
                <w:rStyle w:val="SpecialBold"/>
              </w:rPr>
              <w:t>1</w:t>
            </w:r>
            <w:r w:rsidRPr="00297ACF">
              <w:tab/>
            </w:r>
            <w:r w:rsidRPr="00297ACF">
              <w:rPr>
                <w:rStyle w:val="SpecialBold"/>
              </w:rPr>
              <w:t>Access and interpret information on the international freight forwarding industry</w:t>
            </w:r>
          </w:p>
        </w:tc>
        <w:tc>
          <w:tcPr>
            <w:tcW w:w="6662" w:type="dxa"/>
            <w:tcBorders>
              <w:top w:val="nil"/>
              <w:left w:val="nil"/>
              <w:bottom w:val="nil"/>
              <w:right w:val="nil"/>
            </w:tcBorders>
            <w:tcMar>
              <w:top w:w="0" w:type="dxa"/>
              <w:left w:w="62" w:type="dxa"/>
              <w:bottom w:w="0" w:type="dxa"/>
              <w:right w:w="62" w:type="dxa"/>
            </w:tcMar>
          </w:tcPr>
          <w:p w:rsidR="00000000" w:rsidRPr="00297ACF" w:rsidP="00297ACF">
            <w:pPr>
              <w:pStyle w:val="List"/>
            </w:pPr>
            <w:r w:rsidRPr="00297ACF">
              <w:t>1.1</w:t>
            </w:r>
            <w:r w:rsidRPr="00297ACF">
              <w:tab/>
            </w:r>
            <w:r w:rsidRPr="00297ACF">
              <w:t>Information on the international freight forwarding industry is regularly accessed from appropriate sources</w:t>
            </w:r>
          </w:p>
          <w:p w:rsidR="00000000" w:rsidRPr="00297ACF" w:rsidP="00297ACF">
            <w:pPr>
              <w:pStyle w:val="List"/>
            </w:pPr>
            <w:r w:rsidRPr="00297ACF">
              <w:t>1.2</w:t>
            </w:r>
            <w:r w:rsidRPr="00297ACF">
              <w:tab/>
              <w:t>Information on the international freight forwarding industry is interpreted and applied when working on freight forwarding projects</w:t>
            </w:r>
          </w:p>
          <w:p w:rsidR="00000000" w:rsidP="00297ACF">
            <w:pPr>
              <w:pStyle w:val="List"/>
              <w:rPr>
                <w:lang w:val="en-NZ"/>
              </w:rPr>
            </w:pPr>
            <w:r w:rsidRPr="00297ACF">
              <w:t>1.3</w:t>
            </w:r>
            <w:r w:rsidRPr="00297ACF">
              <w:tab/>
              <w:t>Continuo</w:t>
            </w:r>
            <w:r w:rsidRPr="00297ACF">
              <w:t>us professional development is undertaken to ensure a current knowledge of the freight forwarding industry as per industry practice and company standard procedures</w:t>
            </w:r>
          </w:p>
        </w:tc>
      </w:tr>
      <w:tr w:rsidTr="002529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ACF">
            <w:pPr>
              <w:pStyle w:val="List"/>
              <w:rPr>
                <w:lang w:val="en-NZ"/>
              </w:rPr>
            </w:pPr>
            <w:r w:rsidRPr="00297ACF">
              <w:rPr>
                <w:rStyle w:val="SpecialBold"/>
              </w:rPr>
              <w:t>2</w:t>
            </w:r>
            <w:r w:rsidRPr="00297ACF">
              <w:tab/>
            </w:r>
            <w:r w:rsidRPr="00297ACF">
              <w:rPr>
                <w:rStyle w:val="SpecialBold"/>
              </w:rPr>
              <w:t>Demonstrate the required knowledge of the international freight forwarding industry</w:t>
            </w:r>
          </w:p>
        </w:tc>
        <w:tc>
          <w:tcPr>
            <w:tcW w:w="6662" w:type="dxa"/>
            <w:tcBorders>
              <w:top w:val="nil"/>
              <w:left w:val="nil"/>
              <w:bottom w:val="nil"/>
              <w:right w:val="nil"/>
            </w:tcBorders>
            <w:tcMar>
              <w:top w:w="0" w:type="dxa"/>
              <w:left w:w="62" w:type="dxa"/>
              <w:bottom w:w="0" w:type="dxa"/>
              <w:right w:w="62" w:type="dxa"/>
            </w:tcMar>
          </w:tcPr>
          <w:p w:rsidR="00000000" w:rsidP="00297ACF">
            <w:pPr>
              <w:pStyle w:val="List"/>
              <w:rPr>
                <w:lang w:val="en-NZ"/>
              </w:rPr>
            </w:pPr>
            <w:r w:rsidRPr="00297ACF">
              <w:t>2.1</w:t>
            </w:r>
            <w:r w:rsidRPr="00297ACF">
              <w:tab/>
              <w:t>T</w:t>
            </w:r>
            <w:r w:rsidRPr="00297ACF">
              <w:t>he knowledge of the international freight forwarding industry required to perform effectively as an international freight forwarder is demonstrated through the successful completion of a range of assignments and both real and simulated freight forwarding p</w:t>
            </w:r>
            <w:r w:rsidRPr="00297ACF">
              <w:t>rojects</w:t>
            </w:r>
          </w:p>
        </w:tc>
      </w:tr>
      <w:tr w:rsidTr="002529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ACF">
            <w:pPr>
              <w:pStyle w:val="List"/>
              <w:rPr>
                <w:lang w:val="en-NZ"/>
              </w:rPr>
            </w:pPr>
            <w:r w:rsidRPr="00297ACF">
              <w:rPr>
                <w:rStyle w:val="SpecialBold"/>
              </w:rPr>
              <w:t>3</w:t>
            </w:r>
            <w:r w:rsidRPr="00297ACF">
              <w:tab/>
            </w:r>
            <w:r w:rsidRPr="00297ACF">
              <w:rPr>
                <w:rStyle w:val="SpecialBold"/>
              </w:rPr>
              <w:t>Apply industry information to the freight forwarding role and functions</w:t>
            </w:r>
          </w:p>
        </w:tc>
        <w:tc>
          <w:tcPr>
            <w:tcW w:w="6662" w:type="dxa"/>
            <w:tcBorders>
              <w:top w:val="nil"/>
              <w:left w:val="nil"/>
              <w:bottom w:val="nil"/>
              <w:right w:val="nil"/>
            </w:tcBorders>
            <w:tcMar>
              <w:top w:w="0" w:type="dxa"/>
              <w:left w:w="62" w:type="dxa"/>
              <w:bottom w:w="0" w:type="dxa"/>
              <w:right w:w="62" w:type="dxa"/>
            </w:tcMar>
          </w:tcPr>
          <w:p w:rsidR="00000000" w:rsidRPr="00297ACF" w:rsidP="00297ACF">
            <w:pPr>
              <w:pStyle w:val="List"/>
            </w:pPr>
            <w:r w:rsidRPr="00297ACF">
              <w:t>3.1</w:t>
            </w:r>
            <w:r w:rsidRPr="00297ACF">
              <w:tab/>
              <w:t>Current information on the international freight forwarding industry is consistently applied when carrying out the international freight forwarding role and functions</w:t>
            </w:r>
          </w:p>
        </w:tc>
      </w:tr>
    </w:tbl>
    <w:p w:rsidR="0025290E" w:rsidP="00297ACF">
      <w:pPr>
        <w:pStyle w:val="BodyText"/>
      </w:pPr>
    </w:p>
    <w:p w:rsidR="0025290E" w:rsidP="00297ACF">
      <w:pPr>
        <w:pStyle w:val="BodyText"/>
      </w:pPr>
    </w:p>
    <w:p w:rsidR="00000000" w:rsidRPr="00297ACF" w:rsidP="00297ACF">
      <w:pPr>
        <w:pStyle w:val="Heading1"/>
      </w:pPr>
      <w:bookmarkStart w:id="9" w:name="O_262729"/>
      <w:bookmarkEnd w:id="9"/>
      <w:r w:rsidRPr="00297ACF">
        <w:t>Required Skills and Knowledge</w:t>
      </w:r>
    </w:p>
    <w:tbl>
      <w:tblPr>
        <w:tblW w:w="9640" w:type="dxa"/>
        <w:tblLayout w:type="fixed"/>
        <w:tblCellMar>
          <w:left w:w="62" w:type="dxa"/>
          <w:right w:w="62" w:type="dxa"/>
        </w:tblCellMar>
        <w:tblLook w:val="0000"/>
      </w:tblPr>
      <w:tblGrid>
        <w:gridCol w:w="9640"/>
      </w:tblGrid>
      <w:tr w:rsidTr="0025290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REQUIRED KNOWLEDGE AND SKILLS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This describes the essential knowledge and skills and their level required for this unit.</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Required knowledge</w:t>
            </w:r>
            <w:r w:rsidRPr="00297ACF">
              <w:t>:</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Overview of the international freight forwarding industry including the business aspects of freight forwarding and the key activities of freight forwarding companies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Overview of Australian and international regulations, conventions and codes of practice a</w:t>
            </w:r>
            <w:r w:rsidRPr="00297ACF">
              <w:t>pplicable to international freight forwarding (including the importing, exporting and transiting of goods)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Legalities and liabilities in international transport and freight forwarding</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Ethical responsibilities in freight forwarding</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Relevant OH&amp;S and environmental procedures and regulations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The typical organisational structure of an international freight forwarding company</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The role and functions of an international freight forwarder</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Australian and international regulatory authoriti</w:t>
            </w:r>
            <w:r w:rsidRPr="00297ACF">
              <w:t>es in international freight forwarding and trade include but are not limited to:</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Australian Customs and Border Protection Service</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AMSA (Australian Maritime Safety Authority)</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AQIS (Australian Quarantine and Inspection Service)</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CASA (Australian Civil Aviation Authority)</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IATA (International Air Transport Association)</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ICAO (International Civil Aviation Organization)</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IMO (International Maritime Organization)</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government agencies responsible for transport security</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Other Austr</w:t>
            </w:r>
            <w:r w:rsidRPr="00297ACF">
              <w:t>alian and international organisations in forwarding and trade (professional associations, industry associations, unions etc.). Examples include but are not limited to:</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ATC (Australian Transport Council)</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ARA (Australasian Railway Association)</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BIPAR (La Federation Europeenne des Intermedaires d'Assurances, The European Federation of Insurance Intermediaries)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ECSA (European Community of Shipowners' Associations)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CSG (Consultative Shipping Group, London)</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 xml:space="preserve">FIATA (Fédération Internationale des </w:t>
            </w:r>
            <w:r w:rsidRPr="00297ACF">
              <w:t>Associations de Transitaires et Assimilés, International Federation of Freight Forwarders Associations)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OTIF (Intergovernmental Organisation for International Carriage by Rail)</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TIACA (The International Air Cargo Association)</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UIC (International Railway Union)</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2"/>
              <w:rPr>
                <w:lang w:val="en-NZ"/>
              </w:rPr>
            </w:pPr>
            <w:r w:rsidRPr="00297ACF">
              <w:t>UIRR (International Union of Combined Road-Rail Transport Companies)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The basics of international trade and commerce</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Definitions, purpose and use of Incoterms and Combiterms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An in-depth and up-to-date knowledge of glob</w:t>
            </w:r>
            <w:r w:rsidRPr="00297ACF">
              <w:t>al freight forwarding geography</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An understanding of the geopolitical aspects of international freight transport</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Modes of international transport including sea, air, road, rail and multimodal</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Freight forwarding equipment, processes and systems for the various modes of international freight transport</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The use of containers and containerisation in international freight transport</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Parameters of freight forwarding services relevant to customer requ</w:t>
            </w:r>
            <w:r w:rsidRPr="00297ACF">
              <w:t>irements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Special transport services including consolidation, special cargoes and special forwarding projects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An overview of risk management and the typical problems that can occur when providing international freight forwarding services to customers, and</w:t>
            </w:r>
            <w:r w:rsidRPr="00297ACF">
              <w:t xml:space="preserve"> related appropriate action that can be taken to prevent or solve them</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An overview of the transport and liability insurance requirements for international freight forwarding</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Overview of the information and documentation required when providing internatio</w:t>
            </w:r>
            <w:r w:rsidRPr="00297ACF">
              <w:t>nal freight forwarding services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Sources of information on the international freight forwarding industry</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 xml:space="preserve">Principles and techniques of closed-loop communication in which checks are made to confirm that messages and responses being </w:t>
            </w:r>
            <w:r w:rsidRPr="00297ACF">
              <w:t>given or received are unambiguous and are correctly and clearly understood</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Understanding of the principles of quality assurance and customer service standards, policies and procedures as they apply in the international freight forwarding industry</w:t>
            </w:r>
          </w:p>
        </w:tc>
      </w:tr>
    </w:tbl>
    <w:p w:rsidR="00000000" w:rsidRPr="00297ACF" w:rsidP="00297ACF">
      <w:pPr>
        <w:pStyle w:val="BodyText"/>
      </w:pPr>
    </w:p>
    <w:tbl>
      <w:tblPr>
        <w:tblW w:w="9640" w:type="dxa"/>
        <w:tblLayout w:type="fixed"/>
        <w:tblCellMar>
          <w:left w:w="62" w:type="dxa"/>
          <w:right w:w="62" w:type="dxa"/>
        </w:tblCellMar>
        <w:tblLook w:val="0000"/>
      </w:tblPr>
      <w:tblGrid>
        <w:gridCol w:w="9640"/>
      </w:tblGrid>
      <w:tr w:rsidTr="0025290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Requir</w:t>
            </w:r>
            <w:r w:rsidRPr="00297ACF">
              <w:rPr>
                <w:rStyle w:val="SpecialBold"/>
              </w:rPr>
              <w:t>ed skills</w:t>
            </w:r>
            <w:r w:rsidRPr="00297ACF">
              <w:t>:</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Communicate effectively with others when providing international freight forwarding services, including unambiguous closed-loop communication in which checks are made to confirm that messages and responses are correctly and clearly understood (</w:t>
            </w:r>
            <w:r w:rsidRPr="00297ACF">
              <w:t>particularly in situations where communication is with a person for whom English is not the native language)</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Read and interpret instructions, procedures, and other information relevant to the provision of international freight forwarding services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Interpr</w:t>
            </w:r>
            <w:r w:rsidRPr="00297ACF">
              <w:t>et and follow operational instructions and prioritise work</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Complete documentation related to the provision of international freight forwarding services, including data entry to a computer system</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Operate information and communication technology equipment to required protocol</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Work collaboratively with others when providing international freight forwarding services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Adapt appropriately to cultural differences in the workplace, including modes of beh</w:t>
            </w:r>
            <w:r w:rsidRPr="00297ACF">
              <w:t>aviour and interactions with others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Promptly report and/or rectify any identified problems that may arise when providing international freight forwarding services in accordance with regulatory requirements and workplace procedures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Implement contingency p</w:t>
            </w:r>
            <w:r w:rsidRPr="00297ACF">
              <w:t>lans for unanticipated situations that may occur when providing international freight forwarding services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Monitor work activities in terms of planned schedule and deadlines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Apply relevant Australian and international codes of practice and legislative req</w:t>
            </w:r>
            <w:r w:rsidRPr="00297ACF">
              <w:t>uirements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Modify activities depending on differing operational contingencies, risk situations and environments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Work systematically with required attention to detail without injury to self or others, or damage to goods or equipment</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ACF">
            <w:pPr>
              <w:pStyle w:val="ListBullet"/>
              <w:rPr>
                <w:lang w:val="en-NZ"/>
              </w:rPr>
            </w:pPr>
            <w:r w:rsidRPr="00297ACF">
              <w:t>Operate and adapt to d</w:t>
            </w:r>
            <w:r w:rsidRPr="00297ACF">
              <w:t>ifferences in equipment as per standard operating procedures</w:t>
            </w:r>
          </w:p>
        </w:tc>
      </w:tr>
      <w:tr w:rsidTr="002529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Select and use required personal protective equipment conforming to industry and OH&amp;S standards</w:t>
            </w:r>
          </w:p>
        </w:tc>
      </w:tr>
    </w:tbl>
    <w:p w:rsidR="0025290E" w:rsidP="00297ACF">
      <w:pPr>
        <w:pStyle w:val="BodyText"/>
      </w:pPr>
    </w:p>
    <w:p w:rsidR="0025290E" w:rsidP="00297ACF">
      <w:pPr>
        <w:pStyle w:val="BodyText"/>
      </w:pPr>
    </w:p>
    <w:p w:rsidR="00000000" w:rsidRPr="00297ACF" w:rsidP="00297ACF">
      <w:pPr>
        <w:pStyle w:val="Heading1"/>
      </w:pPr>
      <w:bookmarkStart w:id="10" w:name="O_246922"/>
      <w:bookmarkEnd w:id="10"/>
      <w:r w:rsidRPr="00297ACF">
        <w:t>Evidence Guide</w:t>
      </w:r>
    </w:p>
    <w:tbl>
      <w:tblPr>
        <w:tblW w:w="9499" w:type="dxa"/>
        <w:tblLayout w:type="fixed"/>
        <w:tblCellMar>
          <w:left w:w="62" w:type="dxa"/>
          <w:right w:w="62" w:type="dxa"/>
        </w:tblCellMar>
        <w:tblLook w:val="0000"/>
      </w:tblPr>
      <w:tblGrid>
        <w:gridCol w:w="3524"/>
        <w:gridCol w:w="5975"/>
      </w:tblGrid>
      <w:tr w:rsidTr="0025290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EVIDENCE GUIDE</w:t>
            </w:r>
          </w:p>
        </w:tc>
      </w:tr>
      <w:tr w:rsidTr="0025290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The evidence guide provides advice on assessment and must be read in conjunction with the performance criteria, required knowledge and skills, the range statement and the assessment guidelines for this Training Package.</w:t>
            </w:r>
          </w:p>
        </w:tc>
      </w:tr>
      <w:tr w:rsidTr="0025290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The evidence required to demonstrate competency in this unit must be relevant to and satisfy all of the requirements of the elements and performance criteria of th</w:t>
            </w:r>
            <w:r w:rsidRPr="00297ACF">
              <w:t>is unit and include demonstration of:</w:t>
            </w:r>
          </w:p>
          <w:p w:rsidR="00000000" w:rsidRPr="00297ACF" w:rsidP="00297ACF">
            <w:pPr>
              <w:pStyle w:val="ListBullet2"/>
            </w:pPr>
            <w:r w:rsidRPr="00297ACF">
              <w:t>maintaining a current knowledge of the international freight forwarding industry through appropriate continuous professional development activities</w:t>
            </w:r>
          </w:p>
          <w:p w:rsidR="00000000" w:rsidP="00297ACF">
            <w:pPr>
              <w:pStyle w:val="ListBullet2"/>
              <w:rPr>
                <w:lang w:val="en-NZ"/>
              </w:rPr>
            </w:pPr>
            <w:r w:rsidRPr="00297ACF">
              <w:t>interpreting and applying the required industry knowledge to the inte</w:t>
            </w:r>
            <w:r w:rsidRPr="00297ACF">
              <w:t>rnational freight forwarding role and functions</w:t>
            </w:r>
          </w:p>
        </w:tc>
      </w:tr>
      <w:tr w:rsidTr="0025290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Performance is demonstrated consistently over a period of time and in a suitable range of contexts</w:t>
            </w:r>
          </w:p>
          <w:p w:rsidR="00000000" w:rsidRPr="00297ACF" w:rsidP="00297ACF">
            <w:pPr>
              <w:pStyle w:val="ListBullet"/>
            </w:pPr>
            <w:r w:rsidRPr="00297ACF">
              <w:t>Resources for assessment include:</w:t>
            </w:r>
          </w:p>
          <w:p w:rsidR="00000000" w:rsidRPr="00297ACF" w:rsidP="00297ACF">
            <w:pPr>
              <w:pStyle w:val="ListBullet2"/>
            </w:pPr>
            <w:r w:rsidRPr="00297ACF">
              <w:t>a range of relevant exercises, case studies and/or other simulated practical and knowledge assessment, and/or</w:t>
            </w:r>
          </w:p>
          <w:p w:rsidR="00000000" w:rsidRPr="00297ACF" w:rsidP="00297ACF">
            <w:pPr>
              <w:pStyle w:val="ListBullet2"/>
            </w:pPr>
            <w:r w:rsidRPr="00297ACF">
              <w:t>access to an appropriate range of relevant operational situations in the workplace</w:t>
            </w:r>
          </w:p>
          <w:p w:rsidR="00000000" w:rsidRPr="00297ACF" w:rsidP="00297ACF">
            <w:pPr>
              <w:pStyle w:val="ListBullet"/>
            </w:pPr>
            <w:r w:rsidRPr="00297ACF">
              <w:t>In both real and simulated environments, access is required to:</w:t>
            </w:r>
          </w:p>
          <w:p w:rsidR="00000000" w:rsidRPr="00297ACF" w:rsidP="00297ACF">
            <w:pPr>
              <w:pStyle w:val="ListBullet2"/>
            </w:pPr>
            <w:r w:rsidRPr="00297ACF">
              <w:t>relevant and appropriate materials and equipment, and</w:t>
            </w:r>
          </w:p>
          <w:p w:rsidR="00000000" w:rsidP="00297ACF">
            <w:pPr>
              <w:pStyle w:val="ListBullet2"/>
              <w:rPr>
                <w:lang w:val="en-NZ"/>
              </w:rPr>
            </w:pPr>
            <w:r w:rsidRPr="00297ACF">
              <w:t>applicable documentation including workplace procedures, regulations, codes of practice and operation manuals</w:t>
            </w:r>
          </w:p>
        </w:tc>
      </w:tr>
      <w:tr w:rsidTr="0025290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 xml:space="preserve">Assessment of this unit must be undertaken by a registered training </w:t>
            </w:r>
            <w:r w:rsidRPr="00297ACF">
              <w:t>organisation</w:t>
            </w:r>
          </w:p>
          <w:p w:rsidR="00000000" w:rsidRPr="00297ACF" w:rsidP="00297ACF">
            <w:pPr>
              <w:pStyle w:val="ListBullet"/>
            </w:pPr>
            <w:r w:rsidRPr="00297ACF">
              <w:t>As a minimum, assessment of knowledge must be conducted through appropriate written/oral tests</w:t>
            </w:r>
          </w:p>
          <w:p w:rsidR="00000000" w:rsidRPr="00297ACF" w:rsidP="00297ACF">
            <w:pPr>
              <w:pStyle w:val="ListBullet"/>
            </w:pPr>
            <w:r w:rsidRPr="00297ACF">
              <w:t>Practical assessment must occur:</w:t>
            </w:r>
          </w:p>
          <w:p w:rsidR="00000000" w:rsidRPr="00297ACF" w:rsidP="00297ACF">
            <w:pPr>
              <w:pStyle w:val="ListBullet2"/>
            </w:pPr>
            <w:r w:rsidRPr="00297ACF">
              <w:t>through activities in an appropriately simulated environment at the registered training organisation, and/or</w:t>
            </w:r>
          </w:p>
          <w:p w:rsidR="00000000" w:rsidRPr="00297ACF" w:rsidP="00297ACF">
            <w:pPr>
              <w:pStyle w:val="ListBullet2"/>
            </w:pPr>
            <w:r w:rsidRPr="00297ACF">
              <w:t>in an appropriate range of situations in the workplace</w:t>
            </w:r>
          </w:p>
        </w:tc>
      </w:tr>
    </w:tbl>
    <w:p w:rsidR="0025290E" w:rsidP="00297ACF">
      <w:pPr>
        <w:pStyle w:val="BodyText"/>
      </w:pPr>
    </w:p>
    <w:p w:rsidR="0025290E" w:rsidP="00297ACF">
      <w:pPr>
        <w:pStyle w:val="BodyText"/>
      </w:pPr>
    </w:p>
    <w:p w:rsidR="00000000" w:rsidRPr="00297ACF" w:rsidP="00297ACF">
      <w:pPr>
        <w:pStyle w:val="Heading1"/>
      </w:pPr>
      <w:bookmarkStart w:id="11" w:name="O_254905"/>
      <w:bookmarkEnd w:id="11"/>
      <w:r w:rsidRPr="00297ACF">
        <w:t>Range Statement</w:t>
      </w:r>
    </w:p>
    <w:tbl>
      <w:tblPr>
        <w:tblW w:w="9640" w:type="dxa"/>
        <w:tblLayout w:type="fixed"/>
        <w:tblCellMar>
          <w:left w:w="62" w:type="dxa"/>
          <w:right w:w="62" w:type="dxa"/>
        </w:tblCellMar>
        <w:tblLook w:val="0000"/>
      </w:tblPr>
      <w:tblGrid>
        <w:gridCol w:w="3486"/>
        <w:gridCol w:w="6154"/>
      </w:tblGrid>
      <w:tr w:rsidTr="0025290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RANGE STATEMENT</w:t>
            </w:r>
            <w:r w:rsidRPr="00297ACF">
              <w:t xml:space="preserve"> </w:t>
            </w:r>
          </w:p>
        </w:tc>
      </w:tr>
      <w:tr w:rsidTr="0025290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 xml:space="preserve">The range statement relates to the unit of competency as a whole. It allows for different work environments and situations that may affect </w:t>
            </w:r>
            <w:r w:rsidRPr="00297ACF">
              <w:t>performance.</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International freight forwarding includes services related to:</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the importing of goods</w:t>
            </w:r>
          </w:p>
          <w:p w:rsidR="00000000" w:rsidRPr="00297ACF" w:rsidP="00297ACF">
            <w:pPr>
              <w:pStyle w:val="ListBullet"/>
            </w:pPr>
            <w:r w:rsidRPr="00297ACF">
              <w:t>the exporting of goods</w:t>
            </w:r>
          </w:p>
          <w:p w:rsidR="00000000" w:rsidP="00297ACF">
            <w:pPr>
              <w:pStyle w:val="ListBullet"/>
              <w:rPr>
                <w:lang w:val="en-NZ"/>
              </w:rPr>
            </w:pPr>
            <w:r w:rsidRPr="00297ACF">
              <w:t>the transiting of goods</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The role and functions of an international freight forwarder include:</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advising customers on and planning suitable modes of transport and the routing of international freight transport including booking space with carriers and making arrangements for pick up, carriage and delivery of the goods</w:t>
            </w:r>
          </w:p>
          <w:p w:rsidR="00000000" w:rsidRPr="00297ACF" w:rsidP="00297ACF">
            <w:pPr>
              <w:pStyle w:val="ListBullet"/>
            </w:pPr>
            <w:r w:rsidRPr="00297ACF">
              <w:t>applying an in-depth understandi</w:t>
            </w:r>
            <w:r w:rsidRPr="00297ACF">
              <w:t>ng of worldwide transport geography to international freight forwarding</w:t>
            </w:r>
          </w:p>
          <w:p w:rsidR="00000000" w:rsidRPr="00297ACF" w:rsidP="00297ACF">
            <w:pPr>
              <w:pStyle w:val="ListBullet"/>
            </w:pPr>
            <w:r w:rsidRPr="00297ACF">
              <w:t>liaising with a global network of related companies and agents and contacts in all major ports and cities on international freight forwarding matters</w:t>
            </w:r>
          </w:p>
          <w:p w:rsidR="00000000" w:rsidRPr="00297ACF" w:rsidP="00297ACF">
            <w:pPr>
              <w:pStyle w:val="ListBullet"/>
            </w:pPr>
            <w:r w:rsidRPr="00297ACF">
              <w:t>organising for the transport of sp</w:t>
            </w:r>
            <w:r w:rsidRPr="00297ACF">
              <w:t>ecial cargoes, special freight forwarding projects and dangerous goods</w:t>
            </w:r>
          </w:p>
          <w:p w:rsidR="00000000" w:rsidRPr="00297ACF" w:rsidP="00297ACF">
            <w:pPr>
              <w:pStyle w:val="ListBullet"/>
            </w:pPr>
            <w:r w:rsidRPr="00297ACF">
              <w:t>recognising, inspecting and following applicable regulatory requirements when any dangerous goods are offered for shipment</w:t>
            </w:r>
          </w:p>
          <w:p w:rsidR="00000000" w:rsidRPr="00297ACF" w:rsidP="00297ACF">
            <w:pPr>
              <w:pStyle w:val="ListBullet"/>
            </w:pPr>
            <w:r w:rsidRPr="00297ACF">
              <w:t>organising the consolidation of shipments</w:t>
            </w:r>
          </w:p>
          <w:p w:rsidR="00000000" w:rsidRPr="00297ACF" w:rsidP="00297ACF">
            <w:pPr>
              <w:pStyle w:val="ListBullet"/>
            </w:pPr>
            <w:r w:rsidRPr="00297ACF">
              <w:t>managing risk in int</w:t>
            </w:r>
            <w:r w:rsidRPr="00297ACF">
              <w:t>ernational freight forwarding and for international freight transport including finding alternative routing in the event of contingencies</w:t>
            </w:r>
          </w:p>
          <w:p w:rsidR="00000000" w:rsidRPr="00297ACF" w:rsidP="00297ACF">
            <w:pPr>
              <w:pStyle w:val="ListBullet"/>
            </w:pPr>
            <w:r w:rsidRPr="00297ACF">
              <w:t>assisting in the organisation of suitable insurance arrangements</w:t>
            </w:r>
          </w:p>
          <w:p w:rsidR="00000000" w:rsidRPr="00297ACF" w:rsidP="00297ACF">
            <w:pPr>
              <w:pStyle w:val="ListBullet"/>
            </w:pPr>
            <w:r w:rsidRPr="00297ACF">
              <w:t>managing the documentation requirements for internati</w:t>
            </w:r>
            <w:r w:rsidRPr="00297ACF">
              <w:t>onal freight and obtaining any unique certificates necessary to import and export goods</w:t>
            </w:r>
          </w:p>
          <w:p w:rsidR="00000000" w:rsidRPr="00297ACF" w:rsidP="00297ACF">
            <w:pPr>
              <w:pStyle w:val="ListBullet"/>
            </w:pPr>
            <w:r w:rsidRPr="00297ACF">
              <w:t>negotiating rates and contracts and ensuring that the sales contract negotiated between the international buyer and the seller is executed smoothly and efficiently</w:t>
            </w:r>
          </w:p>
          <w:p w:rsidR="00000000" w:rsidRPr="00297ACF" w:rsidP="00297ACF">
            <w:pPr>
              <w:pStyle w:val="ListBullet"/>
            </w:pPr>
            <w:r w:rsidRPr="00297ACF">
              <w:t>ensu</w:t>
            </w:r>
            <w:r w:rsidRPr="00297ACF">
              <w:t>ring maintenance of billings, and accounts</w:t>
            </w:r>
          </w:p>
          <w:p w:rsidR="00000000" w:rsidRPr="00297ACF" w:rsidP="00297ACF">
            <w:pPr>
              <w:pStyle w:val="ListBullet"/>
            </w:pPr>
            <w:r w:rsidRPr="00297ACF">
              <w:t>applying a knowledge of the legalities and liabilities of key parties involved in international freight transportation and complying with the ethical standards of international freight forwarding</w:t>
            </w:r>
          </w:p>
          <w:p w:rsidR="00000000" w:rsidRPr="00297ACF" w:rsidP="00297ACF">
            <w:pPr>
              <w:pStyle w:val="ListBullet"/>
            </w:pPr>
            <w:r w:rsidRPr="00297ACF">
              <w:t>completing all ca</w:t>
            </w:r>
            <w:r w:rsidRPr="00297ACF">
              <w:t>lculations required in international freight forwarding</w:t>
            </w:r>
          </w:p>
          <w:p w:rsidR="00000000" w:rsidRPr="00297ACF" w:rsidP="00297ACF">
            <w:pPr>
              <w:pStyle w:val="ListBullet"/>
            </w:pPr>
            <w:r w:rsidRPr="00297ACF">
              <w:t>advising on and organising for the packaging, packing, labelling, documenting, loading stowage and storage of international freight</w:t>
            </w:r>
          </w:p>
          <w:p w:rsidR="00000000" w:rsidRPr="00297ACF" w:rsidP="00297ACF">
            <w:pPr>
              <w:pStyle w:val="ListBullet"/>
            </w:pPr>
            <w:r w:rsidRPr="00297ACF">
              <w:t>assisting in the clearance and release of international freight from</w:t>
            </w:r>
            <w:r w:rsidRPr="00297ACF">
              <w:t xml:space="preserve"> customs or other detention</w:t>
            </w:r>
          </w:p>
          <w:p w:rsidR="00000000" w:rsidRPr="00297ACF" w:rsidP="00297ACF">
            <w:pPr>
              <w:pStyle w:val="ListBullet"/>
            </w:pPr>
            <w:r w:rsidRPr="00297ACF">
              <w:t>promoting and marketing the international freight forwarding business of the organisation concerned</w:t>
            </w:r>
          </w:p>
          <w:p w:rsidR="00000000" w:rsidRPr="00297ACF" w:rsidP="00297ACF">
            <w:pPr>
              <w:pStyle w:val="ListBullet"/>
            </w:pPr>
            <w:r w:rsidRPr="00297ACF">
              <w:t>tracking and tracing international freight shipments from door to door</w:t>
            </w:r>
          </w:p>
          <w:p w:rsidR="00000000" w:rsidRPr="00297ACF" w:rsidP="00297ACF">
            <w:pPr>
              <w:pStyle w:val="ListBullet"/>
            </w:pPr>
            <w:r w:rsidRPr="00297ACF">
              <w:t>providing quality customer service</w:t>
            </w:r>
          </w:p>
          <w:p w:rsidR="00000000" w:rsidP="00297ACF">
            <w:pPr>
              <w:pStyle w:val="ListBullet"/>
              <w:rPr>
                <w:lang w:val="en-NZ"/>
              </w:rPr>
            </w:pPr>
            <w:r w:rsidRPr="00297ACF">
              <w:t>communicating regularly with customers</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Knowledge of global transportation and freight forwarding geography includes:</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regulatory frameworks as they relate to the import and export of goods and related aspects of both international and domestic freight tran</w:t>
            </w:r>
            <w:r w:rsidRPr="00297ACF">
              <w:t>sport</w:t>
            </w:r>
          </w:p>
          <w:p w:rsidR="00000000" w:rsidRPr="00297ACF" w:rsidP="00297ACF">
            <w:pPr>
              <w:pStyle w:val="ListBullet"/>
            </w:pPr>
            <w:r w:rsidRPr="00297ACF">
              <w:t>regions, continents and the most important trading countries</w:t>
            </w:r>
          </w:p>
          <w:p w:rsidR="00000000" w:rsidRPr="00297ACF" w:rsidP="00297ACF">
            <w:pPr>
              <w:pStyle w:val="ListBullet"/>
            </w:pPr>
            <w:r w:rsidRPr="00297ACF">
              <w:t>the main flows of freight traffic world-wide, including sea, air, road, rail, inland waterways and multimodal transport</w:t>
            </w:r>
          </w:p>
          <w:p w:rsidR="00000000" w:rsidRPr="00297ACF" w:rsidP="00297ACF">
            <w:pPr>
              <w:pStyle w:val="ListBullet"/>
            </w:pPr>
            <w:r w:rsidRPr="00297ACF">
              <w:t>an understanding of key transport terminals, sea ports, airports etc.</w:t>
            </w:r>
          </w:p>
          <w:p w:rsidR="00000000" w:rsidRPr="00297ACF" w:rsidP="00297ACF">
            <w:pPr>
              <w:pStyle w:val="ListBullet"/>
            </w:pPr>
            <w:r w:rsidRPr="00297ACF">
              <w:t>physical and climatic conditions of international transport routes and destinations</w:t>
            </w:r>
          </w:p>
          <w:p w:rsidR="00000000" w:rsidRPr="00297ACF" w:rsidP="00297ACF">
            <w:pPr>
              <w:pStyle w:val="ListBullet"/>
            </w:pPr>
            <w:r w:rsidRPr="00297ACF">
              <w:t>times and time zones</w:t>
            </w:r>
          </w:p>
          <w:p w:rsidR="00000000" w:rsidRPr="00297ACF" w:rsidP="00297ACF">
            <w:pPr>
              <w:pStyle w:val="ListBullet"/>
            </w:pPr>
            <w:r w:rsidRPr="00297ACF">
              <w:t>geopolitical aspects of international freight transport</w:t>
            </w:r>
          </w:p>
          <w:p w:rsidR="00000000" w:rsidP="00297ACF">
            <w:pPr>
              <w:pStyle w:val="ListBullet"/>
              <w:rPr>
                <w:lang w:val="en-NZ"/>
              </w:rPr>
            </w:pPr>
            <w:r w:rsidRPr="00297ACF">
              <w:t>economic and trading situations and agreements</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Knowledge of global transportation and freight</w:t>
            </w:r>
            <w:r w:rsidRPr="00297ACF">
              <w:t xml:space="preserve"> forwarding geography covers regions such as:</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Australasia</w:t>
            </w:r>
          </w:p>
          <w:p w:rsidR="00000000" w:rsidRPr="00297ACF" w:rsidP="00297ACF">
            <w:pPr>
              <w:pStyle w:val="ListBullet"/>
            </w:pPr>
            <w:r w:rsidRPr="00297ACF">
              <w:t>Southeast Asia</w:t>
            </w:r>
          </w:p>
          <w:p w:rsidR="00000000" w:rsidRPr="00297ACF" w:rsidP="00297ACF">
            <w:pPr>
              <w:pStyle w:val="ListBullet"/>
            </w:pPr>
            <w:r w:rsidRPr="00297ACF">
              <w:t>South Pacific</w:t>
            </w:r>
          </w:p>
          <w:p w:rsidR="00000000" w:rsidRPr="00297ACF" w:rsidP="00297ACF">
            <w:pPr>
              <w:pStyle w:val="ListBullet"/>
            </w:pPr>
            <w:r w:rsidRPr="00297ACF">
              <w:t>North America</w:t>
            </w:r>
          </w:p>
          <w:p w:rsidR="00000000" w:rsidRPr="00297ACF" w:rsidP="00297ACF">
            <w:pPr>
              <w:pStyle w:val="ListBullet"/>
            </w:pPr>
            <w:r w:rsidRPr="00297ACF">
              <w:t>Central America/West Indies</w:t>
            </w:r>
          </w:p>
          <w:p w:rsidR="00000000" w:rsidRPr="00297ACF" w:rsidP="00297ACF">
            <w:pPr>
              <w:pStyle w:val="ListBullet"/>
            </w:pPr>
            <w:r w:rsidRPr="00297ACF">
              <w:t>South America</w:t>
            </w:r>
          </w:p>
          <w:p w:rsidR="00000000" w:rsidRPr="00297ACF" w:rsidP="00297ACF">
            <w:pPr>
              <w:pStyle w:val="ListBullet"/>
            </w:pPr>
            <w:r w:rsidRPr="00297ACF">
              <w:t>Europe (Northern and Mediterranean)</w:t>
            </w:r>
          </w:p>
          <w:p w:rsidR="00000000" w:rsidRPr="00297ACF" w:rsidP="00297ACF">
            <w:pPr>
              <w:pStyle w:val="ListBullet"/>
            </w:pPr>
            <w:r w:rsidRPr="00297ACF">
              <w:t>Central Asia</w:t>
            </w:r>
          </w:p>
          <w:p w:rsidR="00000000" w:rsidRPr="00297ACF" w:rsidP="00297ACF">
            <w:pPr>
              <w:pStyle w:val="ListBullet"/>
            </w:pPr>
            <w:r w:rsidRPr="00297ACF">
              <w:t>East Asia/Indian Sub-Continent</w:t>
            </w:r>
          </w:p>
          <w:p w:rsidR="00000000" w:rsidRPr="00297ACF" w:rsidP="00297ACF">
            <w:pPr>
              <w:pStyle w:val="ListBullet"/>
            </w:pPr>
            <w:r w:rsidRPr="00297ACF">
              <w:t>The Middle East</w:t>
            </w:r>
          </w:p>
          <w:p w:rsidR="00000000" w:rsidP="00297ACF">
            <w:pPr>
              <w:pStyle w:val="ListBullet"/>
              <w:rPr>
                <w:lang w:val="en-NZ"/>
              </w:rPr>
            </w:pPr>
            <w:r w:rsidRPr="00297ACF">
              <w:t>Africa</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freight forwarding protocols and procedures</w:t>
            </w:r>
          </w:p>
          <w:p w:rsidR="00000000" w:rsidRPr="00297ACF" w:rsidP="00297ACF">
            <w:pPr>
              <w:pStyle w:val="ListBullet"/>
            </w:pPr>
            <w:r w:rsidRPr="00297ACF">
              <w:t>compliance with relevant regulations</w:t>
            </w:r>
          </w:p>
          <w:p w:rsidR="00000000" w:rsidRPr="00297ACF" w:rsidP="00297ACF">
            <w:pPr>
              <w:pStyle w:val="ListBullet"/>
            </w:pPr>
            <w:r w:rsidRPr="00297ACF">
              <w:t>information and communication systems and equipment</w:t>
            </w:r>
          </w:p>
          <w:p w:rsidR="00000000" w:rsidRPr="00297ACF" w:rsidP="00297ACF">
            <w:pPr>
              <w:pStyle w:val="ListBullet"/>
            </w:pPr>
            <w:r w:rsidRPr="00297ACF">
              <w:t>workplace organisation</w:t>
            </w:r>
          </w:p>
          <w:p w:rsidR="00000000" w:rsidRPr="00297ACF" w:rsidP="00297ACF">
            <w:pPr>
              <w:pStyle w:val="ListBullet"/>
            </w:pPr>
            <w:r w:rsidRPr="00297ACF">
              <w:t>sales contracts</w:t>
            </w:r>
          </w:p>
          <w:p w:rsidR="00000000" w:rsidRPr="00297ACF" w:rsidP="00297ACF">
            <w:pPr>
              <w:pStyle w:val="ListBullet"/>
            </w:pPr>
            <w:r w:rsidRPr="00297ACF">
              <w:t>hours of operation</w:t>
            </w:r>
          </w:p>
          <w:p w:rsidR="00000000" w:rsidP="00297ACF">
            <w:pPr>
              <w:pStyle w:val="ListBullet"/>
              <w:rPr>
                <w:lang w:val="en-NZ"/>
              </w:rPr>
            </w:pPr>
            <w:r w:rsidRPr="00297ACF">
              <w:t>authorities and permits</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Param</w:t>
            </w:r>
            <w:r w:rsidRPr="00297ACF">
              <w:t>eters of freight forwarding services relevant to customer requirements may include:</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standard procedures for the international forwarding of freight</w:t>
            </w:r>
          </w:p>
          <w:p w:rsidR="00000000" w:rsidRPr="00297ACF" w:rsidP="00297ACF">
            <w:pPr>
              <w:pStyle w:val="ListBullet"/>
            </w:pPr>
            <w:r w:rsidRPr="00297ACF">
              <w:t>type of transport modes</w:t>
            </w:r>
          </w:p>
          <w:p w:rsidR="00000000" w:rsidRPr="00297ACF" w:rsidP="00297ACF">
            <w:pPr>
              <w:pStyle w:val="ListBullet"/>
            </w:pPr>
            <w:r w:rsidRPr="00297ACF">
              <w:t>various consignment methods</w:t>
            </w:r>
          </w:p>
          <w:p w:rsidR="00000000" w:rsidRPr="00297ACF" w:rsidP="00297ACF">
            <w:pPr>
              <w:pStyle w:val="ListBullet"/>
            </w:pPr>
            <w:r w:rsidRPr="00297ACF">
              <w:t>relevant regulations and legislative requirements</w:t>
            </w:r>
          </w:p>
          <w:p w:rsidR="00000000" w:rsidRPr="00297ACF" w:rsidP="00297ACF">
            <w:pPr>
              <w:pStyle w:val="ListBullet"/>
            </w:pPr>
            <w:r w:rsidRPr="00297ACF">
              <w:t>required import/export documentation and requirements</w:t>
            </w:r>
          </w:p>
          <w:p w:rsidR="00000000" w:rsidRPr="00297ACF" w:rsidP="00297ACF">
            <w:pPr>
              <w:pStyle w:val="ListBullet"/>
            </w:pPr>
            <w:r w:rsidRPr="00297ACF">
              <w:t>transport security requirements</w:t>
            </w:r>
          </w:p>
          <w:p w:rsidR="00000000" w:rsidRPr="00297ACF" w:rsidP="00297ACF">
            <w:pPr>
              <w:pStyle w:val="ListBullet"/>
            </w:pPr>
            <w:r w:rsidRPr="00297ACF">
              <w:t>insurance requirements</w:t>
            </w:r>
          </w:p>
          <w:p w:rsidR="00000000" w:rsidRPr="00297ACF" w:rsidP="00297ACF">
            <w:pPr>
              <w:pStyle w:val="ListBullet"/>
            </w:pPr>
            <w:r w:rsidRPr="00297ACF">
              <w:t>service costs</w:t>
            </w:r>
          </w:p>
          <w:p w:rsidR="00000000" w:rsidRPr="00297ACF" w:rsidP="00297ACF">
            <w:pPr>
              <w:pStyle w:val="ListBullet"/>
            </w:pPr>
            <w:r w:rsidRPr="00297ACF">
              <w:t>payment requirements and procedures</w:t>
            </w:r>
          </w:p>
          <w:p w:rsidR="00000000" w:rsidP="00297ACF">
            <w:pPr>
              <w:pStyle w:val="ListBullet"/>
              <w:rPr>
                <w:lang w:val="en-NZ"/>
              </w:rPr>
            </w:pPr>
            <w:r w:rsidRPr="00297ACF">
              <w:t>fiduciary and legal responsibilities of either party</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 xml:space="preserve">Sources of information required to perform </w:t>
            </w:r>
            <w:r w:rsidRPr="00297ACF">
              <w:t>international freight forwarding functions may include:</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websites of key international and Australian organisations such as FIATA, IMO, ICAO, IATA, CASA, AMSA, Australian Customs and Border Protection Service, AQIS, government agencies responsible for trans</w:t>
            </w:r>
            <w:r w:rsidRPr="00297ACF">
              <w:t>port security etc.</w:t>
            </w:r>
          </w:p>
          <w:p w:rsidR="00000000" w:rsidP="00297ACF">
            <w:pPr>
              <w:pStyle w:val="ListBullet"/>
              <w:rPr>
                <w:lang w:val="en-NZ"/>
              </w:rPr>
            </w:pPr>
            <w:r w:rsidRPr="00297ACF">
              <w:t>key reference publications such as Incoterms, FIATA forms and documents, ICC publications, and other manuals, texts and handbooks on freight forwarding, international trade and related topics etc.</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cus</w:t>
            </w:r>
            <w:r w:rsidRPr="00297ACF">
              <w:t>tomers</w:t>
            </w:r>
          </w:p>
          <w:p w:rsidR="00000000" w:rsidRPr="00297ACF" w:rsidP="00297ACF">
            <w:pPr>
              <w:pStyle w:val="ListBullet"/>
            </w:pPr>
            <w:r w:rsidRPr="00297ACF">
              <w:t>a global network of international and domestic agents, regulatory authorities, carriers, suppliers, and other freight forwarding contacts</w:t>
            </w:r>
          </w:p>
          <w:p w:rsidR="00000000" w:rsidRPr="00297ACF" w:rsidP="00297ACF">
            <w:pPr>
              <w:pStyle w:val="ListBullet"/>
            </w:pPr>
            <w:r w:rsidRPr="00297ACF">
              <w:t>other employees and supervisors</w:t>
            </w:r>
          </w:p>
          <w:p w:rsidR="00000000" w:rsidRPr="00297ACF" w:rsidP="00297ACF">
            <w:pPr>
              <w:pStyle w:val="ListBullet"/>
            </w:pPr>
            <w:r w:rsidRPr="00297ACF">
              <w:t>freight forwarding specialists in areas such as dangerous goods, special cargoe</w:t>
            </w:r>
            <w:r w:rsidRPr="00297ACF">
              <w:t>s etc.</w:t>
            </w:r>
          </w:p>
          <w:p w:rsidR="00000000" w:rsidRPr="00297ACF" w:rsidP="00297ACF">
            <w:pPr>
              <w:pStyle w:val="ListBullet"/>
            </w:pPr>
            <w:r w:rsidRPr="00297ACF">
              <w:t>management</w:t>
            </w:r>
          </w:p>
          <w:p w:rsidR="00000000" w:rsidP="00297ACF">
            <w:pPr>
              <w:pStyle w:val="ListBullet"/>
              <w:rPr>
                <w:lang w:val="en-NZ"/>
              </w:rPr>
            </w:pPr>
            <w:r w:rsidRPr="00297ACF">
              <w:t>other professional or technical staff</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company procedures</w:t>
            </w:r>
          </w:p>
          <w:p w:rsidR="00000000" w:rsidRPr="00297ACF" w:rsidP="00297ACF">
            <w:pPr>
              <w:pStyle w:val="ListBullet"/>
            </w:pPr>
            <w:r w:rsidRPr="00297ACF">
              <w:t>enterprise procedures</w:t>
            </w:r>
          </w:p>
          <w:p w:rsidR="00000000" w:rsidRPr="00297ACF" w:rsidP="00297ACF">
            <w:pPr>
              <w:pStyle w:val="ListBullet"/>
            </w:pPr>
            <w:r w:rsidRPr="00297ACF">
              <w:t>organisational procedures</w:t>
            </w:r>
          </w:p>
          <w:p w:rsidR="00000000" w:rsidP="00297ACF">
            <w:pPr>
              <w:pStyle w:val="ListBullet"/>
              <w:rPr>
                <w:lang w:val="en-NZ"/>
              </w:rPr>
            </w:pPr>
            <w:r w:rsidRPr="00297ACF">
              <w:t>established procedures</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face-to-face conversation</w:t>
            </w:r>
          </w:p>
          <w:p w:rsidR="00000000" w:rsidRPr="00297ACF" w:rsidP="00297ACF">
            <w:pPr>
              <w:pStyle w:val="ListBullet"/>
            </w:pPr>
            <w:r w:rsidRPr="00297ACF">
              <w:t>telephone including fixed, mobile and IP phones</w:t>
            </w:r>
          </w:p>
          <w:p w:rsidR="00000000" w:rsidRPr="00297ACF" w:rsidP="00297ACF">
            <w:pPr>
              <w:pStyle w:val="ListBullet"/>
            </w:pPr>
            <w:r w:rsidRPr="00297ACF">
              <w:t>fax</w:t>
            </w:r>
          </w:p>
          <w:p w:rsidR="00000000" w:rsidRPr="00297ACF" w:rsidP="00297ACF">
            <w:pPr>
              <w:pStyle w:val="ListBullet"/>
            </w:pPr>
            <w:r w:rsidRPr="00297ACF">
              <w:t>email</w:t>
            </w:r>
          </w:p>
          <w:p w:rsidR="00000000" w:rsidRPr="00297ACF" w:rsidP="00297ACF">
            <w:pPr>
              <w:pStyle w:val="ListBullet"/>
            </w:pPr>
            <w:r w:rsidRPr="00297ACF">
              <w:t>electronic data transfer of information (EDI)</w:t>
            </w:r>
          </w:p>
          <w:p w:rsidR="00000000" w:rsidP="00297ACF">
            <w:pPr>
              <w:pStyle w:val="ListBullet"/>
              <w:rPr>
                <w:lang w:val="en-NZ"/>
              </w:rPr>
            </w:pPr>
            <w:r w:rsidRPr="00297ACF">
              <w:t>mail</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Information/documents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Au</w:t>
            </w:r>
            <w:r w:rsidRPr="00297ACF">
              <w:t>stralian and international regulations and conventions relevant to the international transfer of freight</w:t>
            </w:r>
          </w:p>
          <w:p w:rsidR="00000000" w:rsidRPr="00297ACF" w:rsidP="00297ACF">
            <w:pPr>
              <w:pStyle w:val="ListBullet"/>
            </w:pPr>
            <w:r w:rsidRPr="00297ACF">
              <w:t>summaries and definitions of Incoterms and Combiterms</w:t>
            </w:r>
          </w:p>
          <w:p w:rsidR="00000000" w:rsidRPr="00297ACF" w:rsidP="00297ACF">
            <w:pPr>
              <w:pStyle w:val="ListBullet"/>
            </w:pPr>
            <w:r w:rsidRPr="00297ACF">
              <w:t>customers' instructions and transport requirements</w:t>
            </w:r>
          </w:p>
          <w:p w:rsidR="00000000" w:rsidRPr="00297ACF" w:rsidP="00297ACF">
            <w:pPr>
              <w:pStyle w:val="ListBullet"/>
            </w:pPr>
            <w:r w:rsidRPr="00297ACF">
              <w:t>workplace standard operating procedures and policies</w:t>
            </w:r>
          </w:p>
          <w:p w:rsidR="00000000" w:rsidRPr="00297ACF" w:rsidP="00297ACF">
            <w:pPr>
              <w:pStyle w:val="ListBullet"/>
            </w:pPr>
            <w:r w:rsidRPr="00297ACF">
              <w:t>operations manuals, job specifications and procedures and induction documentation</w:t>
            </w:r>
          </w:p>
          <w:p w:rsidR="00000000" w:rsidRPr="00297ACF" w:rsidP="00297ACF">
            <w:pPr>
              <w:pStyle w:val="ListBullet"/>
            </w:pPr>
            <w:r w:rsidRPr="00297ACF">
              <w:t>agents advice on available transport options, timetables, schedules and issues</w:t>
            </w:r>
          </w:p>
          <w:p w:rsidR="00000000" w:rsidRPr="00297ACF" w:rsidP="00297ACF">
            <w:pPr>
              <w:pStyle w:val="ListBullet"/>
            </w:pPr>
            <w:r w:rsidRPr="00297ACF">
              <w:t>standard FIATA forms and documentation suc</w:t>
            </w:r>
            <w:r w:rsidRPr="00297ACF">
              <w:t>h as:</w:t>
            </w:r>
          </w:p>
          <w:p w:rsidR="00000000" w:rsidRPr="00297ACF" w:rsidP="00297ACF">
            <w:pPr>
              <w:pStyle w:val="ListBullet2"/>
            </w:pPr>
            <w:r w:rsidRPr="00297ACF">
              <w:t>a Negotiable Multimodal Transport Bill of Lading (FB/L)</w:t>
            </w:r>
          </w:p>
          <w:p w:rsidR="00000000" w:rsidRPr="00297ACF" w:rsidP="00297ACF">
            <w:pPr>
              <w:pStyle w:val="ListBullet2"/>
            </w:pPr>
            <w:r w:rsidRPr="00297ACF">
              <w:t>a Non-negotiable Multimodal Transport Waybill (FWB)</w:t>
            </w:r>
          </w:p>
          <w:p w:rsidR="00000000" w:rsidRPr="00297ACF" w:rsidP="00297ACF">
            <w:pPr>
              <w:pStyle w:val="ListBullet2"/>
            </w:pPr>
            <w:r w:rsidRPr="00297ACF">
              <w:t>a Forwarders Certificate of Receipt (FCR)</w:t>
            </w:r>
          </w:p>
          <w:p w:rsidR="00000000" w:rsidRPr="00297ACF" w:rsidP="00297ACF">
            <w:pPr>
              <w:pStyle w:val="ListBullet2"/>
            </w:pPr>
            <w:r w:rsidRPr="00297ACF">
              <w:t>a Forwarders Certificate of Transport (FCT)</w:t>
            </w:r>
          </w:p>
          <w:p w:rsidR="00000000" w:rsidRPr="00297ACF" w:rsidP="00297ACF">
            <w:pPr>
              <w:pStyle w:val="ListBullet2"/>
            </w:pPr>
            <w:r w:rsidRPr="00297ACF">
              <w:t>a Forwarders Warehouse Receipt (FWR)</w:t>
            </w:r>
          </w:p>
          <w:p w:rsidR="00000000" w:rsidRPr="00297ACF" w:rsidP="00297ACF">
            <w:pPr>
              <w:pStyle w:val="ListBullet2"/>
            </w:pPr>
            <w:r w:rsidRPr="00297ACF">
              <w:t>a Forwarders Forwa</w:t>
            </w:r>
            <w:r w:rsidRPr="00297ACF">
              <w:t>rding Instructions (FFI)</w:t>
            </w:r>
          </w:p>
          <w:p w:rsidR="00000000" w:rsidRPr="00297ACF" w:rsidP="00297ACF">
            <w:pPr>
              <w:pStyle w:val="ListBullet2"/>
            </w:pPr>
            <w:r w:rsidRPr="00297ACF">
              <w:t>a Shippers Declaration for the Transport of Dangerous Goods (SDT)</w:t>
            </w:r>
          </w:p>
          <w:p w:rsidR="00000000" w:rsidRPr="00297ACF" w:rsidP="00297ACF">
            <w:pPr>
              <w:pStyle w:val="ListBullet2"/>
            </w:pPr>
            <w:r w:rsidRPr="00297ACF">
              <w:t>a Shippers Intermodal Weight Certification (SIWC)</w:t>
            </w:r>
          </w:p>
          <w:p w:rsidR="00000000" w:rsidRPr="00297ACF" w:rsidP="00297ACF">
            <w:pPr>
              <w:pStyle w:val="ListBullet2"/>
            </w:pPr>
            <w:r w:rsidRPr="00297ACF">
              <w:t>an Original Bill of Lading (OB/L)</w:t>
            </w:r>
          </w:p>
          <w:p w:rsidR="00000000" w:rsidRPr="00297ACF" w:rsidP="00297ACF">
            <w:pPr>
              <w:pStyle w:val="ListBullet2"/>
            </w:pPr>
            <w:r w:rsidRPr="00297ACF">
              <w:t>a Master Air Waybill (MAWB)</w:t>
            </w:r>
          </w:p>
          <w:p w:rsidR="00000000" w:rsidRPr="00297ACF" w:rsidP="00297ACF">
            <w:pPr>
              <w:pStyle w:val="ListBullet2"/>
            </w:pPr>
            <w:r w:rsidRPr="00297ACF">
              <w:t>a House Bill of Lading (HBL)</w:t>
            </w:r>
          </w:p>
          <w:p w:rsidR="00000000" w:rsidRPr="00297ACF" w:rsidP="00297ACF">
            <w:pPr>
              <w:pStyle w:val="ListBullet2"/>
            </w:pPr>
            <w:r w:rsidRPr="00297ACF">
              <w:t>a House Air Waybill (HAW</w:t>
            </w:r>
            <w:r w:rsidRPr="00297ACF">
              <w:t>B)</w:t>
            </w:r>
          </w:p>
          <w:p w:rsidR="00000000" w:rsidRPr="00297ACF" w:rsidP="00297ACF">
            <w:pPr>
              <w:pStyle w:val="ListBullet2"/>
            </w:pPr>
            <w:r w:rsidRPr="00297ACF">
              <w:t>Multimodal Transport Bill of Lading (MTB/L)</w:t>
            </w:r>
          </w:p>
          <w:p w:rsidR="00000000" w:rsidRPr="00297ACF" w:rsidP="00297ACF">
            <w:pPr>
              <w:pStyle w:val="ListBullet"/>
            </w:pPr>
            <w:r w:rsidRPr="00297ACF">
              <w:t>cargo manifests</w:t>
            </w:r>
          </w:p>
          <w:p w:rsidR="00000000" w:rsidRPr="00297ACF" w:rsidP="00297ACF">
            <w:pPr>
              <w:pStyle w:val="ListBullet"/>
            </w:pPr>
            <w:r w:rsidRPr="00297ACF">
              <w:t>pre-advice and pre-alert documents</w:t>
            </w:r>
          </w:p>
          <w:p w:rsidR="00000000" w:rsidRPr="00297ACF" w:rsidP="00297ACF">
            <w:pPr>
              <w:pStyle w:val="ListBullet"/>
            </w:pPr>
            <w:r w:rsidRPr="00297ACF">
              <w:t>operations manuals, job specifications and procedures and induction documentation</w:t>
            </w:r>
          </w:p>
          <w:p w:rsidR="00000000" w:rsidRPr="00297ACF" w:rsidP="00297ACF">
            <w:pPr>
              <w:pStyle w:val="ListBullet"/>
            </w:pPr>
            <w:r w:rsidRPr="00297ACF">
              <w:t>relevant Australian and international standards, criteria and certification requirements</w:t>
            </w:r>
          </w:p>
          <w:p w:rsidR="00000000" w:rsidRPr="00297ACF" w:rsidP="00297ACF">
            <w:pPr>
              <w:pStyle w:val="ListBullet"/>
            </w:pPr>
            <w:r w:rsidRPr="00297ACF">
              <w:t>data obtained through communications technology equipment and oral, aural or signed communications</w:t>
            </w:r>
          </w:p>
          <w:p w:rsidR="00000000" w:rsidRPr="00297ACF" w:rsidP="00297ACF">
            <w:pPr>
              <w:pStyle w:val="ListBullet"/>
            </w:pPr>
            <w:r w:rsidRPr="00297ACF">
              <w:t>freight forwarder company's quality assurance standards and procedur</w:t>
            </w:r>
            <w:r w:rsidRPr="00297ACF">
              <w:t>es</w:t>
            </w:r>
          </w:p>
          <w:p w:rsidR="00000000" w:rsidP="00297ACF">
            <w:pPr>
              <w:pStyle w:val="ListBullet"/>
              <w:rPr>
                <w:lang w:val="en-NZ"/>
              </w:rPr>
            </w:pPr>
            <w:r w:rsidRPr="00297ACF">
              <w:t>emergency procedures</w:t>
            </w:r>
          </w:p>
        </w:tc>
      </w:tr>
      <w:tr w:rsidTr="002529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97ACF" w:rsidP="00297ACF">
            <w:pPr>
              <w:pStyle w:val="ListBullet"/>
            </w:pPr>
            <w:r w:rsidRPr="00297ACF">
              <w:t>Australian and international regulations, conventions and codes of practice for the international forwarding of freight</w:t>
            </w:r>
          </w:p>
          <w:p w:rsidR="00000000" w:rsidRPr="00297ACF" w:rsidP="00297ACF">
            <w:pPr>
              <w:pStyle w:val="ListBullet"/>
            </w:pPr>
            <w:r w:rsidRPr="00297ACF">
              <w:t>relevant regulations for the import and export of cargo</w:t>
            </w:r>
          </w:p>
          <w:p w:rsidR="00000000" w:rsidRPr="00297ACF" w:rsidP="00297ACF">
            <w:pPr>
              <w:pStyle w:val="ListBullet"/>
            </w:pPr>
            <w:r w:rsidRPr="00297ACF">
              <w:t>Aus</w:t>
            </w:r>
            <w:r w:rsidRPr="00297ACF">
              <w:t>tralian and international standards and certification requirements</w:t>
            </w:r>
          </w:p>
          <w:p w:rsidR="00000000" w:rsidRPr="00297ACF" w:rsidP="00297ACF">
            <w:pPr>
              <w:pStyle w:val="ListBullet"/>
            </w:pPr>
            <w:r w:rsidRPr="00297ACF">
              <w:t>relevant regulations pertaining to international trading and financial transactions</w:t>
            </w:r>
          </w:p>
          <w:p w:rsidR="00000000" w:rsidRPr="00297ACF" w:rsidP="00297ACF">
            <w:pPr>
              <w:pStyle w:val="ListBullet"/>
            </w:pPr>
            <w:r w:rsidRPr="00297ACF">
              <w:t>relevant Australian and international environmental protection legislation</w:t>
            </w:r>
          </w:p>
        </w:tc>
      </w:tr>
    </w:tbl>
    <w:p w:rsidR="0025290E" w:rsidP="00297ACF">
      <w:pPr>
        <w:pStyle w:val="BodyText"/>
      </w:pPr>
    </w:p>
    <w:p w:rsidR="0025290E" w:rsidP="00297ACF">
      <w:pPr>
        <w:pStyle w:val="BodyText"/>
      </w:pPr>
    </w:p>
    <w:p w:rsidR="00000000" w:rsidRPr="00297ACF" w:rsidP="00297ACF">
      <w:pPr>
        <w:pStyle w:val="Heading1"/>
      </w:pPr>
      <w:bookmarkStart w:id="12" w:name="O_295918"/>
      <w:bookmarkEnd w:id="12"/>
      <w:r w:rsidRPr="00297ACF">
        <w:t>Unit Sector(s)</w:t>
      </w:r>
    </w:p>
    <w:p w:rsidR="00000000" w:rsidRPr="00297ACF" w:rsidP="00297ACF">
      <w:pPr>
        <w:pStyle w:val="BodyText"/>
      </w:pPr>
      <w:r w:rsidRPr="00297ACF">
        <w:t>Not Applicable</w:t>
      </w:r>
    </w:p>
    <w:p w:rsidR="00000000" w:rsidRPr="00297ACF" w:rsidP="00297ACF">
      <w:pPr>
        <w:pStyle w:val="AllowPageBreak"/>
      </w:pPr>
    </w:p>
    <w:p w:rsidR="00000000" w:rsidRPr="00297ACF" w:rsidP="00297ACF">
      <w:pPr>
        <w:pStyle w:val="Heading1"/>
      </w:pPr>
      <w:bookmarkStart w:id="13" w:name="O_223973"/>
      <w:bookmarkEnd w:id="13"/>
      <w:r w:rsidRPr="00297ACF">
        <w:t>Competency Field</w:t>
      </w:r>
    </w:p>
    <w:tbl>
      <w:tblPr>
        <w:tblW w:w="9640" w:type="dxa"/>
        <w:tblLayout w:type="fixed"/>
        <w:tblCellMar>
          <w:left w:w="62" w:type="dxa"/>
          <w:right w:w="62" w:type="dxa"/>
        </w:tblCellMar>
        <w:tblLook w:val="0000"/>
      </w:tblPr>
      <w:tblGrid>
        <w:gridCol w:w="2978"/>
        <w:gridCol w:w="6662"/>
      </w:tblGrid>
      <w:tr w:rsidTr="0025290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97ACF">
            <w:pPr>
              <w:pStyle w:val="BodyText"/>
              <w:rPr>
                <w:lang w:val="en-NZ"/>
              </w:rPr>
            </w:pPr>
            <w:r w:rsidRPr="00297ACF">
              <w:rPr>
                <w:rStyle w:val="SpecialBold"/>
              </w:rPr>
              <w:t>Competency Field</w:t>
            </w:r>
            <w:r w:rsidRPr="00297ACF">
              <w:t xml:space="preserve"> </w:t>
            </w:r>
          </w:p>
        </w:tc>
        <w:tc>
          <w:tcPr>
            <w:tcW w:w="6662" w:type="dxa"/>
            <w:tcBorders>
              <w:top w:val="nil"/>
              <w:left w:val="nil"/>
              <w:bottom w:val="nil"/>
              <w:right w:val="nil"/>
            </w:tcBorders>
            <w:tcMar>
              <w:top w:w="0" w:type="dxa"/>
              <w:left w:w="62" w:type="dxa"/>
              <w:bottom w:w="0" w:type="dxa"/>
              <w:right w:w="62" w:type="dxa"/>
            </w:tcMar>
          </w:tcPr>
          <w:p w:rsidR="00000000" w:rsidRPr="00297ACF" w:rsidP="00297ACF">
            <w:pPr>
              <w:pStyle w:val="BodyText"/>
            </w:pPr>
            <w:r w:rsidRPr="00297ACF">
              <w:t>L - Resource Management</w:t>
            </w:r>
          </w:p>
        </w:tc>
      </w:tr>
    </w:tbl>
    <w:p w:rsidR="0025290E" w:rsidP="00297ACF">
      <w:pPr>
        <w:pStyle w:val="BodyText"/>
      </w:pPr>
    </w:p>
    <w:p w:rsidR="0025290E" w:rsidP="00297ACF">
      <w:pPr>
        <w:pStyle w:val="BodyText"/>
      </w:pPr>
    </w:p>
    <w:p w:rsidR="00000000" w:rsidRPr="00297ACF" w:rsidP="00297ACF"/>
    <w:sectPr w:rsidSect="00297A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90E" w:rsidP="002529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0E" w:rsidP="00297A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290E" w:rsidP="00297A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5290E" w:rsidP="00297A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ACF" w:rsidRPr="0025290E" w:rsidP="002529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90E" w:rsidRPr="002D2AF8" w:rsidP="00297ACF">
    <w:pPr>
      <w:pStyle w:val="Header"/>
      <w:framePr w:wrap="around"/>
    </w:pPr>
    <w:r>
      <w:fldChar w:fldCharType="begin"/>
    </w:r>
    <w:r>
      <w:instrText xml:space="preserve"> TITLE   \* MERGEFORMAT </w:instrText>
    </w:r>
    <w:r>
      <w:fldChar w:fldCharType="separate"/>
    </w:r>
    <w:r>
      <w:t>TLIL5061A Apply knowledge of the international freight forwarding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5290E" w:rsidP="00297A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E25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E28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96C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A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ACF"/>
    <w:pPr>
      <w:spacing w:before="360" w:after="60"/>
      <w:outlineLvl w:val="0"/>
    </w:pPr>
    <w:rPr>
      <w:sz w:val="32"/>
    </w:rPr>
  </w:style>
  <w:style w:type="paragraph" w:styleId="Heading2">
    <w:name w:val="heading 2"/>
    <w:basedOn w:val="HeadingBase"/>
    <w:next w:val="BodyText"/>
    <w:link w:val="Heading2Char"/>
    <w:qFormat/>
    <w:rsid w:val="00297ACF"/>
    <w:pPr>
      <w:keepLines/>
      <w:spacing w:before="240" w:after="120"/>
      <w:outlineLvl w:val="1"/>
    </w:pPr>
    <w:rPr>
      <w:sz w:val="28"/>
      <w:szCs w:val="40"/>
    </w:rPr>
  </w:style>
  <w:style w:type="paragraph" w:styleId="Heading3">
    <w:name w:val="heading 3"/>
    <w:basedOn w:val="HeadingBase"/>
    <w:next w:val="BodyText"/>
    <w:link w:val="Heading3Char"/>
    <w:qFormat/>
    <w:rsid w:val="00297ACF"/>
    <w:pPr>
      <w:spacing w:before="180" w:after="120"/>
      <w:outlineLvl w:val="2"/>
    </w:pPr>
    <w:rPr>
      <w:spacing w:val="-10"/>
      <w:kern w:val="32"/>
    </w:rPr>
  </w:style>
  <w:style w:type="paragraph" w:styleId="Heading4">
    <w:name w:val="heading 4"/>
    <w:basedOn w:val="HeadingBase"/>
    <w:next w:val="BodyText"/>
    <w:link w:val="Heading4Char"/>
    <w:qFormat/>
    <w:rsid w:val="00297ACF"/>
    <w:pPr>
      <w:spacing w:before="160" w:after="120"/>
      <w:outlineLvl w:val="3"/>
    </w:pPr>
    <w:rPr>
      <w:sz w:val="22"/>
    </w:rPr>
  </w:style>
  <w:style w:type="paragraph" w:styleId="Heading5">
    <w:name w:val="heading 5"/>
    <w:basedOn w:val="HeadingBase"/>
    <w:next w:val="Normal"/>
    <w:link w:val="Heading5Char"/>
    <w:qFormat/>
    <w:rsid w:val="00297ACF"/>
    <w:pPr>
      <w:spacing w:before="80"/>
      <w:outlineLvl w:val="4"/>
    </w:pPr>
    <w:rPr>
      <w:color w:val="918585"/>
      <w:sz w:val="20"/>
    </w:rPr>
  </w:style>
  <w:style w:type="paragraph" w:styleId="Heading6">
    <w:name w:val="heading 6"/>
    <w:basedOn w:val="HeadingBase"/>
    <w:next w:val="Normal"/>
    <w:link w:val="Heading6Char"/>
    <w:qFormat/>
    <w:rsid w:val="00297ACF"/>
    <w:pPr>
      <w:spacing w:before="60"/>
      <w:outlineLvl w:val="5"/>
    </w:pPr>
    <w:rPr>
      <w:color w:val="918585"/>
      <w:sz w:val="20"/>
    </w:rPr>
  </w:style>
  <w:style w:type="paragraph" w:styleId="Heading7">
    <w:name w:val="heading 7"/>
    <w:basedOn w:val="Normal"/>
    <w:next w:val="Normal"/>
    <w:link w:val="Heading7Char"/>
    <w:qFormat/>
    <w:rsid w:val="00297ACF"/>
    <w:pPr>
      <w:ind w:left="720"/>
      <w:outlineLvl w:val="6"/>
    </w:pPr>
    <w:rPr>
      <w:i/>
    </w:rPr>
  </w:style>
  <w:style w:type="paragraph" w:styleId="Heading8">
    <w:name w:val="heading 8"/>
    <w:basedOn w:val="Normal"/>
    <w:next w:val="Normal"/>
    <w:link w:val="Heading8Char"/>
    <w:qFormat/>
    <w:rsid w:val="00297ACF"/>
    <w:pPr>
      <w:ind w:left="720"/>
      <w:outlineLvl w:val="7"/>
    </w:pPr>
    <w:rPr>
      <w:i/>
    </w:rPr>
  </w:style>
  <w:style w:type="paragraph" w:styleId="Heading9">
    <w:name w:val="heading 9"/>
    <w:basedOn w:val="Normal"/>
    <w:next w:val="Normal"/>
    <w:link w:val="Heading9Char"/>
    <w:qFormat/>
    <w:rsid w:val="00297ACF"/>
    <w:pPr>
      <w:ind w:left="720"/>
      <w:outlineLvl w:val="8"/>
    </w:pPr>
    <w:rPr>
      <w:i/>
    </w:rPr>
  </w:style>
  <w:style w:type="character" w:default="1" w:styleId="DefaultParagraphFont">
    <w:name w:val="Default Paragraph Font"/>
    <w:uiPriority w:val="1"/>
    <w:unhideWhenUsed/>
    <w:rsid w:val="00297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ACF"/>
  </w:style>
  <w:style w:type="character" w:customStyle="1" w:styleId="Heading1Char">
    <w:name w:val="Heading 1 Char"/>
    <w:basedOn w:val="DefaultParagraphFont"/>
    <w:link w:val="Heading1"/>
    <w:rsid w:val="00297ACF"/>
    <w:rPr>
      <w:rFonts w:ascii="Times New Roman" w:eastAsia="Times New Roman" w:hAnsi="Times New Roman" w:cs="Times New Roman"/>
      <w:b/>
      <w:sz w:val="32"/>
      <w:szCs w:val="20"/>
      <w:lang w:eastAsia="en-US"/>
    </w:rPr>
  </w:style>
  <w:style w:type="paragraph" w:styleId="BodyText">
    <w:name w:val="Body Text"/>
    <w:basedOn w:val="Normal"/>
    <w:link w:val="BodyTextChar"/>
    <w:rsid w:val="00297A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7ACF"/>
    <w:rPr>
      <w:rFonts w:ascii="Times New Roman" w:eastAsia="Times New Roman" w:hAnsi="Times New Roman" w:cs="Times New Roman"/>
      <w:sz w:val="24"/>
      <w:lang w:eastAsia="en-US"/>
    </w:rPr>
  </w:style>
  <w:style w:type="paragraph" w:styleId="Footer">
    <w:name w:val="footer"/>
    <w:basedOn w:val="Normal"/>
    <w:link w:val="FooterChar"/>
    <w:rsid w:val="00297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ACF"/>
    <w:rPr>
      <w:rFonts w:ascii="Times New Roman" w:eastAsia="Times New Roman" w:hAnsi="Times New Roman" w:cs="Times New Roman"/>
      <w:sz w:val="16"/>
      <w:lang w:eastAsia="en-US"/>
    </w:rPr>
  </w:style>
  <w:style w:type="paragraph" w:styleId="List">
    <w:name w:val="List"/>
    <w:basedOn w:val="BodyText"/>
    <w:next w:val="BodyText"/>
    <w:rsid w:val="00297ACF"/>
    <w:pPr>
      <w:tabs>
        <w:tab w:val="left" w:pos="340"/>
      </w:tabs>
      <w:spacing w:before="60" w:after="60"/>
      <w:ind w:left="340" w:hanging="340"/>
    </w:pPr>
  </w:style>
  <w:style w:type="paragraph" w:styleId="ListBullet">
    <w:name w:val="List Bullet"/>
    <w:basedOn w:val="List"/>
    <w:rsid w:val="00297ACF"/>
    <w:pPr>
      <w:numPr>
        <w:numId w:val="13"/>
      </w:numPr>
      <w:tabs>
        <w:tab w:val="clear" w:pos="340"/>
      </w:tabs>
      <w:spacing w:before="40" w:after="40"/>
    </w:pPr>
  </w:style>
  <w:style w:type="character" w:customStyle="1" w:styleId="SpecialBold">
    <w:name w:val="Special Bold"/>
    <w:basedOn w:val="DefaultParagraphFont"/>
    <w:rsid w:val="00297ACF"/>
    <w:rPr>
      <w:b/>
      <w:spacing w:val="0"/>
    </w:rPr>
  </w:style>
  <w:style w:type="paragraph" w:styleId="ListBullet2">
    <w:name w:val="List Bullet 2"/>
    <w:basedOn w:val="List2"/>
    <w:rsid w:val="00297ACF"/>
    <w:pPr>
      <w:numPr>
        <w:numId w:val="14"/>
      </w:numPr>
      <w:tabs>
        <w:tab w:val="clear" w:pos="680"/>
      </w:tabs>
    </w:pPr>
  </w:style>
  <w:style w:type="paragraph" w:customStyle="1" w:styleId="SuperHeading">
    <w:name w:val="SuperHeading"/>
    <w:basedOn w:val="Normal"/>
    <w:rsid w:val="00297ACF"/>
    <w:pPr>
      <w:spacing w:before="240" w:after="120"/>
      <w:outlineLvl w:val="0"/>
    </w:pPr>
    <w:rPr>
      <w:rFonts w:ascii="Times New Roman" w:hAnsi="Times New Roman"/>
      <w:b/>
      <w:sz w:val="28"/>
    </w:rPr>
  </w:style>
  <w:style w:type="paragraph" w:customStyle="1" w:styleId="AllowPageBreak">
    <w:name w:val="AllowPageBreak"/>
    <w:rsid w:val="00297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7A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A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A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A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A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ACF"/>
    <w:rPr>
      <w:rFonts w:ascii="Courier New" w:eastAsia="Times New Roman" w:hAnsi="Courier New" w:cs="Times New Roman"/>
      <w:i/>
      <w:szCs w:val="20"/>
      <w:lang w:eastAsia="en-US"/>
    </w:rPr>
  </w:style>
  <w:style w:type="paragraph" w:customStyle="1" w:styleId="HeadingBase">
    <w:name w:val="Heading Base"/>
    <w:rsid w:val="00297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ACF"/>
    <w:pPr>
      <w:tabs>
        <w:tab w:val="right" w:leader="dot" w:pos="9072"/>
      </w:tabs>
      <w:ind w:left="567"/>
    </w:pPr>
    <w:rPr>
      <w:szCs w:val="22"/>
    </w:rPr>
  </w:style>
  <w:style w:type="paragraph" w:customStyle="1" w:styleId="TOCBase">
    <w:name w:val="TOC Base"/>
    <w:rsid w:val="00297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ACF"/>
    <w:pPr>
      <w:tabs>
        <w:tab w:val="right" w:leader="dot" w:pos="9072"/>
      </w:tabs>
      <w:spacing w:before="40" w:after="40"/>
      <w:ind w:left="284"/>
    </w:pPr>
    <w:rPr>
      <w:rFonts w:ascii="Times New Roman" w:hAnsi="Times New Roman"/>
    </w:rPr>
  </w:style>
  <w:style w:type="paragraph" w:styleId="TOC1">
    <w:name w:val="toc 1"/>
    <w:basedOn w:val="TOCBase"/>
    <w:next w:val="Normal"/>
    <w:rsid w:val="00297A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7ACF"/>
    <w:pPr>
      <w:spacing w:before="5040"/>
      <w:jc w:val="center"/>
    </w:pPr>
    <w:rPr>
      <w:sz w:val="48"/>
      <w:szCs w:val="72"/>
      <w:lang w:val="en-US"/>
    </w:rPr>
  </w:style>
  <w:style w:type="character" w:customStyle="1" w:styleId="TitleChar">
    <w:name w:val="Title Char"/>
    <w:basedOn w:val="DefaultParagraphFont"/>
    <w:link w:val="Title"/>
    <w:rsid w:val="00297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ACF"/>
    <w:pPr>
      <w:tabs>
        <w:tab w:val="left" w:pos="3600"/>
        <w:tab w:val="left" w:pos="3958"/>
      </w:tabs>
    </w:pPr>
  </w:style>
  <w:style w:type="paragraph" w:customStyle="1" w:styleId="Note">
    <w:name w:val="Note"/>
    <w:basedOn w:val="BodyText"/>
    <w:rsid w:val="00297A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ACF"/>
    <w:pPr>
      <w:framePr w:wrap="auto" w:hAnchor="text" w:y="6049"/>
    </w:pPr>
    <w:rPr>
      <w:color w:val="000000"/>
      <w:sz w:val="40"/>
    </w:rPr>
  </w:style>
  <w:style w:type="paragraph" w:customStyle="1" w:styleId="TOCTitle">
    <w:name w:val="TOCTitle"/>
    <w:basedOn w:val="Heading1"/>
    <w:rsid w:val="00297ACF"/>
    <w:pPr>
      <w:spacing w:after="240"/>
      <w:jc w:val="center"/>
      <w:outlineLvl w:val="9"/>
    </w:pPr>
    <w:rPr>
      <w:caps/>
    </w:rPr>
  </w:style>
  <w:style w:type="paragraph" w:customStyle="1" w:styleId="Version">
    <w:name w:val="Version"/>
    <w:rsid w:val="00297A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ACF"/>
    <w:pPr>
      <w:keepNext w:val="0"/>
      <w:tabs>
        <w:tab w:val="right" w:pos="4176"/>
      </w:tabs>
      <w:ind w:left="198" w:hanging="198"/>
    </w:pPr>
    <w:rPr>
      <w:rFonts w:ascii="Garamond" w:hAnsi="Garamond"/>
    </w:rPr>
  </w:style>
  <w:style w:type="paragraph" w:styleId="IndexHeading">
    <w:name w:val="index heading"/>
    <w:basedOn w:val="Normal"/>
    <w:next w:val="Index1"/>
    <w:semiHidden/>
    <w:rsid w:val="00297ACF"/>
    <w:pPr>
      <w:spacing w:before="120" w:after="120"/>
    </w:pPr>
    <w:rPr>
      <w:rFonts w:ascii="Arial" w:hAnsi="Arial"/>
      <w:b/>
      <w:color w:val="918585"/>
      <w:sz w:val="24"/>
    </w:rPr>
  </w:style>
  <w:style w:type="paragraph" w:styleId="Header">
    <w:name w:val="header"/>
    <w:basedOn w:val="Normal"/>
    <w:link w:val="HeaderChar"/>
    <w:rsid w:val="00297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ACF"/>
    <w:rPr>
      <w:rFonts w:ascii="Times New Roman" w:eastAsia="Times New Roman" w:hAnsi="Times New Roman" w:cs="Times New Roman"/>
      <w:sz w:val="16"/>
      <w:szCs w:val="20"/>
      <w:lang w:val="en-GB" w:eastAsia="en-US"/>
    </w:rPr>
  </w:style>
  <w:style w:type="paragraph" w:customStyle="1" w:styleId="Chapter">
    <w:name w:val="Chapter"/>
    <w:basedOn w:val="Normal"/>
    <w:rsid w:val="00297ACF"/>
    <w:pPr>
      <w:spacing w:before="240"/>
    </w:pPr>
    <w:rPr>
      <w:rFonts w:ascii="Times New Roman" w:hAnsi="Times New Roman"/>
      <w:smallCaps/>
      <w:spacing w:val="80"/>
      <w:sz w:val="28"/>
    </w:rPr>
  </w:style>
  <w:style w:type="paragraph" w:customStyle="1" w:styleId="InChapter">
    <w:name w:val="InChapter"/>
    <w:basedOn w:val="Heading3"/>
    <w:rsid w:val="00297ACF"/>
    <w:pPr>
      <w:spacing w:after="240"/>
      <w:outlineLvl w:val="9"/>
    </w:pPr>
    <w:rPr>
      <w:noProof/>
    </w:rPr>
  </w:style>
  <w:style w:type="paragraph" w:styleId="Index2">
    <w:name w:val="index 2"/>
    <w:basedOn w:val="Normal"/>
    <w:next w:val="Normal"/>
    <w:semiHidden/>
    <w:rsid w:val="00297ACF"/>
    <w:pPr>
      <w:tabs>
        <w:tab w:val="right" w:pos="4176"/>
      </w:tabs>
      <w:ind w:left="568" w:hanging="284"/>
    </w:pPr>
    <w:rPr>
      <w:rFonts w:ascii="Garamond" w:hAnsi="Garamond"/>
    </w:rPr>
  </w:style>
  <w:style w:type="paragraph" w:customStyle="1" w:styleId="Byline">
    <w:name w:val="Byline"/>
    <w:rsid w:val="00297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ACF"/>
    <w:pPr>
      <w:tabs>
        <w:tab w:val="clear" w:pos="3600"/>
        <w:tab w:val="clear" w:pos="3958"/>
      </w:tabs>
      <w:jc w:val="right"/>
    </w:pPr>
  </w:style>
  <w:style w:type="character" w:styleId="Emphasis">
    <w:name w:val="Emphasis"/>
    <w:basedOn w:val="DefaultParagraphFont"/>
    <w:qFormat/>
    <w:rsid w:val="00297ACF"/>
    <w:rPr>
      <w:i/>
    </w:rPr>
  </w:style>
  <w:style w:type="paragraph" w:styleId="Caption">
    <w:name w:val="caption"/>
    <w:basedOn w:val="BodyText"/>
    <w:next w:val="Normal"/>
    <w:qFormat/>
    <w:rsid w:val="00297ACF"/>
    <w:pPr>
      <w:framePr w:w="2268" w:hSpace="181" w:vSpace="181" w:wrap="around" w:vAnchor="text" w:hAnchor="page" w:x="1135" w:y="285" w:anchorLock="1"/>
    </w:pPr>
    <w:rPr>
      <w:i/>
    </w:rPr>
  </w:style>
  <w:style w:type="paragraph" w:customStyle="1" w:styleId="MiniTOCTitle">
    <w:name w:val="MiniTOCTitle"/>
    <w:basedOn w:val="Heading4"/>
    <w:rsid w:val="00297ACF"/>
    <w:pPr>
      <w:spacing w:before="240"/>
      <w:outlineLvl w:val="9"/>
    </w:pPr>
    <w:rPr>
      <w:noProof/>
      <w:sz w:val="24"/>
    </w:rPr>
  </w:style>
  <w:style w:type="paragraph" w:customStyle="1" w:styleId="MiniTOCItem">
    <w:name w:val="MiniTOCItem"/>
    <w:basedOn w:val="ListBullet"/>
    <w:rsid w:val="00297ACF"/>
    <w:pPr>
      <w:numPr>
        <w:numId w:val="0"/>
      </w:numPr>
      <w:tabs>
        <w:tab w:val="right" w:leader="dot" w:pos="6521"/>
      </w:tabs>
      <w:spacing w:before="0" w:after="0"/>
    </w:pPr>
  </w:style>
  <w:style w:type="paragraph" w:customStyle="1" w:styleId="TOFTitle">
    <w:name w:val="TOFTitle"/>
    <w:basedOn w:val="TOCTitle"/>
    <w:rsid w:val="00297ACF"/>
  </w:style>
  <w:style w:type="paragraph" w:styleId="TableofFigures">
    <w:name w:val="table of figures"/>
    <w:basedOn w:val="Normal"/>
    <w:next w:val="Normal"/>
    <w:semiHidden/>
    <w:rsid w:val="00297ACF"/>
    <w:pPr>
      <w:tabs>
        <w:tab w:val="right" w:leader="dot" w:pos="9072"/>
      </w:tabs>
      <w:ind w:left="970" w:hanging="403"/>
    </w:pPr>
    <w:rPr>
      <w:rFonts w:ascii="Times New Roman" w:hAnsi="Times New Roman"/>
      <w:b/>
    </w:rPr>
  </w:style>
  <w:style w:type="paragraph" w:styleId="ListNumber">
    <w:name w:val="List Number"/>
    <w:basedOn w:val="List"/>
    <w:rsid w:val="00297ACF"/>
    <w:pPr>
      <w:numPr>
        <w:numId w:val="11"/>
      </w:numPr>
    </w:pPr>
  </w:style>
  <w:style w:type="character" w:customStyle="1" w:styleId="WingdingSymbols">
    <w:name w:val="Wingding Symbols"/>
    <w:rsid w:val="00297ACF"/>
    <w:rPr>
      <w:rFonts w:ascii="Wingdings" w:hAnsi="Wingdings"/>
    </w:rPr>
  </w:style>
  <w:style w:type="paragraph" w:customStyle="1" w:styleId="TableHeading">
    <w:name w:val="Table Heading"/>
    <w:basedOn w:val="HeadingBase"/>
    <w:rsid w:val="00297ACF"/>
    <w:pPr>
      <w:keepLines/>
      <w:pBdr>
        <w:bottom w:val="single" w:sz="6" w:space="1" w:color="918585"/>
      </w:pBdr>
      <w:spacing w:before="240"/>
    </w:pPr>
  </w:style>
  <w:style w:type="character" w:customStyle="1" w:styleId="HotSpot">
    <w:name w:val="HotSpot"/>
    <w:rsid w:val="00297ACF"/>
    <w:rPr>
      <w:color w:val="0033CC"/>
      <w:u w:val="none"/>
    </w:rPr>
  </w:style>
  <w:style w:type="paragraph" w:customStyle="1" w:styleId="BodyTextRight">
    <w:name w:val="Body Text Right"/>
    <w:basedOn w:val="BodyText"/>
    <w:rsid w:val="00297ACF"/>
    <w:pPr>
      <w:spacing w:before="0" w:after="0"/>
      <w:jc w:val="right"/>
    </w:pPr>
  </w:style>
  <w:style w:type="paragraph" w:styleId="Index3">
    <w:name w:val="index 3"/>
    <w:basedOn w:val="ListNumber2"/>
    <w:next w:val="Normal"/>
    <w:semiHidden/>
    <w:rsid w:val="00297ACF"/>
    <w:pPr>
      <w:numPr>
        <w:numId w:val="0"/>
      </w:numPr>
      <w:tabs>
        <w:tab w:val="right" w:leader="dot" w:pos="4176"/>
      </w:tabs>
    </w:pPr>
  </w:style>
  <w:style w:type="paragraph" w:styleId="ListNumber2">
    <w:name w:val="List Number 2"/>
    <w:basedOn w:val="List2"/>
    <w:rsid w:val="00297ACF"/>
    <w:pPr>
      <w:numPr>
        <w:numId w:val="10"/>
      </w:numPr>
      <w:tabs>
        <w:tab w:val="clear" w:pos="1060"/>
      </w:tabs>
    </w:pPr>
  </w:style>
  <w:style w:type="paragraph" w:customStyle="1" w:styleId="MarginNote">
    <w:name w:val="Margin Note"/>
    <w:basedOn w:val="BodyText"/>
    <w:rsid w:val="00297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A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ACF"/>
    <w:rPr>
      <w:sz w:val="32"/>
    </w:rPr>
  </w:style>
  <w:style w:type="paragraph" w:customStyle="1" w:styleId="HeadingProcedure">
    <w:name w:val="Heading Procedure"/>
    <w:basedOn w:val="HeadingBase"/>
    <w:next w:val="Normal"/>
    <w:rsid w:val="00297ACF"/>
    <w:pPr>
      <w:tabs>
        <w:tab w:val="left" w:pos="0"/>
      </w:tabs>
      <w:spacing w:before="120" w:after="60"/>
    </w:pPr>
    <w:rPr>
      <w:i/>
      <w:color w:val="918585"/>
      <w:sz w:val="22"/>
    </w:rPr>
  </w:style>
  <w:style w:type="paragraph" w:customStyle="1" w:styleId="TableBodyText">
    <w:name w:val="Table Body Text"/>
    <w:basedOn w:val="BodyText"/>
    <w:rsid w:val="00297ACF"/>
    <w:pPr>
      <w:spacing w:before="60" w:after="60"/>
    </w:pPr>
  </w:style>
  <w:style w:type="paragraph" w:styleId="ListContinue">
    <w:name w:val="List Continue"/>
    <w:basedOn w:val="List"/>
    <w:rsid w:val="00297ACF"/>
    <w:pPr>
      <w:ind w:firstLine="0"/>
    </w:pPr>
  </w:style>
  <w:style w:type="paragraph" w:customStyle="1" w:styleId="ListNote">
    <w:name w:val="List Note"/>
    <w:basedOn w:val="List"/>
    <w:rsid w:val="00297ACF"/>
    <w:pPr>
      <w:pBdr>
        <w:top w:val="single" w:sz="6" w:space="2" w:color="918585"/>
        <w:bottom w:val="single" w:sz="6" w:space="2" w:color="918585"/>
      </w:pBdr>
      <w:tabs>
        <w:tab w:val="left" w:pos="1021"/>
      </w:tabs>
      <w:ind w:firstLine="0"/>
    </w:pPr>
  </w:style>
  <w:style w:type="paragraph" w:customStyle="1" w:styleId="Warning">
    <w:name w:val="Warning"/>
    <w:basedOn w:val="BodyText"/>
    <w:rsid w:val="00297ACF"/>
    <w:pPr>
      <w:shd w:val="clear" w:color="auto" w:fill="D9D9D9"/>
      <w:tabs>
        <w:tab w:val="left" w:pos="992"/>
      </w:tabs>
      <w:ind w:left="119" w:right="119"/>
    </w:pPr>
    <w:rPr>
      <w:sz w:val="20"/>
    </w:rPr>
  </w:style>
  <w:style w:type="paragraph" w:customStyle="1" w:styleId="MarginIcons">
    <w:name w:val="Margin Icons"/>
    <w:basedOn w:val="BodyText"/>
    <w:rsid w:val="00297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ACF"/>
    <w:rPr>
      <w:rFonts w:ascii="Courier New" w:hAnsi="Courier New"/>
    </w:rPr>
  </w:style>
  <w:style w:type="paragraph" w:customStyle="1" w:styleId="NoteBullet">
    <w:name w:val="Note Bullet"/>
    <w:basedOn w:val="Note"/>
    <w:rsid w:val="00297ACF"/>
    <w:pPr>
      <w:tabs>
        <w:tab w:val="clear" w:pos="680"/>
      </w:tabs>
      <w:spacing w:before="60" w:after="60"/>
    </w:pPr>
  </w:style>
  <w:style w:type="paragraph" w:customStyle="1" w:styleId="SubHeading2">
    <w:name w:val="SubHeading2"/>
    <w:basedOn w:val="HeadingBase"/>
    <w:rsid w:val="00297ACF"/>
    <w:pPr>
      <w:spacing w:before="240" w:after="60"/>
    </w:pPr>
    <w:rPr>
      <w:sz w:val="20"/>
    </w:rPr>
  </w:style>
  <w:style w:type="paragraph" w:customStyle="1" w:styleId="SubHeading1">
    <w:name w:val="SubHeading1"/>
    <w:basedOn w:val="HeadingBase"/>
    <w:rsid w:val="00297ACF"/>
    <w:pPr>
      <w:spacing w:before="240" w:after="60"/>
    </w:pPr>
    <w:rPr>
      <w:color w:val="918585"/>
      <w:sz w:val="22"/>
    </w:rPr>
  </w:style>
  <w:style w:type="paragraph" w:customStyle="1" w:styleId="SideHeading">
    <w:name w:val="Side Heading"/>
    <w:basedOn w:val="HeadingBase"/>
    <w:rsid w:val="00297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ACF"/>
    <w:pPr>
      <w:numPr>
        <w:numId w:val="12"/>
      </w:numPr>
    </w:pPr>
  </w:style>
  <w:style w:type="paragraph" w:styleId="PlainText">
    <w:name w:val="Plain Text"/>
    <w:basedOn w:val="Normal"/>
    <w:link w:val="PlainTextChar"/>
    <w:rsid w:val="00297ACF"/>
    <w:rPr>
      <w:sz w:val="20"/>
    </w:rPr>
  </w:style>
  <w:style w:type="character" w:customStyle="1" w:styleId="PlainTextChar">
    <w:name w:val="Plain Text Char"/>
    <w:basedOn w:val="DefaultParagraphFont"/>
    <w:link w:val="PlainText"/>
    <w:rsid w:val="00297ACF"/>
    <w:rPr>
      <w:rFonts w:ascii="Courier New" w:eastAsia="Times New Roman" w:hAnsi="Courier New" w:cs="Times New Roman"/>
      <w:sz w:val="20"/>
      <w:szCs w:val="20"/>
      <w:lang w:eastAsia="en-US"/>
    </w:rPr>
  </w:style>
  <w:style w:type="character" w:customStyle="1" w:styleId="MenuOption">
    <w:name w:val="Menu Option"/>
    <w:basedOn w:val="DefaultParagraphFont"/>
    <w:rsid w:val="00297ACF"/>
    <w:rPr>
      <w:b/>
      <w:smallCaps/>
    </w:rPr>
  </w:style>
  <w:style w:type="paragraph" w:customStyle="1" w:styleId="TableListNumber">
    <w:name w:val="Table List Number"/>
    <w:basedOn w:val="ListNumber"/>
    <w:rsid w:val="00297ACF"/>
    <w:pPr>
      <w:numPr>
        <w:numId w:val="0"/>
      </w:numPr>
    </w:pPr>
  </w:style>
  <w:style w:type="paragraph" w:styleId="TOC4">
    <w:name w:val="toc 4"/>
    <w:basedOn w:val="TOCBase"/>
    <w:next w:val="Normal"/>
    <w:semiHidden/>
    <w:rsid w:val="00297ACF"/>
    <w:pPr>
      <w:tabs>
        <w:tab w:val="right" w:leader="dot" w:pos="9071"/>
      </w:tabs>
      <w:ind w:left="1701"/>
    </w:pPr>
  </w:style>
  <w:style w:type="paragraph" w:customStyle="1" w:styleId="ListAlpha">
    <w:name w:val="List Alpha"/>
    <w:basedOn w:val="List"/>
    <w:rsid w:val="00297ACF"/>
    <w:pPr>
      <w:numPr>
        <w:numId w:val="9"/>
      </w:numPr>
    </w:pPr>
  </w:style>
  <w:style w:type="paragraph" w:customStyle="1" w:styleId="ListAlpha2">
    <w:name w:val="List Alpha 2"/>
    <w:basedOn w:val="List2"/>
    <w:rsid w:val="00297ACF"/>
    <w:pPr>
      <w:numPr>
        <w:numId w:val="8"/>
      </w:numPr>
    </w:pPr>
  </w:style>
  <w:style w:type="paragraph" w:styleId="List2">
    <w:name w:val="List 2"/>
    <w:basedOn w:val="BodyText"/>
    <w:rsid w:val="00297ACF"/>
    <w:pPr>
      <w:tabs>
        <w:tab w:val="left" w:pos="680"/>
      </w:tabs>
      <w:spacing w:before="60" w:after="60"/>
      <w:ind w:left="680" w:hanging="340"/>
    </w:pPr>
  </w:style>
  <w:style w:type="paragraph" w:styleId="List3">
    <w:name w:val="List 3"/>
    <w:basedOn w:val="BodyText"/>
    <w:rsid w:val="00297ACF"/>
    <w:pPr>
      <w:tabs>
        <w:tab w:val="left" w:pos="1021"/>
      </w:tabs>
      <w:spacing w:before="60" w:after="60"/>
      <w:ind w:left="1020" w:hanging="340"/>
    </w:pPr>
  </w:style>
  <w:style w:type="paragraph" w:styleId="List4">
    <w:name w:val="List 4"/>
    <w:basedOn w:val="BodyText"/>
    <w:rsid w:val="00297ACF"/>
    <w:pPr>
      <w:tabs>
        <w:tab w:val="left" w:pos="1361"/>
      </w:tabs>
      <w:spacing w:before="60" w:after="60"/>
      <w:ind w:left="1361" w:hanging="340"/>
    </w:pPr>
  </w:style>
  <w:style w:type="paragraph" w:styleId="List5">
    <w:name w:val="List 5"/>
    <w:basedOn w:val="BodyText"/>
    <w:rsid w:val="00297ACF"/>
    <w:pPr>
      <w:tabs>
        <w:tab w:val="left" w:pos="1701"/>
      </w:tabs>
      <w:spacing w:before="60" w:after="60"/>
      <w:ind w:left="1701" w:hanging="340"/>
    </w:pPr>
  </w:style>
  <w:style w:type="paragraph" w:styleId="ListBullet3">
    <w:name w:val="List Bullet 3"/>
    <w:basedOn w:val="List3"/>
    <w:rsid w:val="00297ACF"/>
    <w:pPr>
      <w:numPr>
        <w:numId w:val="15"/>
      </w:numPr>
      <w:tabs>
        <w:tab w:val="clear" w:pos="1021"/>
      </w:tabs>
      <w:ind w:left="1037" w:hanging="357"/>
    </w:pPr>
  </w:style>
  <w:style w:type="paragraph" w:styleId="ListBullet4">
    <w:name w:val="List Bullet 4"/>
    <w:basedOn w:val="List4"/>
    <w:rsid w:val="00297ACF"/>
    <w:pPr>
      <w:numPr>
        <w:numId w:val="3"/>
      </w:numPr>
    </w:pPr>
  </w:style>
  <w:style w:type="paragraph" w:styleId="ListBullet5">
    <w:name w:val="List Bullet 5"/>
    <w:basedOn w:val="List5"/>
    <w:rsid w:val="00297ACF"/>
    <w:pPr>
      <w:numPr>
        <w:numId w:val="4"/>
      </w:numPr>
    </w:pPr>
  </w:style>
  <w:style w:type="paragraph" w:styleId="ListContinue2">
    <w:name w:val="List Continue 2"/>
    <w:basedOn w:val="List2"/>
    <w:rsid w:val="00297ACF"/>
    <w:pPr>
      <w:ind w:firstLine="0"/>
    </w:pPr>
  </w:style>
  <w:style w:type="paragraph" w:styleId="ListContinue3">
    <w:name w:val="List Continue 3"/>
    <w:basedOn w:val="List3"/>
    <w:rsid w:val="00297ACF"/>
    <w:pPr>
      <w:ind w:left="1021" w:firstLine="0"/>
    </w:pPr>
  </w:style>
  <w:style w:type="paragraph" w:styleId="ListContinue4">
    <w:name w:val="List Continue 4"/>
    <w:basedOn w:val="List4"/>
    <w:rsid w:val="00297ACF"/>
    <w:pPr>
      <w:ind w:firstLine="0"/>
    </w:pPr>
  </w:style>
  <w:style w:type="paragraph" w:styleId="ListContinue5">
    <w:name w:val="List Continue 5"/>
    <w:basedOn w:val="List5"/>
    <w:rsid w:val="00297ACF"/>
    <w:pPr>
      <w:ind w:firstLine="0"/>
    </w:pPr>
  </w:style>
  <w:style w:type="paragraph" w:styleId="ListNumber3">
    <w:name w:val="List Number 3"/>
    <w:basedOn w:val="List3"/>
    <w:rsid w:val="00297ACF"/>
    <w:pPr>
      <w:numPr>
        <w:numId w:val="5"/>
      </w:numPr>
    </w:pPr>
  </w:style>
  <w:style w:type="paragraph" w:styleId="ListNumber4">
    <w:name w:val="List Number 4"/>
    <w:basedOn w:val="List4"/>
    <w:rsid w:val="00297ACF"/>
    <w:pPr>
      <w:numPr>
        <w:numId w:val="6"/>
      </w:numPr>
    </w:pPr>
  </w:style>
  <w:style w:type="paragraph" w:styleId="ListNumber5">
    <w:name w:val="List Number 5"/>
    <w:basedOn w:val="List5"/>
    <w:rsid w:val="00297ACF"/>
    <w:pPr>
      <w:numPr>
        <w:numId w:val="7"/>
      </w:numPr>
    </w:pPr>
  </w:style>
  <w:style w:type="paragraph" w:styleId="BlockText">
    <w:name w:val="Block Text"/>
    <w:basedOn w:val="Normal"/>
    <w:rsid w:val="00297ACF"/>
    <w:pPr>
      <w:spacing w:after="120"/>
      <w:ind w:left="1440" w:right="1440"/>
    </w:pPr>
  </w:style>
  <w:style w:type="character" w:customStyle="1" w:styleId="Subscript">
    <w:name w:val="Subscript"/>
    <w:basedOn w:val="DefaultParagraphFont"/>
    <w:rsid w:val="00297ACF"/>
    <w:rPr>
      <w:sz w:val="16"/>
      <w:vertAlign w:val="subscript"/>
    </w:rPr>
  </w:style>
  <w:style w:type="character" w:customStyle="1" w:styleId="Superscript">
    <w:name w:val="Superscript"/>
    <w:basedOn w:val="DefaultParagraphFont"/>
    <w:rsid w:val="00297ACF"/>
    <w:rPr>
      <w:sz w:val="16"/>
      <w:vertAlign w:val="superscript"/>
    </w:rPr>
  </w:style>
  <w:style w:type="character" w:customStyle="1" w:styleId="Symbols">
    <w:name w:val="Symbols"/>
    <w:basedOn w:val="DefaultParagraphFont"/>
    <w:rsid w:val="00297ACF"/>
    <w:rPr>
      <w:rFonts w:ascii="Symbol" w:hAnsi="Symbol"/>
    </w:rPr>
  </w:style>
  <w:style w:type="character" w:customStyle="1" w:styleId="MenuOptions">
    <w:name w:val="Menu Options"/>
    <w:basedOn w:val="DefaultParagraphFont"/>
    <w:rsid w:val="00297ACF"/>
    <w:rPr>
      <w:rFonts w:ascii="Arial Narrow" w:hAnsi="Arial Narrow"/>
      <w:smallCaps/>
    </w:rPr>
  </w:style>
  <w:style w:type="character" w:customStyle="1" w:styleId="Buttons">
    <w:name w:val="Buttons"/>
    <w:basedOn w:val="DefaultParagraphFont"/>
    <w:rsid w:val="00297ACF"/>
    <w:rPr>
      <w:b/>
    </w:rPr>
  </w:style>
  <w:style w:type="character" w:customStyle="1" w:styleId="Underlined">
    <w:name w:val="Underlined"/>
    <w:basedOn w:val="DefaultParagraphFont"/>
    <w:rsid w:val="00297ACF"/>
    <w:rPr>
      <w:u w:val="single"/>
    </w:rPr>
  </w:style>
  <w:style w:type="paragraph" w:customStyle="1" w:styleId="TableBodyTextRight">
    <w:name w:val="Table Body Text Right"/>
    <w:basedOn w:val="TableBodyText"/>
    <w:rsid w:val="00297ACF"/>
    <w:pPr>
      <w:widowControl w:val="0"/>
      <w:autoSpaceDE w:val="0"/>
      <w:autoSpaceDN w:val="0"/>
      <w:adjustRightInd w:val="0"/>
      <w:jc w:val="right"/>
    </w:pPr>
    <w:rPr>
      <w:rFonts w:cs="Arial"/>
      <w:szCs w:val="18"/>
    </w:rPr>
  </w:style>
  <w:style w:type="paragraph" w:customStyle="1" w:styleId="CopyrightText">
    <w:name w:val="Copyright Text"/>
    <w:basedOn w:val="BodyText"/>
    <w:rsid w:val="00297ACF"/>
    <w:rPr>
      <w:sz w:val="18"/>
    </w:rPr>
  </w:style>
  <w:style w:type="paragraph" w:customStyle="1" w:styleId="BodySmallRight">
    <w:name w:val="Body Small Right"/>
    <w:basedOn w:val="BodyTextRight"/>
    <w:rsid w:val="00297ACF"/>
    <w:rPr>
      <w:sz w:val="18"/>
      <w:szCs w:val="18"/>
    </w:rPr>
  </w:style>
  <w:style w:type="paragraph" w:customStyle="1" w:styleId="MarginEdition">
    <w:name w:val="Margin Edition"/>
    <w:basedOn w:val="MarginNote"/>
    <w:rsid w:val="00297ACF"/>
    <w:pPr>
      <w:spacing w:before="0" w:after="0"/>
    </w:pPr>
    <w:rPr>
      <w:rFonts w:ascii="Times New Roman" w:hAnsi="Times New Roman"/>
      <w:color w:val="999999"/>
    </w:rPr>
  </w:style>
  <w:style w:type="paragraph" w:customStyle="1" w:styleId="Spacer">
    <w:name w:val="Spacer"/>
    <w:basedOn w:val="Normal"/>
    <w:rsid w:val="00297ACF"/>
    <w:rPr>
      <w:sz w:val="2"/>
      <w:szCs w:val="2"/>
    </w:rPr>
  </w:style>
  <w:style w:type="character" w:customStyle="1" w:styleId="Small">
    <w:name w:val="Small"/>
    <w:basedOn w:val="DefaultParagraphFont"/>
    <w:rsid w:val="00297ACF"/>
    <w:rPr>
      <w:sz w:val="16"/>
    </w:rPr>
  </w:style>
  <w:style w:type="paragraph" w:customStyle="1" w:styleId="WideTable">
    <w:name w:val="Wide Table"/>
    <w:basedOn w:val="Normal"/>
    <w:rsid w:val="00297ACF"/>
    <w:pPr>
      <w:ind w:left="-1418"/>
    </w:pPr>
    <w:rPr>
      <w:sz w:val="2"/>
      <w:szCs w:val="2"/>
    </w:rPr>
  </w:style>
  <w:style w:type="character" w:styleId="PageNumber">
    <w:name w:val="page number"/>
    <w:basedOn w:val="DefaultParagraphFont"/>
    <w:rsid w:val="00297ACF"/>
  </w:style>
  <w:style w:type="paragraph" w:styleId="Quote">
    <w:name w:val="Quote"/>
    <w:basedOn w:val="Heading1"/>
    <w:link w:val="QuoteChar"/>
    <w:qFormat/>
    <w:rsid w:val="00297ACF"/>
    <w:rPr>
      <w:b w:val="0"/>
      <w:sz w:val="72"/>
      <w:szCs w:val="72"/>
      <w:lang w:val="en-NZ"/>
    </w:rPr>
  </w:style>
  <w:style w:type="character" w:customStyle="1" w:styleId="QuoteChar">
    <w:name w:val="Quote Char"/>
    <w:basedOn w:val="DefaultParagraphFont"/>
    <w:link w:val="Quote"/>
    <w:rsid w:val="00297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ACF"/>
    <w:pPr>
      <w:pageBreakBefore/>
    </w:pPr>
  </w:style>
  <w:style w:type="paragraph" w:customStyle="1" w:styleId="Border">
    <w:name w:val="Border"/>
    <w:basedOn w:val="Normal"/>
    <w:qFormat/>
    <w:rsid w:val="00297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ACF"/>
    <w:rPr>
      <w:b/>
      <w:bCs/>
      <w:i/>
      <w:iCs/>
      <w:color w:val="auto"/>
    </w:rPr>
  </w:style>
  <w:style w:type="paragraph" w:styleId="IntenseQuote">
    <w:name w:val="Intense Quote"/>
    <w:basedOn w:val="Normal"/>
    <w:next w:val="Normal"/>
    <w:link w:val="IntenseQuoteChar"/>
    <w:uiPriority w:val="30"/>
    <w:qFormat/>
    <w:rsid w:val="00297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A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ACF"/>
    <w:rPr>
      <w:smallCaps/>
      <w:color w:val="auto"/>
      <w:u w:val="single"/>
    </w:rPr>
  </w:style>
  <w:style w:type="character" w:styleId="IntenseReference">
    <w:name w:val="Intense Reference"/>
    <w:basedOn w:val="DefaultParagraphFont"/>
    <w:uiPriority w:val="32"/>
    <w:qFormat/>
    <w:rsid w:val="00297ACF"/>
    <w:rPr>
      <w:b/>
      <w:bCs/>
      <w:smallCaps/>
      <w:color w:val="auto"/>
      <w:spacing w:val="5"/>
      <w:u w:val="single"/>
    </w:rPr>
  </w:style>
  <w:style w:type="paragraph" w:customStyle="1" w:styleId="2ColumnHeading">
    <w:name w:val="2Column Heading"/>
    <w:basedOn w:val="BodyText"/>
    <w:qFormat/>
    <w:rsid w:val="00297ACF"/>
    <w:pPr>
      <w:spacing w:after="60"/>
      <w:ind w:left="-2268"/>
    </w:pPr>
    <w:rPr>
      <w:b/>
    </w:rPr>
  </w:style>
  <w:style w:type="paragraph" w:customStyle="1" w:styleId="Heading1TOC">
    <w:name w:val="Heading1 TOC"/>
    <w:basedOn w:val="Normal"/>
    <w:qFormat/>
    <w:rsid w:val="00297ACF"/>
    <w:pPr>
      <w:spacing w:before="240" w:after="120"/>
    </w:pPr>
    <w:rPr>
      <w:rFonts w:ascii="Times New Roman" w:hAnsi="Times New Roman"/>
      <w:b/>
      <w:sz w:val="32"/>
    </w:rPr>
  </w:style>
  <w:style w:type="paragraph" w:customStyle="1" w:styleId="Heading2TOC">
    <w:name w:val="Heading2 TOC"/>
    <w:basedOn w:val="Normal"/>
    <w:qFormat/>
    <w:rsid w:val="00297ACF"/>
    <w:pPr>
      <w:spacing w:before="240" w:after="60"/>
    </w:pPr>
    <w:rPr>
      <w:rFonts w:ascii="Times New Roman" w:hAnsi="Times New Roman"/>
      <w:b/>
      <w:sz w:val="28"/>
    </w:rPr>
  </w:style>
  <w:style w:type="character" w:customStyle="1" w:styleId="Underline">
    <w:name w:val="Underline"/>
    <w:basedOn w:val="DefaultParagraphFont"/>
    <w:qFormat/>
    <w:rsid w:val="00297ACF"/>
    <w:rPr>
      <w:u w:val="single"/>
    </w:rPr>
  </w:style>
  <w:style w:type="character" w:customStyle="1" w:styleId="BoldandItalics">
    <w:name w:val="Bold and Italics"/>
    <w:qFormat/>
    <w:rsid w:val="00297ACF"/>
    <w:rPr>
      <w:b/>
      <w:i/>
      <w:u w:val="none"/>
    </w:rPr>
  </w:style>
  <w:style w:type="paragraph" w:styleId="BalloonText">
    <w:name w:val="Balloon Text"/>
    <w:basedOn w:val="Normal"/>
    <w:link w:val="BalloonTextChar"/>
    <w:rsid w:val="00297ACF"/>
    <w:rPr>
      <w:rFonts w:ascii="Tahoma" w:hAnsi="Tahoma" w:cs="Tahoma"/>
      <w:sz w:val="16"/>
      <w:szCs w:val="16"/>
    </w:rPr>
  </w:style>
  <w:style w:type="character" w:customStyle="1" w:styleId="BalloonTextChar">
    <w:name w:val="Balloon Text Char"/>
    <w:basedOn w:val="DefaultParagraphFont"/>
    <w:link w:val="BalloonText"/>
    <w:rsid w:val="00297A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A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7A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ACF"/>
    <w:rPr>
      <w:b/>
      <w:color w:val="660033"/>
      <w:spacing w:val="0"/>
    </w:rPr>
  </w:style>
  <w:style w:type="paragraph" w:customStyle="1" w:styleId="Nameditemlist">
    <w:name w:val="Named item list"/>
    <w:basedOn w:val="BodyText"/>
    <w:qFormat/>
    <w:rsid w:val="00297A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2350</Words>
  <Characters>15989</Characters>
  <Application>Microsoft Office Word</Application>
  <DocSecurity>0</DocSecurity>
  <Lines>445</Lines>
  <Paragraphs>245</Paragraphs>
  <ScaleCrop>false</ScaleCrop>
  <Company>Author-it Software Corporation Ltd.</Company>
  <LinksUpToDate>false</LinksUpToDate>
  <CharactersWithSpaces>18275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TLIL5061A Apply knowledge of the international freight forwarding industry</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2012-10-11T20:02:00Z</dcterms:created>
  <dcterms:modified xsi:type="dcterms:W3CDTF">2012-10-11T20:02:00Z</dcterms:modified>
</cp:coreProperties>
</file>