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C487B" w:rsidP="00EC487B">
      <w:pPr>
        <w:pStyle w:val="Title"/>
      </w:pPr>
      <w:r>
        <w:fldChar w:fldCharType="begin"/>
      </w:r>
      <w:r>
        <w:instrText xml:space="preserve"> TITLE   \* MERGEFORMAT </w:instrText>
      </w:r>
      <w:r>
        <w:fldChar w:fldCharType="separate"/>
      </w:r>
      <w:r>
        <w:t>TLIL4074A Control and coordinate rail traffic movement</w:t>
      </w:r>
      <w:r>
        <w:fldChar w:fldCharType="end"/>
      </w:r>
    </w:p>
    <w:p w:rsidR="00EC487B" w:rsidP="00EC487B">
      <w:pPr>
        <w:pStyle w:val="Version"/>
        <w:sectPr w:rsidSect="00FF31A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F31A3" w:rsidP="00FF31A3">
      <w:pPr>
        <w:pStyle w:val="SuperHeading"/>
      </w:pPr>
      <w:r w:rsidRPr="00FF31A3">
        <w:t>TLIL4074A Control and coordinate rail traffic movement</w:t>
      </w:r>
    </w:p>
    <w:p w:rsidR="00000000" w:rsidRPr="00FF31A3" w:rsidP="00FF31A3">
      <w:pPr>
        <w:pStyle w:val="Heading1"/>
      </w:pPr>
      <w:bookmarkStart w:id="1" w:name="O_357818"/>
      <w:bookmarkEnd w:id="1"/>
      <w:r w:rsidRPr="00FF31A3">
        <w:t>Modification History</w:t>
      </w:r>
    </w:p>
    <w:p w:rsidR="00000000" w:rsidRPr="00FF31A3" w:rsidP="00FF31A3">
      <w:pPr>
        <w:pStyle w:val="BodyText"/>
      </w:pPr>
      <w:r w:rsidRPr="00FF31A3">
        <w:t>Not applicable.</w:t>
      </w:r>
    </w:p>
    <w:p w:rsidR="00000000" w:rsidRPr="00FF31A3" w:rsidP="00FF31A3">
      <w:pPr>
        <w:pStyle w:val="AllowPageBreak"/>
      </w:pPr>
    </w:p>
    <w:p w:rsidR="00000000" w:rsidRPr="00FF31A3" w:rsidP="00FF31A3">
      <w:pPr>
        <w:pStyle w:val="Heading1"/>
      </w:pPr>
      <w:bookmarkStart w:id="2" w:name="O_357819"/>
      <w:bookmarkEnd w:id="2"/>
      <w:r w:rsidRPr="00FF31A3">
        <w:t>Unit Descriptor</w:t>
      </w:r>
    </w:p>
    <w:tbl>
      <w:tblPr>
        <w:tblW w:w="0" w:type="auto"/>
        <w:tblCellMar>
          <w:left w:w="62" w:type="dxa"/>
          <w:right w:w="62" w:type="dxa"/>
        </w:tblCellMar>
        <w:tblLook w:val="0000"/>
      </w:tblPr>
      <w:tblGrid>
        <w:gridCol w:w="9196"/>
      </w:tblGrid>
      <w:tr w:rsidTr="00EC487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F31A3" w:rsidP="00FF31A3">
            <w:pPr>
              <w:pStyle w:val="BodyText"/>
            </w:pPr>
            <w:r w:rsidRPr="00FF31A3">
              <w:t>This unit involves the skills and knowledge required to control rail traffic movement in accordance with workpl</w:t>
            </w:r>
            <w:r w:rsidRPr="00FF31A3">
              <w:t>ace procedures and the requirements of relevant safeworking regulations and codes of practice. It includes monitoring the status of the current train area plan, implementing the daily working timetable, controlling rail traffic movement, implementing conti</w:t>
            </w:r>
            <w:r w:rsidRPr="00FF31A3">
              <w:t xml:space="preserve">ngency plans for planned events and system faults and failures, and updating traffic movement documentation in accordance with workplace requirements. </w:t>
            </w:r>
          </w:p>
          <w:p w:rsidR="00000000" w:rsidRPr="00FF31A3" w:rsidP="00FF31A3">
            <w:pPr>
              <w:pStyle w:val="BodyText"/>
            </w:pPr>
            <w:r w:rsidRPr="00FF31A3">
              <w:t>Licensing, legislative, regulatory or certification requirements are applicable to this unit. Persons ac</w:t>
            </w:r>
            <w:r w:rsidRPr="00FF31A3">
              <w:t>hieving competence in this unit will need to fulfil legislated rail safety requirements, including acts and regulations from each applicable state and territory, together with any nationally approved compliance codes and/or guidelines.</w:t>
            </w:r>
          </w:p>
        </w:tc>
      </w:tr>
    </w:tbl>
    <w:p w:rsidR="00000000" w:rsidRPr="00FF31A3" w:rsidP="00FF31A3">
      <w:pPr>
        <w:pStyle w:val="BodyText"/>
      </w:pPr>
    </w:p>
    <w:p w:rsidR="00000000" w:rsidRPr="00FF31A3" w:rsidP="00FF31A3">
      <w:pPr>
        <w:pStyle w:val="AllowPageBreak"/>
      </w:pPr>
    </w:p>
    <w:p w:rsidR="00000000" w:rsidRPr="00FF31A3" w:rsidP="00FF31A3">
      <w:pPr>
        <w:pStyle w:val="Heading1"/>
      </w:pPr>
      <w:bookmarkStart w:id="3" w:name="O_357820"/>
      <w:bookmarkEnd w:id="3"/>
      <w:r w:rsidRPr="00FF31A3">
        <w:t>Application of the Unit</w:t>
      </w:r>
    </w:p>
    <w:tbl>
      <w:tblPr>
        <w:tblW w:w="0" w:type="auto"/>
        <w:tblCellMar>
          <w:left w:w="62" w:type="dxa"/>
          <w:right w:w="62" w:type="dxa"/>
        </w:tblCellMar>
        <w:tblLook w:val="0000"/>
      </w:tblPr>
      <w:tblGrid>
        <w:gridCol w:w="9196"/>
      </w:tblGrid>
      <w:tr w:rsidTr="00EC487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F31A3" w:rsidP="00FF31A3">
            <w:pPr>
              <w:pStyle w:val="BodyText"/>
            </w:pPr>
            <w:r w:rsidRPr="00FF31A3">
              <w:t>The unit involves the application of operational principles; regulations; and safeworking codes, protocols and procedures to the controlling of rail traffic movement as part of workplace activities across a variety of operational co</w:t>
            </w:r>
            <w:r w:rsidRPr="00FF31A3">
              <w:t>ntexts within the Australian rail industry.</w:t>
            </w:r>
          </w:p>
        </w:tc>
      </w:tr>
    </w:tbl>
    <w:p w:rsidR="00000000" w:rsidRPr="00FF31A3" w:rsidP="00FF31A3">
      <w:pPr>
        <w:pStyle w:val="BodyText"/>
      </w:pPr>
    </w:p>
    <w:p w:rsidR="00000000" w:rsidRPr="00FF31A3" w:rsidP="00FF31A3">
      <w:pPr>
        <w:pStyle w:val="AllowPageBreak"/>
      </w:pPr>
    </w:p>
    <w:p w:rsidR="00000000" w:rsidRPr="00FF31A3" w:rsidP="00FF31A3">
      <w:pPr>
        <w:pStyle w:val="Heading1"/>
      </w:pPr>
      <w:bookmarkStart w:id="4" w:name="O_357821"/>
      <w:bookmarkEnd w:id="4"/>
      <w:r w:rsidRPr="00FF31A3">
        <w:t>Licensing/Regulatory Information</w:t>
      </w:r>
    </w:p>
    <w:p w:rsidR="00000000" w:rsidRPr="00FF31A3" w:rsidP="00FF31A3">
      <w:pPr>
        <w:pStyle w:val="BodyText"/>
      </w:pPr>
      <w:r w:rsidRPr="00FF31A3">
        <w:t>Refer to Unit Descriptor.</w:t>
      </w:r>
    </w:p>
    <w:p w:rsidR="00000000" w:rsidRPr="00FF31A3" w:rsidP="00FF31A3">
      <w:pPr>
        <w:pStyle w:val="AllowPageBreak"/>
      </w:pPr>
    </w:p>
    <w:p w:rsidR="00000000" w:rsidRPr="00FF31A3" w:rsidP="00FF31A3">
      <w:pPr>
        <w:pStyle w:val="Heading1"/>
      </w:pPr>
      <w:bookmarkStart w:id="5" w:name="O_357822"/>
      <w:bookmarkEnd w:id="5"/>
      <w:r w:rsidRPr="00FF31A3">
        <w:t>Pre-Requisites</w:t>
      </w:r>
    </w:p>
    <w:p w:rsidR="00000000" w:rsidRPr="00FF31A3" w:rsidP="00FF31A3">
      <w:pPr>
        <w:pStyle w:val="BodyText"/>
      </w:pPr>
      <w:r w:rsidRPr="00FF31A3">
        <w:t>Not applicable.</w:t>
      </w:r>
    </w:p>
    <w:p w:rsidR="00000000" w:rsidRPr="00FF31A3" w:rsidP="00FF31A3">
      <w:pPr>
        <w:pStyle w:val="AllowPageBreak"/>
      </w:pPr>
    </w:p>
    <w:p w:rsidR="00000000" w:rsidRPr="00FF31A3" w:rsidP="00FF31A3">
      <w:pPr>
        <w:pStyle w:val="Heading1"/>
      </w:pPr>
      <w:bookmarkStart w:id="6" w:name="O_357823"/>
      <w:bookmarkEnd w:id="6"/>
      <w:r w:rsidRPr="00FF31A3">
        <w:t>Employability Skills Information</w:t>
      </w:r>
    </w:p>
    <w:tbl>
      <w:tblPr>
        <w:tblW w:w="0" w:type="auto"/>
        <w:tblCellMar>
          <w:left w:w="62" w:type="dxa"/>
          <w:right w:w="62" w:type="dxa"/>
        </w:tblCellMar>
        <w:tblLook w:val="0000"/>
      </w:tblPr>
      <w:tblGrid>
        <w:gridCol w:w="9196"/>
      </w:tblGrid>
      <w:tr w:rsidTr="00EC487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F31A3" w:rsidP="00FF31A3">
            <w:pPr>
              <w:pStyle w:val="BodyText"/>
            </w:pPr>
            <w:r w:rsidRPr="00FF31A3">
              <w:t>This unit contains employability ski</w:t>
            </w:r>
            <w:r w:rsidRPr="00FF31A3">
              <w:t>lls.</w:t>
            </w:r>
          </w:p>
        </w:tc>
      </w:tr>
    </w:tbl>
    <w:p w:rsidR="00000000" w:rsidRPr="00FF31A3" w:rsidP="00FF31A3">
      <w:pPr>
        <w:pStyle w:val="BodyText"/>
      </w:pPr>
    </w:p>
    <w:p w:rsidR="00000000" w:rsidRPr="00FF31A3" w:rsidP="00FF31A3">
      <w:pPr>
        <w:pStyle w:val="AllowPageBreak"/>
      </w:pPr>
    </w:p>
    <w:p w:rsidR="00000000" w:rsidRPr="00FF31A3" w:rsidP="00FF31A3">
      <w:pPr>
        <w:pStyle w:val="Heading1"/>
      </w:pPr>
      <w:bookmarkStart w:id="7" w:name="O_357824"/>
      <w:bookmarkEnd w:id="7"/>
      <w:r w:rsidRPr="00FF31A3">
        <w:t>Elements and Performance Criteria Pre-Content</w:t>
      </w:r>
    </w:p>
    <w:tbl>
      <w:tblPr>
        <w:tblW w:w="0" w:type="auto"/>
        <w:tblCellMar>
          <w:left w:w="62" w:type="dxa"/>
          <w:right w:w="62" w:type="dxa"/>
        </w:tblCellMar>
        <w:tblLook w:val="0000"/>
      </w:tblPr>
      <w:tblGrid>
        <w:gridCol w:w="2649"/>
        <w:gridCol w:w="6547"/>
      </w:tblGrid>
      <w:tr w:rsidTr="00EC487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F31A3">
            <w:pPr>
              <w:pStyle w:val="BodyText"/>
              <w:rPr>
                <w:lang w:val="en-NZ"/>
              </w:rPr>
            </w:pPr>
            <w:r w:rsidRPr="00FF31A3">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RPr="00FF31A3" w:rsidP="00FF31A3">
            <w:pPr>
              <w:pStyle w:val="BodyText"/>
            </w:pPr>
            <w:r w:rsidRPr="00FF31A3">
              <w:t>Performance criteria describe the required performance needed to demonstrate achievement of the element. Assessment of performance is to be consistent with the evidence guide.</w:t>
            </w:r>
          </w:p>
        </w:tc>
      </w:tr>
    </w:tbl>
    <w:p w:rsidR="00000000" w:rsidRPr="00FF31A3" w:rsidP="00FF31A3">
      <w:pPr>
        <w:pStyle w:val="BodyText"/>
      </w:pPr>
    </w:p>
    <w:p w:rsidR="00000000" w:rsidRPr="00FF31A3" w:rsidP="00FF31A3">
      <w:pPr>
        <w:pStyle w:val="AllowPageBreak"/>
      </w:pPr>
    </w:p>
    <w:p w:rsidR="00000000" w:rsidRPr="00FF31A3" w:rsidP="00FF31A3">
      <w:pPr>
        <w:pStyle w:val="Heading1"/>
      </w:pPr>
      <w:bookmarkStart w:id="8" w:name="O_357825"/>
      <w:bookmarkEnd w:id="8"/>
      <w:r w:rsidRPr="00FF31A3">
        <w:t>Elements and Performance Criteria</w:t>
      </w:r>
    </w:p>
    <w:tbl>
      <w:tblPr>
        <w:tblW w:w="0" w:type="auto"/>
        <w:tblCellMar>
          <w:left w:w="62" w:type="dxa"/>
          <w:right w:w="62" w:type="dxa"/>
        </w:tblCellMar>
        <w:tblLook w:val="0000"/>
      </w:tblPr>
      <w:tblGrid>
        <w:gridCol w:w="2596"/>
        <w:gridCol w:w="64"/>
        <w:gridCol w:w="6536"/>
      </w:tblGrid>
      <w:tr w:rsidTr="00EC487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F31A3" w:rsidP="00FF31A3">
            <w:pPr>
              <w:pStyle w:val="BodyText"/>
            </w:pPr>
            <w:r w:rsidRPr="00FF31A3">
              <w:rPr>
                <w:rStyle w:val="SpecialBold"/>
              </w:rPr>
              <w:t>ELEMENT</w:t>
            </w:r>
          </w:p>
        </w:tc>
        <w:tc>
          <w:tcPr>
            <w:tcW w:w="0" w:type="auto"/>
            <w:gridSpan w:val="2"/>
            <w:tcBorders>
              <w:top w:val="nil"/>
              <w:left w:val="nil"/>
              <w:bottom w:val="nil"/>
              <w:right w:val="nil"/>
            </w:tcBorders>
            <w:tcMar>
              <w:top w:w="0" w:type="dxa"/>
              <w:left w:w="62" w:type="dxa"/>
              <w:bottom w:w="0" w:type="dxa"/>
              <w:right w:w="62" w:type="dxa"/>
            </w:tcMar>
          </w:tcPr>
          <w:p w:rsidR="00000000" w:rsidP="00FF31A3">
            <w:pPr>
              <w:pStyle w:val="BodyText"/>
              <w:rPr>
                <w:lang w:val="en-NZ"/>
              </w:rPr>
            </w:pPr>
            <w:r w:rsidRPr="00FF31A3">
              <w:rPr>
                <w:rStyle w:val="SpecialBold"/>
              </w:rPr>
              <w:t>PERFORMANCE CRITERI</w:t>
            </w:r>
            <w:r w:rsidRPr="00FF31A3">
              <w:rPr>
                <w:rStyle w:val="SpecialBold"/>
              </w:rPr>
              <w:t>A</w:t>
            </w:r>
          </w:p>
        </w:tc>
      </w:tr>
      <w:tr w:rsidTr="00EC487B">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FF31A3">
            <w:pPr>
              <w:pStyle w:val="BodyText"/>
              <w:rPr>
                <w:lang w:val="en-NZ"/>
              </w:rPr>
            </w:pPr>
            <w:r w:rsidRPr="00FF31A3">
              <w:rPr>
                <w:rStyle w:val="SpecialBold"/>
              </w:rPr>
              <w:t>1</w:t>
            </w:r>
            <w:r w:rsidRPr="00FF31A3">
              <w:rPr>
                <w:rStyle w:val="SpecialBold"/>
              </w:rPr>
              <w:tab/>
              <w:t>Monitor status of current train plan</w:t>
            </w:r>
          </w:p>
        </w:tc>
        <w:tc>
          <w:tcPr>
            <w:tcW w:w="0" w:type="auto"/>
            <w:tcBorders>
              <w:top w:val="nil"/>
              <w:left w:val="nil"/>
              <w:bottom w:val="nil"/>
              <w:right w:val="nil"/>
            </w:tcBorders>
            <w:tcMar>
              <w:top w:w="0" w:type="dxa"/>
              <w:left w:w="62" w:type="dxa"/>
              <w:bottom w:w="0" w:type="dxa"/>
              <w:right w:w="62" w:type="dxa"/>
            </w:tcMar>
          </w:tcPr>
          <w:p w:rsidR="00000000" w:rsidRPr="00FF31A3" w:rsidP="00FF31A3">
            <w:pPr>
              <w:pStyle w:val="BodyText"/>
            </w:pPr>
            <w:r w:rsidRPr="00FF31A3">
              <w:t>1.1</w:t>
            </w:r>
            <w:r w:rsidRPr="00FF31A3">
              <w:tab/>
              <w:t>Train movements and associated activities are analysed to establish current situation</w:t>
            </w:r>
          </w:p>
          <w:p w:rsidR="00000000" w:rsidRPr="00FF31A3" w:rsidP="00FF31A3">
            <w:pPr>
              <w:pStyle w:val="BodyText"/>
            </w:pPr>
            <w:r w:rsidRPr="00FF31A3">
              <w:t>1.2</w:t>
            </w:r>
            <w:r w:rsidRPr="00FF31A3">
              <w:tab/>
            </w:r>
            <w:r w:rsidRPr="00FF31A3">
              <w:t>Proposed train movements and associated activities are identified to establish status of train plan in accordance with organisational procedures and policies</w:t>
            </w:r>
          </w:p>
          <w:p w:rsidR="00000000" w:rsidRPr="00FF31A3" w:rsidP="00FF31A3">
            <w:pPr>
              <w:pStyle w:val="BodyText"/>
            </w:pPr>
            <w:r w:rsidRPr="00FF31A3">
              <w:t>1.3</w:t>
            </w:r>
            <w:r w:rsidRPr="00FF31A3">
              <w:tab/>
              <w:t>Train notices are checked for accuracy and adjustments made as required</w:t>
            </w:r>
          </w:p>
          <w:p w:rsidR="00000000" w:rsidP="00FF31A3">
            <w:pPr>
              <w:pStyle w:val="BodyText"/>
              <w:rPr>
                <w:lang w:val="en-NZ"/>
              </w:rPr>
            </w:pPr>
            <w:r w:rsidRPr="00FF31A3">
              <w:t>1.4</w:t>
            </w:r>
            <w:r w:rsidRPr="00FF31A3">
              <w:tab/>
              <w:t>Operational manage</w:t>
            </w:r>
            <w:r w:rsidRPr="00FF31A3">
              <w:t>ment system information is reviewed against observed status, and inconsistencies are corrected</w:t>
            </w:r>
          </w:p>
        </w:tc>
      </w:tr>
      <w:tr w:rsidTr="00EC487B">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FF31A3">
            <w:pPr>
              <w:pStyle w:val="BodyText"/>
              <w:rPr>
                <w:lang w:val="en-NZ"/>
              </w:rPr>
            </w:pPr>
            <w:r w:rsidRPr="00FF31A3">
              <w:rPr>
                <w:rStyle w:val="SpecialBold"/>
              </w:rPr>
              <w:t>2</w:t>
            </w:r>
            <w:r w:rsidRPr="00FF31A3">
              <w:rPr>
                <w:rStyle w:val="SpecialBold"/>
              </w:rPr>
              <w:tab/>
              <w:t>Implement the daily working timetable</w:t>
            </w:r>
          </w:p>
        </w:tc>
        <w:tc>
          <w:tcPr>
            <w:tcW w:w="0" w:type="auto"/>
            <w:tcBorders>
              <w:top w:val="nil"/>
              <w:left w:val="nil"/>
              <w:bottom w:val="nil"/>
              <w:right w:val="nil"/>
            </w:tcBorders>
            <w:tcMar>
              <w:top w:w="0" w:type="dxa"/>
              <w:left w:w="62" w:type="dxa"/>
              <w:bottom w:w="0" w:type="dxa"/>
              <w:right w:w="62" w:type="dxa"/>
            </w:tcMar>
          </w:tcPr>
          <w:p w:rsidR="00000000" w:rsidRPr="00FF31A3" w:rsidP="00FF31A3">
            <w:pPr>
              <w:pStyle w:val="BodyText"/>
            </w:pPr>
            <w:r w:rsidRPr="00FF31A3">
              <w:t>2.1</w:t>
            </w:r>
            <w:r w:rsidRPr="00FF31A3">
              <w:tab/>
              <w:t>Train movements are prioritised and coordinated in accordance with organisational policies and procedures to ensure</w:t>
            </w:r>
            <w:r w:rsidRPr="00FF31A3">
              <w:t xml:space="preserve"> optimum and consistent running to schedules</w:t>
            </w:r>
          </w:p>
          <w:p w:rsidR="00000000" w:rsidRPr="00FF31A3" w:rsidP="00FF31A3">
            <w:pPr>
              <w:pStyle w:val="BodyText"/>
            </w:pPr>
            <w:r w:rsidRPr="00FF31A3">
              <w:t>2.2</w:t>
            </w:r>
            <w:r w:rsidRPr="00FF31A3">
              <w:tab/>
              <w:t xml:space="preserve">Relevant information is communicated to internal and external customers </w:t>
            </w:r>
          </w:p>
          <w:p w:rsidR="00000000" w:rsidP="00FF31A3">
            <w:pPr>
              <w:pStyle w:val="BodyText"/>
              <w:rPr>
                <w:lang w:val="en-NZ"/>
              </w:rPr>
            </w:pPr>
            <w:r w:rsidRPr="00FF31A3">
              <w:t>2.3</w:t>
            </w:r>
            <w:r w:rsidRPr="00FF31A3">
              <w:tab/>
              <w:t>Planned and where applicable unplanned train movements and train notices are implemented in accordance with organisational policie</w:t>
            </w:r>
            <w:r w:rsidRPr="00FF31A3">
              <w:t xml:space="preserve">s and procedures </w:t>
            </w:r>
          </w:p>
        </w:tc>
      </w:tr>
      <w:tr w:rsidTr="00EC487B">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FF31A3">
            <w:pPr>
              <w:pStyle w:val="BodyText"/>
              <w:rPr>
                <w:lang w:val="en-NZ"/>
              </w:rPr>
            </w:pPr>
            <w:r w:rsidRPr="00FF31A3">
              <w:rPr>
                <w:rStyle w:val="SpecialBold"/>
              </w:rPr>
              <w:t>3</w:t>
            </w:r>
            <w:r w:rsidRPr="00FF31A3">
              <w:rPr>
                <w:rStyle w:val="SpecialBold"/>
              </w:rPr>
              <w:tab/>
              <w:t>Control rail traffic movement</w:t>
            </w:r>
          </w:p>
        </w:tc>
        <w:tc>
          <w:tcPr>
            <w:tcW w:w="0" w:type="auto"/>
            <w:tcBorders>
              <w:top w:val="nil"/>
              <w:left w:val="nil"/>
              <w:bottom w:val="nil"/>
              <w:right w:val="nil"/>
            </w:tcBorders>
            <w:tcMar>
              <w:top w:w="0" w:type="dxa"/>
              <w:left w:w="62" w:type="dxa"/>
              <w:bottom w:w="0" w:type="dxa"/>
              <w:right w:w="62" w:type="dxa"/>
            </w:tcMar>
          </w:tcPr>
          <w:p w:rsidR="00000000" w:rsidRPr="00FF31A3" w:rsidP="00FF31A3">
            <w:pPr>
              <w:pStyle w:val="BodyText"/>
            </w:pPr>
            <w:r w:rsidRPr="00FF31A3">
              <w:t>3.1</w:t>
            </w:r>
            <w:r w:rsidRPr="00FF31A3">
              <w:tab/>
              <w:t>Train movements are coordinated with other relevant personnel in accordance with organisational policies and procedures</w:t>
            </w:r>
          </w:p>
          <w:p w:rsidR="00000000" w:rsidRPr="00FF31A3" w:rsidP="00FF31A3">
            <w:pPr>
              <w:pStyle w:val="BodyText"/>
            </w:pPr>
            <w:r w:rsidRPr="00FF31A3">
              <w:t>3.2</w:t>
            </w:r>
            <w:r w:rsidRPr="00FF31A3">
              <w:tab/>
              <w:t>Where applicable, surveillance and alarm systems are monitored to identify e</w:t>
            </w:r>
            <w:r w:rsidRPr="00FF31A3">
              <w:t>mergency situations</w:t>
            </w:r>
          </w:p>
          <w:p w:rsidR="00000000" w:rsidP="00FF31A3">
            <w:pPr>
              <w:pStyle w:val="BodyText"/>
              <w:rPr>
                <w:lang w:val="en-NZ"/>
              </w:rPr>
            </w:pPr>
            <w:r w:rsidRPr="00FF31A3">
              <w:t>3.3</w:t>
            </w:r>
            <w:r w:rsidRPr="00FF31A3">
              <w:tab/>
              <w:t>Signalling systems are operated and monitored to ensure safe movement of rail traffic</w:t>
            </w:r>
          </w:p>
        </w:tc>
      </w:tr>
      <w:tr w:rsidTr="00EC487B">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FF31A3">
            <w:pPr>
              <w:pStyle w:val="BodyText"/>
              <w:rPr>
                <w:lang w:val="en-NZ"/>
              </w:rPr>
            </w:pPr>
            <w:r w:rsidRPr="00FF31A3">
              <w:rPr>
                <w:rStyle w:val="SpecialBold"/>
              </w:rPr>
              <w:t>4</w:t>
            </w:r>
            <w:r w:rsidRPr="00FF31A3">
              <w:rPr>
                <w:rStyle w:val="SpecialBold"/>
              </w:rPr>
              <w:tab/>
              <w:t>Communicate with rail safety workers</w:t>
            </w:r>
          </w:p>
        </w:tc>
        <w:tc>
          <w:tcPr>
            <w:tcW w:w="0" w:type="auto"/>
            <w:tcBorders>
              <w:top w:val="nil"/>
              <w:left w:val="nil"/>
              <w:bottom w:val="nil"/>
              <w:right w:val="nil"/>
            </w:tcBorders>
            <w:tcMar>
              <w:top w:w="0" w:type="dxa"/>
              <w:left w:w="62" w:type="dxa"/>
              <w:bottom w:w="0" w:type="dxa"/>
              <w:right w:w="62" w:type="dxa"/>
            </w:tcMar>
          </w:tcPr>
          <w:p w:rsidR="00000000" w:rsidRPr="00FF31A3" w:rsidP="00FF31A3">
            <w:pPr>
              <w:pStyle w:val="BodyText"/>
            </w:pPr>
            <w:r w:rsidRPr="00FF31A3">
              <w:t>4.1</w:t>
            </w:r>
            <w:r w:rsidRPr="00FF31A3">
              <w:tab/>
              <w:t>Communication with relevant rail safety workers is undertaken to ensure that they are informed of tra</w:t>
            </w:r>
            <w:r w:rsidRPr="00FF31A3">
              <w:t>in movements, in accordance with organisational policies and procedures</w:t>
            </w:r>
          </w:p>
          <w:p w:rsidR="00000000" w:rsidP="00FF31A3">
            <w:pPr>
              <w:pStyle w:val="BodyText"/>
              <w:rPr>
                <w:lang w:val="en-NZ"/>
              </w:rPr>
            </w:pPr>
            <w:r w:rsidRPr="00FF31A3">
              <w:t>4.2</w:t>
            </w:r>
            <w:r w:rsidRPr="00FF31A3">
              <w:tab/>
              <w:t>Alternative methods of communication are identified and used in the case of normal communication system malfunction</w:t>
            </w:r>
          </w:p>
        </w:tc>
      </w:tr>
      <w:tr w:rsidTr="00EC487B">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FF31A3">
            <w:pPr>
              <w:pStyle w:val="BodyText"/>
              <w:rPr>
                <w:lang w:val="en-NZ"/>
              </w:rPr>
            </w:pPr>
            <w:r w:rsidRPr="00FF31A3">
              <w:rPr>
                <w:rStyle w:val="SpecialBold"/>
              </w:rPr>
              <w:t>5</w:t>
            </w:r>
            <w:r w:rsidRPr="00FF31A3">
              <w:rPr>
                <w:rStyle w:val="SpecialBold"/>
              </w:rPr>
              <w:tab/>
              <w:t>Communicate with stakeholders and customers</w:t>
            </w:r>
          </w:p>
        </w:tc>
        <w:tc>
          <w:tcPr>
            <w:tcW w:w="0" w:type="auto"/>
            <w:tcBorders>
              <w:top w:val="nil"/>
              <w:left w:val="nil"/>
              <w:bottom w:val="nil"/>
              <w:right w:val="nil"/>
            </w:tcBorders>
            <w:tcMar>
              <w:top w:w="0" w:type="dxa"/>
              <w:left w:w="62" w:type="dxa"/>
              <w:bottom w:w="0" w:type="dxa"/>
              <w:right w:w="62" w:type="dxa"/>
            </w:tcMar>
          </w:tcPr>
          <w:p w:rsidR="00000000" w:rsidP="00FF31A3">
            <w:pPr>
              <w:pStyle w:val="BodyText"/>
              <w:rPr>
                <w:lang w:val="en-NZ"/>
              </w:rPr>
            </w:pPr>
            <w:r w:rsidRPr="00FF31A3">
              <w:t>5.1</w:t>
            </w:r>
            <w:r w:rsidRPr="00FF31A3">
              <w:tab/>
            </w:r>
            <w:r w:rsidRPr="00FF31A3">
              <w:t>Communication with relevant stakeholders and customers is undertaken to ensure that they are informed of train movements, in accordance with organisational policies and procedures</w:t>
            </w:r>
          </w:p>
        </w:tc>
      </w:tr>
      <w:tr w:rsidTr="00EC487B">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FF31A3">
            <w:pPr>
              <w:pStyle w:val="BodyText"/>
              <w:rPr>
                <w:lang w:val="en-NZ"/>
              </w:rPr>
            </w:pPr>
            <w:r w:rsidRPr="00FF31A3">
              <w:rPr>
                <w:rStyle w:val="SpecialBold"/>
              </w:rPr>
              <w:t>6</w:t>
            </w:r>
            <w:r w:rsidRPr="00FF31A3">
              <w:rPr>
                <w:rStyle w:val="SpecialBold"/>
              </w:rPr>
              <w:tab/>
              <w:t xml:space="preserve">Implement contingency plans </w:t>
            </w:r>
          </w:p>
        </w:tc>
        <w:tc>
          <w:tcPr>
            <w:tcW w:w="0" w:type="auto"/>
            <w:tcBorders>
              <w:top w:val="nil"/>
              <w:left w:val="nil"/>
              <w:bottom w:val="nil"/>
              <w:right w:val="nil"/>
            </w:tcBorders>
            <w:tcMar>
              <w:top w:w="0" w:type="dxa"/>
              <w:left w:w="62" w:type="dxa"/>
              <w:bottom w:w="0" w:type="dxa"/>
              <w:right w:w="62" w:type="dxa"/>
            </w:tcMar>
          </w:tcPr>
          <w:p w:rsidR="00000000" w:rsidRPr="00FF31A3" w:rsidP="00FF31A3">
            <w:pPr>
              <w:pStyle w:val="BodyText"/>
            </w:pPr>
            <w:r w:rsidRPr="00FF31A3">
              <w:t>6.1</w:t>
            </w:r>
            <w:r w:rsidRPr="00FF31A3">
              <w:tab/>
              <w:t>Contingency plan to suit unplanned trac</w:t>
            </w:r>
            <w:r w:rsidRPr="00FF31A3">
              <w:t>k works, disruption, system failure or fault is identified and implemented in accordance with organisational policies and procedures</w:t>
            </w:r>
          </w:p>
          <w:p w:rsidR="00000000" w:rsidRPr="00FF31A3" w:rsidP="00FF31A3">
            <w:pPr>
              <w:pStyle w:val="BodyText"/>
            </w:pPr>
            <w:r w:rsidRPr="00FF31A3">
              <w:t>6.2</w:t>
            </w:r>
            <w:r w:rsidRPr="00FF31A3">
              <w:tab/>
              <w:t>Resources to respond to the contingency are arranged in accordance with relevant organisational policies and procedures</w:t>
            </w:r>
          </w:p>
          <w:p w:rsidR="00000000" w:rsidRPr="00FF31A3" w:rsidP="00FF31A3">
            <w:pPr>
              <w:pStyle w:val="BodyText"/>
            </w:pPr>
            <w:r w:rsidRPr="00FF31A3">
              <w:t>6.3</w:t>
            </w:r>
            <w:r w:rsidRPr="00FF31A3">
              <w:tab/>
              <w:t>Required communications are established</w:t>
            </w:r>
          </w:p>
          <w:p w:rsidR="00000000" w:rsidRPr="00FF31A3" w:rsidP="00FF31A3">
            <w:pPr>
              <w:pStyle w:val="BodyText"/>
            </w:pPr>
            <w:r w:rsidRPr="00FF31A3">
              <w:t>6.4</w:t>
            </w:r>
            <w:r w:rsidRPr="00FF31A3">
              <w:tab/>
              <w:t xml:space="preserve">Train plan or schedule is reviewed and adjusted in accordance with organisational requirements </w:t>
            </w:r>
          </w:p>
          <w:p w:rsidR="00000000" w:rsidRPr="00FF31A3" w:rsidP="00FF31A3">
            <w:pPr>
              <w:pStyle w:val="BodyText"/>
            </w:pPr>
            <w:r w:rsidRPr="00FF31A3">
              <w:t>6.5</w:t>
            </w:r>
            <w:r w:rsidRPr="00FF31A3">
              <w:tab/>
              <w:t>Communication with internal and external customers is established and maintained as required</w:t>
            </w:r>
          </w:p>
          <w:p w:rsidR="00000000" w:rsidP="00FF31A3">
            <w:pPr>
              <w:pStyle w:val="BodyText"/>
              <w:rPr>
                <w:lang w:val="en-NZ"/>
              </w:rPr>
            </w:pPr>
            <w:r w:rsidRPr="00FF31A3">
              <w:t>6.6</w:t>
            </w:r>
            <w:r w:rsidRPr="00FF31A3">
              <w:tab/>
              <w:t>Operationa</w:t>
            </w:r>
            <w:r w:rsidRPr="00FF31A3">
              <w:t>l management systems are updated to reflect changes resulting from the contingency</w:t>
            </w:r>
          </w:p>
        </w:tc>
      </w:tr>
      <w:tr w:rsidTr="00EC487B">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FF31A3">
            <w:pPr>
              <w:pStyle w:val="BodyText"/>
              <w:rPr>
                <w:lang w:val="en-NZ"/>
              </w:rPr>
            </w:pPr>
            <w:r w:rsidRPr="00FF31A3">
              <w:rPr>
                <w:rStyle w:val="SpecialBold"/>
              </w:rPr>
              <w:t>7</w:t>
            </w:r>
            <w:r w:rsidRPr="00FF31A3">
              <w:rPr>
                <w:rStyle w:val="SpecialBold"/>
              </w:rPr>
              <w:tab/>
              <w:t>Update rail traffic movement documentation</w:t>
            </w:r>
          </w:p>
        </w:tc>
        <w:tc>
          <w:tcPr>
            <w:tcW w:w="0" w:type="auto"/>
            <w:tcBorders>
              <w:top w:val="nil"/>
              <w:left w:val="nil"/>
              <w:bottom w:val="nil"/>
              <w:right w:val="nil"/>
            </w:tcBorders>
            <w:tcMar>
              <w:top w:w="0" w:type="dxa"/>
              <w:left w:w="62" w:type="dxa"/>
              <w:bottom w:w="0" w:type="dxa"/>
              <w:right w:w="62" w:type="dxa"/>
            </w:tcMar>
          </w:tcPr>
          <w:p w:rsidR="00000000" w:rsidRPr="00FF31A3" w:rsidP="00FF31A3">
            <w:pPr>
              <w:pStyle w:val="BodyText"/>
            </w:pPr>
            <w:r w:rsidRPr="00FF31A3">
              <w:t>7.1</w:t>
            </w:r>
            <w:r w:rsidRPr="00FF31A3">
              <w:tab/>
              <w:t>Rail traffic movement documentation is compiled and recorded in accordance with organisational policies and procedures</w:t>
            </w:r>
          </w:p>
          <w:p w:rsidR="00000000" w:rsidRPr="00FF31A3" w:rsidP="00FF31A3">
            <w:pPr>
              <w:pStyle w:val="BodyText"/>
            </w:pPr>
            <w:r w:rsidRPr="00FF31A3">
              <w:t>7.2</w:t>
            </w:r>
            <w:r w:rsidRPr="00FF31A3">
              <w:tab/>
              <w:t>Rail traffic movement documentation is handed over when relieved and/or at the completion of shift in accordance with organisational policies and procedures</w:t>
            </w:r>
          </w:p>
        </w:tc>
      </w:tr>
    </w:tbl>
    <w:p w:rsidR="00000000" w:rsidRPr="00FF31A3" w:rsidP="00FF31A3">
      <w:pPr>
        <w:pStyle w:val="BodyText"/>
      </w:pPr>
    </w:p>
    <w:p w:rsidR="00000000" w:rsidRPr="00FF31A3" w:rsidP="00FF31A3">
      <w:pPr>
        <w:pStyle w:val="AllowPageBreak"/>
      </w:pPr>
    </w:p>
    <w:p w:rsidR="00000000" w:rsidRPr="00FF31A3" w:rsidP="00FF31A3">
      <w:pPr>
        <w:pStyle w:val="Heading1"/>
      </w:pPr>
      <w:bookmarkStart w:id="9" w:name="O_357826"/>
      <w:bookmarkEnd w:id="9"/>
      <w:r w:rsidRPr="00FF31A3">
        <w:t>Required Skills and Knowledge</w:t>
      </w:r>
    </w:p>
    <w:tbl>
      <w:tblPr>
        <w:tblW w:w="0" w:type="auto"/>
        <w:tblCellMar>
          <w:left w:w="62" w:type="dxa"/>
          <w:right w:w="62" w:type="dxa"/>
        </w:tblCellMar>
        <w:tblLook w:val="0000"/>
      </w:tblPr>
      <w:tblGrid>
        <w:gridCol w:w="9196"/>
      </w:tblGrid>
      <w:tr w:rsidTr="00EC487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F31A3">
            <w:pPr>
              <w:pStyle w:val="BodyText"/>
              <w:rPr>
                <w:lang w:val="en-NZ"/>
              </w:rPr>
            </w:pPr>
            <w:r w:rsidRPr="00FF31A3">
              <w:rPr>
                <w:rStyle w:val="SpecialBold"/>
              </w:rPr>
              <w:t>REQUIRED KNOWLEDGE AND SKILLS</w:t>
            </w:r>
          </w:p>
        </w:tc>
      </w:tr>
      <w:tr w:rsidTr="00EC487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F31A3">
            <w:pPr>
              <w:pStyle w:val="BodyText"/>
              <w:rPr>
                <w:lang w:val="en-NZ"/>
              </w:rPr>
            </w:pPr>
            <w:r w:rsidRPr="00FF31A3">
              <w:t>This describes the essential knowledge and skills and their level required for this unit.</w:t>
            </w:r>
          </w:p>
        </w:tc>
      </w:tr>
      <w:tr w:rsidTr="00EC487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F31A3">
            <w:pPr>
              <w:pStyle w:val="BodyText"/>
              <w:rPr>
                <w:lang w:val="en-NZ"/>
              </w:rPr>
            </w:pPr>
            <w:r w:rsidRPr="00FF31A3">
              <w:rPr>
                <w:rStyle w:val="SpecialBold"/>
              </w:rPr>
              <w:t>Required knowledge:</w:t>
            </w:r>
          </w:p>
        </w:tc>
      </w:tr>
      <w:tr w:rsidTr="00EC487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F31A3">
            <w:pPr>
              <w:pStyle w:val="ListBullet"/>
              <w:rPr>
                <w:lang w:val="en-NZ"/>
              </w:rPr>
            </w:pPr>
            <w:r w:rsidRPr="00FF31A3">
              <w:t>Relevant sections of legislated rail safety requirements, including acts and regulations from each applicable state and territory, together wit</w:t>
            </w:r>
            <w:r w:rsidRPr="00FF31A3">
              <w:t>h any nationally approved compliance codes and/or guidelines</w:t>
            </w:r>
          </w:p>
        </w:tc>
      </w:tr>
      <w:tr w:rsidTr="00EC487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F31A3">
            <w:pPr>
              <w:pStyle w:val="ListBullet"/>
              <w:rPr>
                <w:lang w:val="en-NZ"/>
              </w:rPr>
            </w:pPr>
            <w:r w:rsidRPr="00FF31A3">
              <w:t>Organisational procedures for the control and coordination of train operations</w:t>
            </w:r>
          </w:p>
        </w:tc>
      </w:tr>
      <w:tr w:rsidTr="00EC487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F31A3">
            <w:pPr>
              <w:pStyle w:val="ListBullet"/>
              <w:rPr>
                <w:lang w:val="en-NZ"/>
              </w:rPr>
            </w:pPr>
            <w:r w:rsidRPr="00FF31A3">
              <w:t>Signalling and control systems and operations</w:t>
            </w:r>
          </w:p>
        </w:tc>
      </w:tr>
      <w:tr w:rsidTr="00EC487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F31A3">
            <w:pPr>
              <w:pStyle w:val="ListBullet"/>
              <w:rPr>
                <w:lang w:val="en-NZ"/>
              </w:rPr>
            </w:pPr>
            <w:r w:rsidRPr="00FF31A3">
              <w:t>Local area knowledge</w:t>
            </w:r>
          </w:p>
        </w:tc>
      </w:tr>
      <w:tr w:rsidTr="00EC487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F31A3">
            <w:pPr>
              <w:pStyle w:val="ListBullet"/>
              <w:rPr>
                <w:lang w:val="en-NZ"/>
              </w:rPr>
            </w:pPr>
            <w:r w:rsidRPr="00FF31A3">
              <w:t>Restrictions relating to loads and conditions</w:t>
            </w:r>
          </w:p>
        </w:tc>
      </w:tr>
      <w:tr w:rsidTr="00EC487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F31A3">
            <w:pPr>
              <w:pStyle w:val="ListBullet"/>
              <w:rPr>
                <w:lang w:val="en-NZ"/>
              </w:rPr>
            </w:pPr>
            <w:r w:rsidRPr="00FF31A3">
              <w:t>Communication systems</w:t>
            </w:r>
          </w:p>
        </w:tc>
      </w:tr>
      <w:tr w:rsidTr="00EC487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F31A3">
            <w:pPr>
              <w:pStyle w:val="ListBullet"/>
              <w:rPr>
                <w:lang w:val="en-NZ"/>
              </w:rPr>
            </w:pPr>
            <w:r w:rsidRPr="00FF31A3">
              <w:t>Surveillance and alarm systems</w:t>
            </w:r>
          </w:p>
        </w:tc>
      </w:tr>
      <w:tr w:rsidTr="00EC487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F31A3">
            <w:pPr>
              <w:pStyle w:val="ListBullet"/>
              <w:rPr>
                <w:lang w:val="en-NZ"/>
              </w:rPr>
            </w:pPr>
            <w:r w:rsidRPr="00FF31A3">
              <w:t>Problems that may occur when controlling and coordinating rail traffic and related action that should be taken</w:t>
            </w:r>
          </w:p>
        </w:tc>
      </w:tr>
      <w:tr w:rsidTr="00EC487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F31A3" w:rsidP="00FF31A3">
            <w:pPr>
              <w:pStyle w:val="ListBullet"/>
            </w:pPr>
            <w:r w:rsidRPr="00FF31A3">
              <w:t>Relevant documentation requirements</w:t>
            </w:r>
          </w:p>
        </w:tc>
      </w:tr>
    </w:tbl>
    <w:p w:rsidR="00000000" w:rsidRPr="00FF31A3" w:rsidP="00FF31A3">
      <w:pPr>
        <w:pStyle w:val="BodyText"/>
      </w:pPr>
    </w:p>
    <w:tbl>
      <w:tblPr>
        <w:tblW w:w="0" w:type="auto"/>
        <w:tblCellMar>
          <w:left w:w="62" w:type="dxa"/>
          <w:right w:w="62" w:type="dxa"/>
        </w:tblCellMar>
        <w:tblLook w:val="0000"/>
      </w:tblPr>
      <w:tblGrid>
        <w:gridCol w:w="9196"/>
      </w:tblGrid>
      <w:tr w:rsidTr="00EC487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F31A3">
            <w:pPr>
              <w:pStyle w:val="BodyText"/>
              <w:rPr>
                <w:lang w:val="en-NZ"/>
              </w:rPr>
            </w:pPr>
            <w:r w:rsidRPr="00FF31A3">
              <w:rPr>
                <w:rStyle w:val="SpecialBold"/>
              </w:rPr>
              <w:t>Required skills:</w:t>
            </w:r>
          </w:p>
        </w:tc>
      </w:tr>
      <w:tr w:rsidTr="00EC487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F31A3">
            <w:pPr>
              <w:pStyle w:val="ListBullet"/>
              <w:rPr>
                <w:lang w:val="en-NZ"/>
              </w:rPr>
            </w:pPr>
            <w:r w:rsidRPr="00FF31A3">
              <w:t xml:space="preserve">Communicate effectively with others </w:t>
            </w:r>
          </w:p>
        </w:tc>
      </w:tr>
      <w:tr w:rsidTr="00EC487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F31A3">
            <w:pPr>
              <w:pStyle w:val="ListBullet"/>
              <w:rPr>
                <w:lang w:val="en-NZ"/>
              </w:rPr>
            </w:pPr>
            <w:r w:rsidRPr="00FF31A3">
              <w:t>Read, interpret and follow instructions, procedures and information relating to the control and coordination of rail traffic</w:t>
            </w:r>
          </w:p>
        </w:tc>
      </w:tr>
      <w:tr w:rsidTr="00EC487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F31A3">
            <w:pPr>
              <w:pStyle w:val="ListBullet"/>
              <w:rPr>
                <w:lang w:val="en-NZ"/>
              </w:rPr>
            </w:pPr>
            <w:r w:rsidRPr="00FF31A3">
              <w:t>Complete documentation and enter data relating to the control and coordination of rail traffic</w:t>
            </w:r>
          </w:p>
        </w:tc>
      </w:tr>
      <w:tr w:rsidTr="00EC487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F31A3">
            <w:pPr>
              <w:pStyle w:val="ListBullet"/>
              <w:rPr>
                <w:lang w:val="en-NZ"/>
              </w:rPr>
            </w:pPr>
            <w:r w:rsidRPr="00FF31A3">
              <w:t>Operate communication systems to required protocol</w:t>
            </w:r>
          </w:p>
        </w:tc>
      </w:tr>
      <w:tr w:rsidTr="00EC487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F31A3">
            <w:pPr>
              <w:pStyle w:val="ListBullet"/>
              <w:rPr>
                <w:lang w:val="en-NZ"/>
              </w:rPr>
            </w:pPr>
            <w:r w:rsidRPr="00FF31A3">
              <w:t>Use appropriate numeric functions when implementing the daily working timetable</w:t>
            </w:r>
          </w:p>
        </w:tc>
      </w:tr>
      <w:tr w:rsidTr="00EC487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F31A3">
            <w:pPr>
              <w:pStyle w:val="ListBullet"/>
              <w:rPr>
                <w:lang w:val="en-NZ"/>
              </w:rPr>
            </w:pPr>
            <w:r w:rsidRPr="00FF31A3">
              <w:t>Report and rectify withi</w:t>
            </w:r>
            <w:r w:rsidRPr="00FF31A3">
              <w:t>n limits of own role problems, faults and malfunctions identified when controlling rail traffic in accordance with organisational procedures</w:t>
            </w:r>
          </w:p>
        </w:tc>
      </w:tr>
      <w:tr w:rsidTr="00EC487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F31A3">
            <w:pPr>
              <w:pStyle w:val="ListBullet"/>
              <w:rPr>
                <w:lang w:val="en-NZ"/>
              </w:rPr>
            </w:pPr>
            <w:r w:rsidRPr="00FF31A3">
              <w:t>Monitor work activities in terms of planned schedule</w:t>
            </w:r>
          </w:p>
        </w:tc>
      </w:tr>
      <w:tr w:rsidTr="00EC487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F31A3" w:rsidP="00FF31A3">
            <w:pPr>
              <w:pStyle w:val="ListBullet"/>
            </w:pPr>
            <w:r w:rsidRPr="00FF31A3">
              <w:t>Modify activities depending on differing operational conti</w:t>
            </w:r>
            <w:r w:rsidRPr="00FF31A3">
              <w:t>ngencies, risk situations and environments</w:t>
            </w:r>
          </w:p>
        </w:tc>
      </w:tr>
    </w:tbl>
    <w:p w:rsidR="00EC487B" w:rsidP="00FF31A3">
      <w:pPr>
        <w:pStyle w:val="BodyText"/>
      </w:pPr>
    </w:p>
    <w:p w:rsidR="00EC487B" w:rsidP="00FF31A3">
      <w:pPr>
        <w:pStyle w:val="BodyText"/>
      </w:pPr>
    </w:p>
    <w:p w:rsidR="00000000" w:rsidRPr="00FF31A3" w:rsidP="00FF31A3">
      <w:pPr>
        <w:pStyle w:val="Heading1"/>
      </w:pPr>
      <w:bookmarkStart w:id="10" w:name="O_357827"/>
      <w:bookmarkEnd w:id="10"/>
      <w:r w:rsidRPr="00FF31A3">
        <w:t>Evidence Guide</w:t>
      </w:r>
    </w:p>
    <w:tbl>
      <w:tblPr>
        <w:tblW w:w="9495" w:type="dxa"/>
        <w:tblLayout w:type="fixed"/>
        <w:tblCellMar>
          <w:left w:w="62" w:type="dxa"/>
          <w:right w:w="62" w:type="dxa"/>
        </w:tblCellMar>
        <w:tblLook w:val="0000"/>
      </w:tblPr>
      <w:tblGrid>
        <w:gridCol w:w="3339"/>
        <w:gridCol w:w="6156"/>
      </w:tblGrid>
      <w:tr w:rsidTr="00FF31A3">
        <w:tblPrEx>
          <w:tblW w:w="9495" w:type="dxa"/>
          <w:tblLayout w:type="fixed"/>
          <w:tblCellMar>
            <w:left w:w="62" w:type="dxa"/>
            <w:right w:w="62" w:type="dxa"/>
          </w:tblCellMar>
          <w:tblLook w:val="0000"/>
        </w:tblPrEx>
        <w:tc>
          <w:tcPr>
            <w:tcW w:w="9495" w:type="dxa"/>
            <w:gridSpan w:val="2"/>
            <w:tcBorders>
              <w:top w:val="nil"/>
              <w:left w:val="nil"/>
              <w:bottom w:val="nil"/>
              <w:right w:val="nil"/>
            </w:tcBorders>
            <w:tcMar>
              <w:top w:w="0" w:type="dxa"/>
              <w:left w:w="62" w:type="dxa"/>
              <w:bottom w:w="0" w:type="dxa"/>
              <w:right w:w="62" w:type="dxa"/>
            </w:tcMar>
          </w:tcPr>
          <w:p w:rsidR="00000000" w:rsidP="00FF31A3">
            <w:pPr>
              <w:pStyle w:val="BodyText"/>
              <w:rPr>
                <w:lang w:val="en-NZ"/>
              </w:rPr>
            </w:pPr>
            <w:r w:rsidRPr="00FF31A3">
              <w:rPr>
                <w:rStyle w:val="SpecialBold"/>
              </w:rPr>
              <w:t>EVIDENCE GUIDE</w:t>
            </w:r>
          </w:p>
        </w:tc>
      </w:tr>
      <w:tr w:rsidTr="00FF31A3">
        <w:tblPrEx>
          <w:tblW w:w="9495" w:type="dxa"/>
          <w:tblLayout w:type="fixed"/>
          <w:tblCellMar>
            <w:left w:w="62" w:type="dxa"/>
            <w:right w:w="62" w:type="dxa"/>
          </w:tblCellMar>
          <w:tblLook w:val="0000"/>
        </w:tblPrEx>
        <w:tc>
          <w:tcPr>
            <w:tcW w:w="9495" w:type="dxa"/>
            <w:gridSpan w:val="2"/>
            <w:tcBorders>
              <w:top w:val="nil"/>
              <w:left w:val="nil"/>
              <w:bottom w:val="nil"/>
              <w:right w:val="nil"/>
            </w:tcBorders>
            <w:tcMar>
              <w:top w:w="0" w:type="dxa"/>
              <w:left w:w="62" w:type="dxa"/>
              <w:bottom w:w="0" w:type="dxa"/>
              <w:right w:w="62" w:type="dxa"/>
            </w:tcMar>
          </w:tcPr>
          <w:p w:rsidR="00000000" w:rsidP="00FF31A3">
            <w:pPr>
              <w:pStyle w:val="BodyText"/>
              <w:rPr>
                <w:lang w:val="en-NZ"/>
              </w:rPr>
            </w:pPr>
            <w:r w:rsidRPr="00FF31A3">
              <w:t xml:space="preserve">The evidence guide provides advice on assessment and must be read in conjunction with the performance criteria, required knowledge and skills, </w:t>
            </w:r>
            <w:r w:rsidRPr="00FF31A3">
              <w:t>the range statement and the assessment guidelines for this Training Package.</w:t>
            </w:r>
          </w:p>
        </w:tc>
      </w:tr>
      <w:tr w:rsidTr="00FF31A3">
        <w:tblPrEx>
          <w:tblW w:w="9495" w:type="dxa"/>
          <w:tblLayout w:type="fixed"/>
          <w:tblCellMar>
            <w:left w:w="62" w:type="dxa"/>
            <w:right w:w="62" w:type="dxa"/>
          </w:tblCellMar>
          <w:tblLook w:val="0000"/>
        </w:tblPrEx>
        <w:tc>
          <w:tcPr>
            <w:tcW w:w="3339" w:type="dxa"/>
            <w:tcBorders>
              <w:top w:val="nil"/>
              <w:left w:val="nil"/>
              <w:bottom w:val="nil"/>
              <w:right w:val="nil"/>
            </w:tcBorders>
            <w:tcMar>
              <w:top w:w="0" w:type="dxa"/>
              <w:left w:w="62" w:type="dxa"/>
              <w:bottom w:w="0" w:type="dxa"/>
              <w:right w:w="62" w:type="dxa"/>
            </w:tcMar>
          </w:tcPr>
          <w:p w:rsidR="00000000" w:rsidP="00FF31A3">
            <w:pPr>
              <w:pStyle w:val="BodyText"/>
              <w:rPr>
                <w:lang w:val="en-NZ"/>
              </w:rPr>
            </w:pPr>
            <w:r w:rsidRPr="00FF31A3">
              <w:rPr>
                <w:rStyle w:val="SpecialBold"/>
              </w:rPr>
              <w:t>Critical aspects for assessment and evidence required to demonstrate competency in this unit</w:t>
            </w:r>
          </w:p>
        </w:tc>
        <w:tc>
          <w:tcPr>
            <w:tcW w:w="6156" w:type="dxa"/>
            <w:tcBorders>
              <w:top w:val="nil"/>
              <w:left w:val="nil"/>
              <w:bottom w:val="nil"/>
              <w:right w:val="nil"/>
            </w:tcBorders>
            <w:tcMar>
              <w:top w:w="0" w:type="dxa"/>
              <w:left w:w="62" w:type="dxa"/>
              <w:bottom w:w="0" w:type="dxa"/>
              <w:right w:w="62" w:type="dxa"/>
            </w:tcMar>
          </w:tcPr>
          <w:p w:rsidR="00000000" w:rsidRPr="00FF31A3" w:rsidP="00FF31A3">
            <w:pPr>
              <w:pStyle w:val="ListBullet"/>
            </w:pPr>
            <w:r w:rsidRPr="00FF31A3">
              <w:t>The evidence required to demonstrate competency in this unit must be relevant to an</w:t>
            </w:r>
            <w:r w:rsidRPr="00FF31A3">
              <w:t>d satisfy all of the requirements of the elements and performance criteria of this unit and include demonstration of applying:</w:t>
            </w:r>
          </w:p>
          <w:p w:rsidR="00000000" w:rsidRPr="00FF31A3" w:rsidP="00FF31A3">
            <w:pPr>
              <w:pStyle w:val="ListBullet2"/>
            </w:pPr>
            <w:r w:rsidRPr="00FF31A3">
              <w:t>the underpinning knowledge and skills</w:t>
            </w:r>
          </w:p>
          <w:p w:rsidR="00000000" w:rsidRPr="00FF31A3" w:rsidP="00FF31A3">
            <w:pPr>
              <w:pStyle w:val="ListBullet2"/>
            </w:pPr>
            <w:r w:rsidRPr="00FF31A3">
              <w:t>relevant legislation and workplace procedures</w:t>
            </w:r>
          </w:p>
          <w:p w:rsidR="00000000" w:rsidP="00FF31A3">
            <w:pPr>
              <w:pStyle w:val="ListBullet2"/>
              <w:rPr>
                <w:lang w:val="en-NZ"/>
              </w:rPr>
            </w:pPr>
            <w:r w:rsidRPr="00FF31A3">
              <w:t>other relevant aspects of the range statement</w:t>
            </w:r>
          </w:p>
        </w:tc>
      </w:tr>
      <w:tr w:rsidTr="00FF31A3">
        <w:tblPrEx>
          <w:tblW w:w="9495" w:type="dxa"/>
          <w:tblLayout w:type="fixed"/>
          <w:tblCellMar>
            <w:left w:w="62" w:type="dxa"/>
            <w:right w:w="62" w:type="dxa"/>
          </w:tblCellMar>
          <w:tblLook w:val="0000"/>
        </w:tblPrEx>
        <w:tc>
          <w:tcPr>
            <w:tcW w:w="3339" w:type="dxa"/>
            <w:tcBorders>
              <w:top w:val="nil"/>
              <w:left w:val="nil"/>
              <w:bottom w:val="nil"/>
              <w:right w:val="nil"/>
            </w:tcBorders>
            <w:tcMar>
              <w:top w:w="0" w:type="dxa"/>
              <w:left w:w="62" w:type="dxa"/>
              <w:bottom w:w="0" w:type="dxa"/>
              <w:right w:w="62" w:type="dxa"/>
            </w:tcMar>
          </w:tcPr>
          <w:p w:rsidR="00000000" w:rsidP="00FF31A3">
            <w:pPr>
              <w:pStyle w:val="BodyText"/>
              <w:rPr>
                <w:lang w:val="en-NZ"/>
              </w:rPr>
            </w:pPr>
            <w:r w:rsidRPr="00FF31A3">
              <w:rPr>
                <w:rStyle w:val="SpecialBold"/>
              </w:rPr>
              <w:t>Context of and specific resources for assessment</w:t>
            </w:r>
          </w:p>
        </w:tc>
        <w:tc>
          <w:tcPr>
            <w:tcW w:w="6156" w:type="dxa"/>
            <w:tcBorders>
              <w:top w:val="nil"/>
              <w:left w:val="nil"/>
              <w:bottom w:val="nil"/>
              <w:right w:val="nil"/>
            </w:tcBorders>
            <w:tcMar>
              <w:top w:w="0" w:type="dxa"/>
              <w:left w:w="62" w:type="dxa"/>
              <w:bottom w:w="0" w:type="dxa"/>
              <w:right w:w="62" w:type="dxa"/>
            </w:tcMar>
          </w:tcPr>
          <w:p w:rsidR="00000000" w:rsidRPr="00FF31A3" w:rsidP="00FF31A3">
            <w:pPr>
              <w:pStyle w:val="ListBullet"/>
            </w:pPr>
            <w:r w:rsidRPr="00FF31A3">
              <w:t>Performance is demonstrated consistently over a period of time and in a suitable range of contexts</w:t>
            </w:r>
          </w:p>
          <w:p w:rsidR="00000000" w:rsidRPr="00FF31A3" w:rsidP="00FF31A3">
            <w:pPr>
              <w:pStyle w:val="ListBullet"/>
            </w:pPr>
            <w:r w:rsidRPr="00FF31A3">
              <w:t>Resources for assessment include:</w:t>
            </w:r>
          </w:p>
          <w:p w:rsidR="00000000" w:rsidRPr="00FF31A3" w:rsidP="00FF31A3">
            <w:pPr>
              <w:pStyle w:val="ListBullet2"/>
            </w:pPr>
            <w:r w:rsidRPr="00FF31A3">
              <w:t>a range of relevant exerc</w:t>
            </w:r>
            <w:r w:rsidRPr="00FF31A3">
              <w:t>ises, case studies and other simulated practical and knowledge assessment, and/or</w:t>
            </w:r>
          </w:p>
          <w:p w:rsidR="00000000" w:rsidRPr="00FF31A3" w:rsidP="00FF31A3">
            <w:pPr>
              <w:pStyle w:val="ListBullet2"/>
            </w:pPr>
            <w:r w:rsidRPr="00FF31A3">
              <w:t>access to an appropriate range of relevant operational situations in the workplace</w:t>
            </w:r>
          </w:p>
          <w:p w:rsidR="00000000" w:rsidRPr="00FF31A3" w:rsidP="00FF31A3">
            <w:pPr>
              <w:pStyle w:val="ListBullet"/>
            </w:pPr>
            <w:r w:rsidRPr="00FF31A3">
              <w:t>In both real and simulated environments, access is required to:</w:t>
            </w:r>
          </w:p>
          <w:p w:rsidR="00000000" w:rsidRPr="00FF31A3" w:rsidP="00FF31A3">
            <w:pPr>
              <w:pStyle w:val="ListBullet2"/>
            </w:pPr>
            <w:r w:rsidRPr="00FF31A3">
              <w:t>relevant and appropriate materials and/or equipment, and/or</w:t>
            </w:r>
          </w:p>
          <w:p w:rsidR="00000000" w:rsidP="00FF31A3">
            <w:pPr>
              <w:pStyle w:val="ListBullet2"/>
              <w:rPr>
                <w:lang w:val="en-NZ"/>
              </w:rPr>
            </w:pPr>
            <w:r w:rsidRPr="00FF31A3">
              <w:t>applicable documentation, including workplace procedures, regulations, codes of practice and operation manuals</w:t>
            </w:r>
          </w:p>
        </w:tc>
      </w:tr>
      <w:tr w:rsidTr="00FF31A3">
        <w:tblPrEx>
          <w:tblW w:w="9495" w:type="dxa"/>
          <w:tblLayout w:type="fixed"/>
          <w:tblCellMar>
            <w:left w:w="62" w:type="dxa"/>
            <w:right w:w="62" w:type="dxa"/>
          </w:tblCellMar>
          <w:tblLook w:val="0000"/>
        </w:tblPrEx>
        <w:tc>
          <w:tcPr>
            <w:tcW w:w="3339" w:type="dxa"/>
            <w:tcBorders>
              <w:top w:val="nil"/>
              <w:left w:val="nil"/>
              <w:bottom w:val="nil"/>
              <w:right w:val="nil"/>
            </w:tcBorders>
            <w:tcMar>
              <w:top w:w="0" w:type="dxa"/>
              <w:left w:w="62" w:type="dxa"/>
              <w:bottom w:w="0" w:type="dxa"/>
              <w:right w:w="62" w:type="dxa"/>
            </w:tcMar>
          </w:tcPr>
          <w:p w:rsidR="00000000" w:rsidP="00FF31A3">
            <w:pPr>
              <w:pStyle w:val="BodyText"/>
              <w:rPr>
                <w:lang w:val="en-NZ"/>
              </w:rPr>
            </w:pPr>
            <w:r w:rsidRPr="00FF31A3">
              <w:rPr>
                <w:rStyle w:val="SpecialBold"/>
              </w:rPr>
              <w:t>Method of assessment</w:t>
            </w:r>
          </w:p>
        </w:tc>
        <w:tc>
          <w:tcPr>
            <w:tcW w:w="6156" w:type="dxa"/>
            <w:tcBorders>
              <w:top w:val="nil"/>
              <w:left w:val="nil"/>
              <w:bottom w:val="nil"/>
              <w:right w:val="nil"/>
            </w:tcBorders>
            <w:tcMar>
              <w:top w:w="0" w:type="dxa"/>
              <w:left w:w="62" w:type="dxa"/>
              <w:bottom w:w="0" w:type="dxa"/>
              <w:right w:w="62" w:type="dxa"/>
            </w:tcMar>
          </w:tcPr>
          <w:p w:rsidR="00000000" w:rsidRPr="00FF31A3" w:rsidP="00FF31A3">
            <w:pPr>
              <w:pStyle w:val="ListBullet"/>
            </w:pPr>
            <w:r w:rsidRPr="00FF31A3">
              <w:t>As a minimum, assessment of knowledge must be conducted throug</w:t>
            </w:r>
            <w:r w:rsidRPr="00FF31A3">
              <w:t>h appropriate written/oral tests</w:t>
            </w:r>
          </w:p>
          <w:p w:rsidR="00000000" w:rsidRPr="00FF31A3" w:rsidP="00FF31A3">
            <w:pPr>
              <w:pStyle w:val="ListBullet"/>
            </w:pPr>
            <w:r w:rsidRPr="00FF31A3">
              <w:t>Practical assessment must occur:</w:t>
            </w:r>
          </w:p>
          <w:p w:rsidR="00000000" w:rsidRPr="00FF31A3" w:rsidP="00FF31A3">
            <w:pPr>
              <w:pStyle w:val="ListBullet2"/>
            </w:pPr>
            <w:r w:rsidRPr="00FF31A3">
              <w:t>through activities in an appropriately simulated environment, and/or</w:t>
            </w:r>
          </w:p>
          <w:p w:rsidR="00000000" w:rsidRPr="00FF31A3" w:rsidP="00FF31A3">
            <w:pPr>
              <w:pStyle w:val="ListBullet2"/>
            </w:pPr>
            <w:r w:rsidRPr="00FF31A3">
              <w:t>in an appropriate range of situations in the workplace</w:t>
            </w:r>
          </w:p>
        </w:tc>
      </w:tr>
    </w:tbl>
    <w:p w:rsidR="00000000" w:rsidRPr="00FF31A3" w:rsidP="00FF31A3">
      <w:pPr>
        <w:pStyle w:val="BodyText"/>
      </w:pPr>
    </w:p>
    <w:p w:rsidR="00000000" w:rsidRPr="00FF31A3" w:rsidP="00FF31A3">
      <w:pPr>
        <w:pStyle w:val="AllowPageBreak"/>
      </w:pPr>
    </w:p>
    <w:p w:rsidR="00000000" w:rsidRPr="00FF31A3" w:rsidP="00FF31A3">
      <w:pPr>
        <w:pStyle w:val="Heading1"/>
      </w:pPr>
      <w:bookmarkStart w:id="11" w:name="O_357828"/>
      <w:bookmarkEnd w:id="11"/>
      <w:r w:rsidRPr="00FF31A3">
        <w:t>Range Statement</w:t>
      </w:r>
    </w:p>
    <w:tbl>
      <w:tblPr>
        <w:tblW w:w="9465" w:type="dxa"/>
        <w:tblLayout w:type="fixed"/>
        <w:tblCellMar>
          <w:left w:w="62" w:type="dxa"/>
          <w:right w:w="62" w:type="dxa"/>
        </w:tblCellMar>
        <w:tblLook w:val="0000"/>
      </w:tblPr>
      <w:tblGrid>
        <w:gridCol w:w="3308"/>
        <w:gridCol w:w="6157"/>
      </w:tblGrid>
      <w:tr w:rsidTr="00FF31A3">
        <w:tblPrEx>
          <w:tblW w:w="9465" w:type="dxa"/>
          <w:tblLayout w:type="fixed"/>
          <w:tblCellMar>
            <w:left w:w="62" w:type="dxa"/>
            <w:right w:w="62" w:type="dxa"/>
          </w:tblCellMar>
          <w:tblLook w:val="0000"/>
        </w:tblPrEx>
        <w:tc>
          <w:tcPr>
            <w:tcW w:w="9465" w:type="dxa"/>
            <w:gridSpan w:val="2"/>
            <w:tcBorders>
              <w:top w:val="nil"/>
              <w:left w:val="nil"/>
              <w:bottom w:val="nil"/>
              <w:right w:val="nil"/>
            </w:tcBorders>
            <w:tcMar>
              <w:top w:w="0" w:type="dxa"/>
              <w:left w:w="62" w:type="dxa"/>
              <w:bottom w:w="0" w:type="dxa"/>
              <w:right w:w="62" w:type="dxa"/>
            </w:tcMar>
          </w:tcPr>
          <w:p w:rsidR="00000000" w:rsidP="00FF31A3">
            <w:pPr>
              <w:pStyle w:val="BodyText"/>
              <w:rPr>
                <w:lang w:val="en-NZ"/>
              </w:rPr>
            </w:pPr>
            <w:r w:rsidRPr="00FF31A3">
              <w:rPr>
                <w:rStyle w:val="SpecialBold"/>
              </w:rPr>
              <w:t xml:space="preserve">RANGE STATEMENT </w:t>
            </w:r>
          </w:p>
        </w:tc>
      </w:tr>
      <w:tr w:rsidTr="00FF31A3">
        <w:tblPrEx>
          <w:tblW w:w="9465" w:type="dxa"/>
          <w:tblLayout w:type="fixed"/>
          <w:tblCellMar>
            <w:left w:w="62" w:type="dxa"/>
            <w:right w:w="62" w:type="dxa"/>
          </w:tblCellMar>
          <w:tblLook w:val="0000"/>
        </w:tblPrEx>
        <w:tc>
          <w:tcPr>
            <w:tcW w:w="9465" w:type="dxa"/>
            <w:gridSpan w:val="2"/>
            <w:tcBorders>
              <w:top w:val="nil"/>
              <w:left w:val="nil"/>
              <w:bottom w:val="nil"/>
              <w:right w:val="nil"/>
            </w:tcBorders>
            <w:tcMar>
              <w:top w:w="0" w:type="dxa"/>
              <w:left w:w="62" w:type="dxa"/>
              <w:bottom w:w="0" w:type="dxa"/>
              <w:right w:w="62" w:type="dxa"/>
            </w:tcMar>
          </w:tcPr>
          <w:p w:rsidR="00000000" w:rsidP="00FF31A3">
            <w:pPr>
              <w:pStyle w:val="BodyText"/>
              <w:rPr>
                <w:lang w:val="en-NZ"/>
              </w:rPr>
            </w:pPr>
            <w:r w:rsidRPr="00FF31A3">
              <w:t>The range statement relates to the unit of competency as a whole. It allows for different work environments and situations that may affect performance.</w:t>
            </w:r>
          </w:p>
        </w:tc>
      </w:tr>
      <w:tr w:rsidTr="00FF31A3">
        <w:tblPrEx>
          <w:tblW w:w="9465" w:type="dxa"/>
          <w:tblLayout w:type="fixed"/>
          <w:tblCellMar>
            <w:left w:w="62" w:type="dxa"/>
            <w:right w:w="62" w:type="dxa"/>
          </w:tblCellMar>
          <w:tblLook w:val="0000"/>
        </w:tblPrEx>
        <w:trPr>
          <w:trHeight w:val="57"/>
        </w:trPr>
        <w:tc>
          <w:tcPr>
            <w:tcW w:w="3308" w:type="dxa"/>
            <w:tcBorders>
              <w:top w:val="nil"/>
              <w:left w:val="nil"/>
              <w:bottom w:val="nil"/>
              <w:right w:val="nil"/>
            </w:tcBorders>
            <w:tcMar>
              <w:top w:w="0" w:type="dxa"/>
              <w:left w:w="62" w:type="dxa"/>
              <w:bottom w:w="0" w:type="dxa"/>
              <w:right w:w="62" w:type="dxa"/>
            </w:tcMar>
          </w:tcPr>
          <w:p w:rsidR="00000000" w:rsidP="00FF31A3">
            <w:pPr>
              <w:pStyle w:val="BodyText"/>
              <w:rPr>
                <w:lang w:val="en-NZ"/>
              </w:rPr>
            </w:pPr>
            <w:r w:rsidRPr="00FF31A3">
              <w:rPr>
                <w:rStyle w:val="SpecialBold"/>
              </w:rPr>
              <w:t>Control of rail traffic movements may require the use of:</w:t>
            </w:r>
          </w:p>
        </w:tc>
        <w:tc>
          <w:tcPr>
            <w:tcW w:w="6157" w:type="dxa"/>
            <w:tcBorders>
              <w:top w:val="nil"/>
              <w:left w:val="nil"/>
              <w:bottom w:val="nil"/>
              <w:right w:val="nil"/>
            </w:tcBorders>
            <w:tcMar>
              <w:top w:w="0" w:type="dxa"/>
              <w:left w:w="62" w:type="dxa"/>
              <w:bottom w:w="0" w:type="dxa"/>
              <w:right w:w="62" w:type="dxa"/>
            </w:tcMar>
          </w:tcPr>
          <w:p w:rsidR="00000000" w:rsidRPr="00FF31A3" w:rsidP="00FF31A3">
            <w:pPr>
              <w:pStyle w:val="ListBullet"/>
            </w:pPr>
            <w:r w:rsidRPr="00FF31A3">
              <w:t>automated signalling systems</w:t>
            </w:r>
          </w:p>
          <w:p w:rsidR="00000000" w:rsidRPr="00FF31A3" w:rsidP="00FF31A3">
            <w:pPr>
              <w:pStyle w:val="ListBullet"/>
            </w:pPr>
            <w:r w:rsidRPr="00FF31A3">
              <w:t>manual signall</w:t>
            </w:r>
            <w:r w:rsidRPr="00FF31A3">
              <w:t>ing systems</w:t>
            </w:r>
          </w:p>
          <w:p w:rsidR="00000000" w:rsidRPr="00FF31A3" w:rsidP="00FF31A3">
            <w:pPr>
              <w:pStyle w:val="ListBullet"/>
            </w:pPr>
            <w:r w:rsidRPr="00FF31A3">
              <w:t>centralised train control (CTC)</w:t>
            </w:r>
          </w:p>
          <w:p w:rsidR="00000000" w:rsidRPr="00FF31A3" w:rsidP="00FF31A3">
            <w:pPr>
              <w:pStyle w:val="ListBullet"/>
            </w:pPr>
            <w:r w:rsidRPr="00FF31A3">
              <w:t>written authority systems</w:t>
            </w:r>
          </w:p>
          <w:p w:rsidR="00000000" w:rsidP="00FF31A3">
            <w:pPr>
              <w:pStyle w:val="ListBullet"/>
              <w:rPr>
                <w:lang w:val="en-NZ"/>
              </w:rPr>
            </w:pPr>
            <w:r w:rsidRPr="00FF31A3">
              <w:t>token systems</w:t>
            </w:r>
          </w:p>
        </w:tc>
      </w:tr>
      <w:tr w:rsidTr="00FF31A3">
        <w:tblPrEx>
          <w:tblW w:w="9465" w:type="dxa"/>
          <w:tblLayout w:type="fixed"/>
          <w:tblCellMar>
            <w:left w:w="62" w:type="dxa"/>
            <w:right w:w="62" w:type="dxa"/>
          </w:tblCellMar>
          <w:tblLook w:val="0000"/>
        </w:tblPrEx>
        <w:tc>
          <w:tcPr>
            <w:tcW w:w="3308" w:type="dxa"/>
            <w:tcBorders>
              <w:top w:val="nil"/>
              <w:left w:val="nil"/>
              <w:bottom w:val="nil"/>
              <w:right w:val="nil"/>
            </w:tcBorders>
            <w:tcMar>
              <w:top w:w="0" w:type="dxa"/>
              <w:left w:w="62" w:type="dxa"/>
              <w:bottom w:w="0" w:type="dxa"/>
              <w:right w:w="62" w:type="dxa"/>
            </w:tcMar>
          </w:tcPr>
          <w:p w:rsidR="00000000" w:rsidP="00FF31A3">
            <w:pPr>
              <w:pStyle w:val="BodyText"/>
              <w:rPr>
                <w:lang w:val="en-NZ"/>
              </w:rPr>
            </w:pPr>
            <w:r w:rsidRPr="00FF31A3">
              <w:rPr>
                <w:rStyle w:val="SpecialBold"/>
              </w:rPr>
              <w:t>Associated activities are those that may affect the movement of trains and may include:</w:t>
            </w:r>
          </w:p>
        </w:tc>
        <w:tc>
          <w:tcPr>
            <w:tcW w:w="6157" w:type="dxa"/>
            <w:tcBorders>
              <w:top w:val="nil"/>
              <w:left w:val="nil"/>
              <w:bottom w:val="nil"/>
              <w:right w:val="nil"/>
            </w:tcBorders>
            <w:tcMar>
              <w:top w:w="0" w:type="dxa"/>
              <w:left w:w="62" w:type="dxa"/>
              <w:bottom w:w="0" w:type="dxa"/>
              <w:right w:w="62" w:type="dxa"/>
            </w:tcMar>
          </w:tcPr>
          <w:p w:rsidR="00000000" w:rsidRPr="00FF31A3" w:rsidP="00FF31A3">
            <w:pPr>
              <w:pStyle w:val="ListBullet"/>
            </w:pPr>
            <w:r w:rsidRPr="00FF31A3">
              <w:t>track maintenance</w:t>
            </w:r>
          </w:p>
          <w:p w:rsidR="00000000" w:rsidRPr="00FF31A3" w:rsidP="00FF31A3">
            <w:pPr>
              <w:pStyle w:val="ListBullet"/>
            </w:pPr>
            <w:r w:rsidRPr="00FF31A3">
              <w:t>signal maintenance</w:t>
            </w:r>
          </w:p>
          <w:p w:rsidR="00000000" w:rsidRPr="00FF31A3" w:rsidP="00FF31A3">
            <w:pPr>
              <w:pStyle w:val="ListBullet"/>
            </w:pPr>
            <w:r w:rsidRPr="00FF31A3">
              <w:t>defective electrical systems</w:t>
            </w:r>
          </w:p>
          <w:p w:rsidR="00000000" w:rsidRPr="00FF31A3" w:rsidP="00FF31A3">
            <w:pPr>
              <w:pStyle w:val="ListBullet"/>
            </w:pPr>
            <w:r w:rsidRPr="00FF31A3">
              <w:t>diversion and/or alternative routing of trains</w:t>
            </w:r>
          </w:p>
          <w:p w:rsidR="00000000" w:rsidP="00FF31A3">
            <w:pPr>
              <w:pStyle w:val="ListBullet"/>
              <w:rPr>
                <w:lang w:val="en-NZ"/>
              </w:rPr>
            </w:pPr>
            <w:r w:rsidRPr="00FF31A3">
              <w:t>track inspection</w:t>
            </w:r>
          </w:p>
        </w:tc>
      </w:tr>
      <w:tr w:rsidTr="00FF31A3">
        <w:tblPrEx>
          <w:tblW w:w="9465" w:type="dxa"/>
          <w:tblLayout w:type="fixed"/>
          <w:tblCellMar>
            <w:left w:w="62" w:type="dxa"/>
            <w:right w:w="62" w:type="dxa"/>
          </w:tblCellMar>
          <w:tblLook w:val="0000"/>
        </w:tblPrEx>
        <w:tc>
          <w:tcPr>
            <w:tcW w:w="3308" w:type="dxa"/>
            <w:tcBorders>
              <w:top w:val="nil"/>
              <w:left w:val="nil"/>
              <w:bottom w:val="nil"/>
              <w:right w:val="nil"/>
            </w:tcBorders>
            <w:tcMar>
              <w:top w:w="0" w:type="dxa"/>
              <w:left w:w="62" w:type="dxa"/>
              <w:bottom w:w="0" w:type="dxa"/>
              <w:right w:w="62" w:type="dxa"/>
            </w:tcMar>
          </w:tcPr>
          <w:p w:rsidR="00000000" w:rsidP="00FF31A3">
            <w:pPr>
              <w:pStyle w:val="BodyText"/>
              <w:rPr>
                <w:lang w:val="en-NZ"/>
              </w:rPr>
            </w:pPr>
            <w:r w:rsidRPr="00FF31A3">
              <w:rPr>
                <w:rStyle w:val="SpecialBold"/>
              </w:rPr>
              <w:t>Events triggering the need for implementing contingency plans may include:</w:t>
            </w:r>
          </w:p>
        </w:tc>
        <w:tc>
          <w:tcPr>
            <w:tcW w:w="6157" w:type="dxa"/>
            <w:tcBorders>
              <w:top w:val="nil"/>
              <w:left w:val="nil"/>
              <w:bottom w:val="nil"/>
              <w:right w:val="nil"/>
            </w:tcBorders>
            <w:tcMar>
              <w:top w:w="0" w:type="dxa"/>
              <w:left w:w="62" w:type="dxa"/>
              <w:bottom w:w="0" w:type="dxa"/>
              <w:right w:w="62" w:type="dxa"/>
            </w:tcMar>
          </w:tcPr>
          <w:p w:rsidR="00000000" w:rsidRPr="00FF31A3" w:rsidP="00FF31A3">
            <w:pPr>
              <w:pStyle w:val="ListBullet"/>
            </w:pPr>
            <w:r w:rsidRPr="00FF31A3">
              <w:t>breakdowns</w:t>
            </w:r>
          </w:p>
          <w:p w:rsidR="00000000" w:rsidRPr="00FF31A3" w:rsidP="00FF31A3">
            <w:pPr>
              <w:pStyle w:val="ListBullet"/>
            </w:pPr>
            <w:r w:rsidRPr="00FF31A3">
              <w:t>hazardous materials spills</w:t>
            </w:r>
          </w:p>
          <w:p w:rsidR="00000000" w:rsidRPr="00FF31A3" w:rsidP="00FF31A3">
            <w:pPr>
              <w:pStyle w:val="ListBullet"/>
            </w:pPr>
            <w:r w:rsidRPr="00FF31A3">
              <w:t>track damage</w:t>
            </w:r>
          </w:p>
          <w:p w:rsidR="00000000" w:rsidRPr="00FF31A3" w:rsidP="00FF31A3">
            <w:pPr>
              <w:pStyle w:val="ListBullet"/>
            </w:pPr>
            <w:r w:rsidRPr="00FF31A3">
              <w:t>adverse environmental events</w:t>
            </w:r>
          </w:p>
          <w:p w:rsidR="00000000" w:rsidRPr="00FF31A3" w:rsidP="00FF31A3">
            <w:pPr>
              <w:pStyle w:val="ListBullet"/>
            </w:pPr>
            <w:r w:rsidRPr="00FF31A3">
              <w:t>collisions</w:t>
            </w:r>
          </w:p>
          <w:p w:rsidR="00000000" w:rsidRPr="00FF31A3" w:rsidP="00FF31A3">
            <w:pPr>
              <w:pStyle w:val="ListBullet"/>
            </w:pPr>
            <w:r w:rsidRPr="00FF31A3">
              <w:t>injuries and fatalities</w:t>
            </w:r>
          </w:p>
          <w:p w:rsidR="00000000" w:rsidRPr="00FF31A3" w:rsidP="00FF31A3">
            <w:pPr>
              <w:pStyle w:val="ListBullet"/>
            </w:pPr>
            <w:r w:rsidRPr="00FF31A3">
              <w:t xml:space="preserve">fires </w:t>
            </w:r>
          </w:p>
          <w:p w:rsidR="00000000" w:rsidRPr="00FF31A3" w:rsidP="00FF31A3">
            <w:pPr>
              <w:pStyle w:val="ListBullet"/>
            </w:pPr>
            <w:r w:rsidRPr="00FF31A3">
              <w:t>electrical system faults</w:t>
            </w:r>
          </w:p>
          <w:p w:rsidR="00000000" w:rsidP="00FF31A3">
            <w:pPr>
              <w:pStyle w:val="ListBullet"/>
              <w:rPr>
                <w:lang w:val="en-NZ"/>
              </w:rPr>
            </w:pPr>
            <w:r w:rsidRPr="00FF31A3">
              <w:t>derailments</w:t>
            </w:r>
          </w:p>
        </w:tc>
      </w:tr>
      <w:tr w:rsidTr="00FF31A3">
        <w:tblPrEx>
          <w:tblW w:w="9465" w:type="dxa"/>
          <w:tblLayout w:type="fixed"/>
          <w:tblCellMar>
            <w:left w:w="62" w:type="dxa"/>
            <w:right w:w="62" w:type="dxa"/>
          </w:tblCellMar>
          <w:tblLook w:val="0000"/>
        </w:tblPrEx>
        <w:tc>
          <w:tcPr>
            <w:tcW w:w="3308" w:type="dxa"/>
            <w:tcBorders>
              <w:top w:val="nil"/>
              <w:left w:val="nil"/>
              <w:bottom w:val="nil"/>
              <w:right w:val="nil"/>
            </w:tcBorders>
            <w:tcMar>
              <w:top w:w="0" w:type="dxa"/>
              <w:left w:w="62" w:type="dxa"/>
              <w:bottom w:w="0" w:type="dxa"/>
              <w:right w:w="62" w:type="dxa"/>
            </w:tcMar>
          </w:tcPr>
          <w:p w:rsidR="00000000" w:rsidP="00FF31A3">
            <w:pPr>
              <w:pStyle w:val="BodyText"/>
              <w:rPr>
                <w:lang w:val="en-NZ"/>
              </w:rPr>
            </w:pPr>
            <w:r w:rsidRPr="00FF31A3">
              <w:rPr>
                <w:rStyle w:val="SpecialBold"/>
              </w:rPr>
              <w:t>Communication systems may include:</w:t>
            </w:r>
          </w:p>
        </w:tc>
        <w:tc>
          <w:tcPr>
            <w:tcW w:w="6157" w:type="dxa"/>
            <w:tcBorders>
              <w:top w:val="nil"/>
              <w:left w:val="nil"/>
              <w:bottom w:val="nil"/>
              <w:right w:val="nil"/>
            </w:tcBorders>
            <w:tcMar>
              <w:top w:w="0" w:type="dxa"/>
              <w:left w:w="62" w:type="dxa"/>
              <w:bottom w:w="0" w:type="dxa"/>
              <w:right w:w="62" w:type="dxa"/>
            </w:tcMar>
          </w:tcPr>
          <w:p w:rsidR="00000000" w:rsidRPr="00FF31A3" w:rsidP="00FF31A3">
            <w:pPr>
              <w:pStyle w:val="ListBullet"/>
            </w:pPr>
            <w:r w:rsidRPr="00FF31A3">
              <w:t>radios</w:t>
            </w:r>
          </w:p>
          <w:p w:rsidR="00000000" w:rsidRPr="00FF31A3" w:rsidP="00FF31A3">
            <w:pPr>
              <w:pStyle w:val="ListBullet"/>
            </w:pPr>
            <w:r w:rsidRPr="00FF31A3">
              <w:t>telephones</w:t>
            </w:r>
          </w:p>
          <w:p w:rsidR="00000000" w:rsidRPr="00FF31A3" w:rsidP="00FF31A3">
            <w:pPr>
              <w:pStyle w:val="ListBullet"/>
            </w:pPr>
            <w:r w:rsidRPr="00FF31A3">
              <w:t>fax machines</w:t>
            </w:r>
          </w:p>
          <w:p w:rsidR="00000000" w:rsidRPr="00FF31A3" w:rsidP="00FF31A3">
            <w:pPr>
              <w:pStyle w:val="ListBullet"/>
            </w:pPr>
            <w:r w:rsidRPr="00FF31A3">
              <w:t>computers</w:t>
            </w:r>
          </w:p>
          <w:p w:rsidR="00000000" w:rsidP="00FF31A3">
            <w:pPr>
              <w:pStyle w:val="ListBullet"/>
              <w:rPr>
                <w:lang w:val="en-NZ"/>
              </w:rPr>
            </w:pPr>
            <w:r w:rsidRPr="00FF31A3">
              <w:t>electronic, including email, intranet and internet</w:t>
            </w:r>
          </w:p>
        </w:tc>
      </w:tr>
      <w:tr w:rsidTr="00FF31A3">
        <w:tblPrEx>
          <w:tblW w:w="9465" w:type="dxa"/>
          <w:tblLayout w:type="fixed"/>
          <w:tblCellMar>
            <w:left w:w="62" w:type="dxa"/>
            <w:right w:w="62" w:type="dxa"/>
          </w:tblCellMar>
          <w:tblLook w:val="0000"/>
        </w:tblPrEx>
        <w:tc>
          <w:tcPr>
            <w:tcW w:w="3308" w:type="dxa"/>
            <w:tcBorders>
              <w:top w:val="nil"/>
              <w:left w:val="nil"/>
              <w:bottom w:val="nil"/>
              <w:right w:val="nil"/>
            </w:tcBorders>
            <w:tcMar>
              <w:top w:w="0" w:type="dxa"/>
              <w:left w:w="62" w:type="dxa"/>
              <w:bottom w:w="0" w:type="dxa"/>
              <w:right w:w="62" w:type="dxa"/>
            </w:tcMar>
          </w:tcPr>
          <w:p w:rsidR="00000000" w:rsidP="00FF31A3">
            <w:pPr>
              <w:pStyle w:val="BodyText"/>
              <w:rPr>
                <w:lang w:val="en-NZ"/>
              </w:rPr>
            </w:pPr>
            <w:r w:rsidRPr="00FF31A3">
              <w:rPr>
                <w:rStyle w:val="SpecialBold"/>
              </w:rPr>
              <w:t>Rail safety workers may include:</w:t>
            </w:r>
          </w:p>
        </w:tc>
        <w:tc>
          <w:tcPr>
            <w:tcW w:w="6157" w:type="dxa"/>
            <w:tcBorders>
              <w:top w:val="nil"/>
              <w:left w:val="nil"/>
              <w:bottom w:val="nil"/>
              <w:right w:val="nil"/>
            </w:tcBorders>
            <w:tcMar>
              <w:top w:w="0" w:type="dxa"/>
              <w:left w:w="62" w:type="dxa"/>
              <w:bottom w:w="0" w:type="dxa"/>
              <w:right w:w="62" w:type="dxa"/>
            </w:tcMar>
          </w:tcPr>
          <w:p w:rsidR="00000000" w:rsidRPr="00FF31A3" w:rsidP="00FF31A3">
            <w:pPr>
              <w:pStyle w:val="ListBullet"/>
            </w:pPr>
            <w:r w:rsidRPr="00FF31A3">
              <w:t>train crew</w:t>
            </w:r>
          </w:p>
          <w:p w:rsidR="00000000" w:rsidRPr="00FF31A3" w:rsidP="00FF31A3">
            <w:pPr>
              <w:pStyle w:val="ListBullet"/>
            </w:pPr>
            <w:r w:rsidRPr="00FF31A3">
              <w:t>track workers</w:t>
            </w:r>
          </w:p>
          <w:p w:rsidR="00000000" w:rsidRPr="00FF31A3" w:rsidP="00FF31A3">
            <w:pPr>
              <w:pStyle w:val="ListBullet"/>
            </w:pPr>
            <w:r w:rsidRPr="00FF31A3">
              <w:t>contractors</w:t>
            </w:r>
          </w:p>
          <w:p w:rsidR="00000000" w:rsidRPr="00FF31A3" w:rsidP="00FF31A3">
            <w:pPr>
              <w:pStyle w:val="ListBullet"/>
            </w:pPr>
            <w:r w:rsidRPr="00FF31A3">
              <w:t>other network controllers</w:t>
            </w:r>
          </w:p>
          <w:p w:rsidR="00000000" w:rsidRPr="00FF31A3" w:rsidP="00FF31A3">
            <w:pPr>
              <w:pStyle w:val="ListBullet"/>
            </w:pPr>
            <w:r w:rsidRPr="00FF31A3">
              <w:t>signallers</w:t>
            </w:r>
          </w:p>
          <w:p w:rsidR="00000000" w:rsidRPr="00FF31A3" w:rsidP="00FF31A3">
            <w:pPr>
              <w:pStyle w:val="ListBullet"/>
            </w:pPr>
            <w:r w:rsidRPr="00FF31A3">
              <w:t>network access supervisors</w:t>
            </w:r>
          </w:p>
          <w:p w:rsidR="00000000" w:rsidP="00FF31A3">
            <w:pPr>
              <w:pStyle w:val="ListBullet"/>
              <w:rPr>
                <w:lang w:val="en-NZ"/>
              </w:rPr>
            </w:pPr>
            <w:r w:rsidRPr="00FF31A3">
              <w:t>safeworking inspectors</w:t>
            </w:r>
          </w:p>
        </w:tc>
      </w:tr>
      <w:tr w:rsidTr="00FF31A3">
        <w:tblPrEx>
          <w:tblW w:w="9465" w:type="dxa"/>
          <w:tblLayout w:type="fixed"/>
          <w:tblCellMar>
            <w:left w:w="62" w:type="dxa"/>
            <w:right w:w="62" w:type="dxa"/>
          </w:tblCellMar>
          <w:tblLook w:val="0000"/>
        </w:tblPrEx>
        <w:tc>
          <w:tcPr>
            <w:tcW w:w="3308" w:type="dxa"/>
            <w:tcBorders>
              <w:top w:val="nil"/>
              <w:left w:val="nil"/>
              <w:bottom w:val="nil"/>
              <w:right w:val="nil"/>
            </w:tcBorders>
            <w:tcMar>
              <w:top w:w="0" w:type="dxa"/>
              <w:left w:w="62" w:type="dxa"/>
              <w:bottom w:w="0" w:type="dxa"/>
              <w:right w:w="62" w:type="dxa"/>
            </w:tcMar>
          </w:tcPr>
          <w:p w:rsidR="00000000" w:rsidP="00FF31A3">
            <w:pPr>
              <w:pStyle w:val="BodyText"/>
              <w:rPr>
                <w:lang w:val="en-NZ"/>
              </w:rPr>
            </w:pPr>
            <w:r w:rsidRPr="00FF31A3">
              <w:rPr>
                <w:rStyle w:val="SpecialBold"/>
              </w:rPr>
              <w:t>Stakeholders and customers may include:</w:t>
            </w:r>
          </w:p>
        </w:tc>
        <w:tc>
          <w:tcPr>
            <w:tcW w:w="6157" w:type="dxa"/>
            <w:tcBorders>
              <w:top w:val="nil"/>
              <w:left w:val="nil"/>
              <w:bottom w:val="nil"/>
              <w:right w:val="nil"/>
            </w:tcBorders>
            <w:tcMar>
              <w:top w:w="0" w:type="dxa"/>
              <w:left w:w="62" w:type="dxa"/>
              <w:bottom w:w="0" w:type="dxa"/>
              <w:right w:w="62" w:type="dxa"/>
            </w:tcMar>
          </w:tcPr>
          <w:p w:rsidR="00000000" w:rsidRPr="00FF31A3" w:rsidP="00FF31A3">
            <w:pPr>
              <w:pStyle w:val="ListBullet"/>
            </w:pPr>
            <w:r w:rsidRPr="00FF31A3">
              <w:t>regulators</w:t>
            </w:r>
          </w:p>
          <w:p w:rsidR="00000000" w:rsidRPr="00FF31A3" w:rsidP="00FF31A3">
            <w:pPr>
              <w:pStyle w:val="ListBullet"/>
            </w:pPr>
            <w:r w:rsidRPr="00FF31A3">
              <w:t>third-party operators</w:t>
            </w:r>
          </w:p>
          <w:p w:rsidR="00000000" w:rsidRPr="00FF31A3" w:rsidP="00FF31A3">
            <w:pPr>
              <w:pStyle w:val="ListBullet"/>
            </w:pPr>
            <w:r w:rsidRPr="00FF31A3">
              <w:t>contractors</w:t>
            </w:r>
          </w:p>
          <w:p w:rsidR="00000000" w:rsidRPr="00FF31A3" w:rsidP="00FF31A3">
            <w:pPr>
              <w:pStyle w:val="ListBullet"/>
            </w:pPr>
            <w:r w:rsidRPr="00FF31A3">
              <w:t>emergency services</w:t>
            </w:r>
          </w:p>
          <w:p w:rsidR="00000000" w:rsidRPr="00FF31A3" w:rsidP="00FF31A3">
            <w:pPr>
              <w:pStyle w:val="ListBullet"/>
            </w:pPr>
            <w:r w:rsidRPr="00FF31A3">
              <w:t>passengers</w:t>
            </w:r>
          </w:p>
          <w:p w:rsidR="00000000" w:rsidRPr="00FF31A3" w:rsidP="00FF31A3">
            <w:pPr>
              <w:pStyle w:val="ListBullet"/>
            </w:pPr>
            <w:r w:rsidRPr="00FF31A3">
              <w:t>customer services</w:t>
            </w:r>
          </w:p>
          <w:p w:rsidR="00000000" w:rsidRPr="00FF31A3" w:rsidP="00FF31A3">
            <w:pPr>
              <w:pStyle w:val="ListBullet"/>
            </w:pPr>
            <w:r w:rsidRPr="00FF31A3">
              <w:t>media unit</w:t>
            </w:r>
          </w:p>
          <w:p w:rsidR="00000000" w:rsidP="00FF31A3">
            <w:pPr>
              <w:pStyle w:val="ListBullet"/>
              <w:rPr>
                <w:lang w:val="en-NZ"/>
              </w:rPr>
            </w:pPr>
            <w:r w:rsidRPr="00FF31A3">
              <w:t>state government</w:t>
            </w:r>
          </w:p>
        </w:tc>
      </w:tr>
      <w:tr w:rsidTr="00FF31A3">
        <w:tblPrEx>
          <w:tblW w:w="9465" w:type="dxa"/>
          <w:tblLayout w:type="fixed"/>
          <w:tblCellMar>
            <w:left w:w="62" w:type="dxa"/>
            <w:right w:w="62" w:type="dxa"/>
          </w:tblCellMar>
          <w:tblLook w:val="0000"/>
        </w:tblPrEx>
        <w:tc>
          <w:tcPr>
            <w:tcW w:w="3308" w:type="dxa"/>
            <w:tcBorders>
              <w:top w:val="nil"/>
              <w:left w:val="nil"/>
              <w:bottom w:val="nil"/>
              <w:right w:val="nil"/>
            </w:tcBorders>
            <w:tcMar>
              <w:top w:w="0" w:type="dxa"/>
              <w:left w:w="62" w:type="dxa"/>
              <w:bottom w:w="0" w:type="dxa"/>
              <w:right w:w="62" w:type="dxa"/>
            </w:tcMar>
          </w:tcPr>
          <w:p w:rsidR="00000000" w:rsidP="00FF31A3">
            <w:pPr>
              <w:pStyle w:val="BodyText"/>
              <w:rPr>
                <w:lang w:val="en-NZ"/>
              </w:rPr>
            </w:pPr>
            <w:r w:rsidRPr="00FF31A3">
              <w:rPr>
                <w:rStyle w:val="SpecialBold"/>
              </w:rPr>
              <w:t>Traffic movement documentation may include:</w:t>
            </w:r>
          </w:p>
        </w:tc>
        <w:tc>
          <w:tcPr>
            <w:tcW w:w="6157" w:type="dxa"/>
            <w:tcBorders>
              <w:top w:val="nil"/>
              <w:left w:val="nil"/>
              <w:bottom w:val="nil"/>
              <w:right w:val="nil"/>
            </w:tcBorders>
            <w:tcMar>
              <w:top w:w="0" w:type="dxa"/>
              <w:left w:w="62" w:type="dxa"/>
              <w:bottom w:w="0" w:type="dxa"/>
              <w:right w:w="62" w:type="dxa"/>
            </w:tcMar>
          </w:tcPr>
          <w:p w:rsidR="00000000" w:rsidRPr="00FF31A3" w:rsidP="00FF31A3">
            <w:pPr>
              <w:pStyle w:val="ListBullet"/>
            </w:pPr>
            <w:r w:rsidRPr="00FF31A3">
              <w:t>train timetables</w:t>
            </w:r>
          </w:p>
          <w:p w:rsidR="00000000" w:rsidRPr="00FF31A3" w:rsidP="00FF31A3">
            <w:pPr>
              <w:pStyle w:val="ListBullet"/>
            </w:pPr>
            <w:r w:rsidRPr="00FF31A3">
              <w:t>track possessions and work notices</w:t>
            </w:r>
          </w:p>
          <w:p w:rsidR="00000000" w:rsidRPr="00FF31A3" w:rsidP="00FF31A3">
            <w:pPr>
              <w:pStyle w:val="ListBullet"/>
            </w:pPr>
            <w:r w:rsidRPr="00FF31A3">
              <w:t>incident and/or unplanned event reports</w:t>
            </w:r>
          </w:p>
          <w:p w:rsidR="00000000" w:rsidRPr="00FF31A3" w:rsidP="00FF31A3">
            <w:pPr>
              <w:pStyle w:val="ListBullet"/>
            </w:pPr>
            <w:r w:rsidRPr="00FF31A3">
              <w:t>train graphs and/or diagrams</w:t>
            </w:r>
          </w:p>
          <w:p w:rsidR="00000000" w:rsidRPr="00FF31A3" w:rsidP="00FF31A3">
            <w:pPr>
              <w:pStyle w:val="ListBullet"/>
            </w:pPr>
            <w:r w:rsidRPr="00FF31A3">
              <w:t xml:space="preserve">train notices </w:t>
            </w:r>
          </w:p>
          <w:p w:rsidR="00000000" w:rsidRPr="00FF31A3" w:rsidP="00FF31A3">
            <w:pPr>
              <w:pStyle w:val="ListBullet"/>
            </w:pPr>
            <w:r w:rsidRPr="00FF31A3">
              <w:t>special train notices</w:t>
            </w:r>
          </w:p>
          <w:p w:rsidR="00000000" w:rsidRPr="00FF31A3" w:rsidP="00FF31A3">
            <w:pPr>
              <w:pStyle w:val="ListBullet"/>
            </w:pPr>
            <w:r w:rsidRPr="00FF31A3">
              <w:t>weekly notices</w:t>
            </w:r>
          </w:p>
          <w:p w:rsidR="00000000" w:rsidP="00FF31A3">
            <w:pPr>
              <w:pStyle w:val="ListBullet"/>
              <w:rPr>
                <w:lang w:val="en-NZ"/>
              </w:rPr>
            </w:pPr>
            <w:r w:rsidRPr="00FF31A3">
              <w:t>safeworking documentation</w:t>
            </w:r>
          </w:p>
        </w:tc>
      </w:tr>
      <w:tr w:rsidTr="00FF31A3">
        <w:tblPrEx>
          <w:tblW w:w="9465" w:type="dxa"/>
          <w:tblLayout w:type="fixed"/>
          <w:tblCellMar>
            <w:left w:w="62" w:type="dxa"/>
            <w:right w:w="62" w:type="dxa"/>
          </w:tblCellMar>
          <w:tblLook w:val="0000"/>
        </w:tblPrEx>
        <w:trPr>
          <w:trHeight w:val="57"/>
        </w:trPr>
        <w:tc>
          <w:tcPr>
            <w:tcW w:w="3308" w:type="dxa"/>
            <w:tcBorders>
              <w:top w:val="nil"/>
              <w:left w:val="nil"/>
              <w:bottom w:val="nil"/>
              <w:right w:val="nil"/>
            </w:tcBorders>
            <w:tcMar>
              <w:top w:w="0" w:type="dxa"/>
              <w:left w:w="62" w:type="dxa"/>
              <w:bottom w:w="0" w:type="dxa"/>
              <w:right w:w="62" w:type="dxa"/>
            </w:tcMar>
          </w:tcPr>
          <w:p w:rsidR="00000000" w:rsidP="00FF31A3">
            <w:pPr>
              <w:pStyle w:val="BodyText"/>
              <w:rPr>
                <w:lang w:val="en-NZ"/>
              </w:rPr>
            </w:pPr>
            <w:r w:rsidRPr="00FF31A3">
              <w:rPr>
                <w:rStyle w:val="SpecialBold"/>
              </w:rPr>
              <w:t xml:space="preserve">Applicable </w:t>
            </w:r>
            <w:r w:rsidRPr="00FF31A3">
              <w:rPr>
                <w:rStyle w:val="SpecialBold"/>
              </w:rPr>
              <w:t>procedures and codes may include:</w:t>
            </w:r>
          </w:p>
        </w:tc>
        <w:tc>
          <w:tcPr>
            <w:tcW w:w="6157" w:type="dxa"/>
            <w:tcBorders>
              <w:top w:val="nil"/>
              <w:left w:val="nil"/>
              <w:bottom w:val="nil"/>
              <w:right w:val="nil"/>
            </w:tcBorders>
            <w:tcMar>
              <w:top w:w="0" w:type="dxa"/>
              <w:left w:w="62" w:type="dxa"/>
              <w:bottom w:w="0" w:type="dxa"/>
              <w:right w:w="62" w:type="dxa"/>
            </w:tcMar>
          </w:tcPr>
          <w:p w:rsidR="00000000" w:rsidRPr="00FF31A3" w:rsidP="00FF31A3">
            <w:pPr>
              <w:pStyle w:val="ListBullet"/>
            </w:pPr>
            <w:r w:rsidRPr="00FF31A3">
              <w:t>relevant state or territory codes of practice and safeworking system requirements</w:t>
            </w:r>
          </w:p>
          <w:p w:rsidR="00000000" w:rsidRPr="00FF31A3" w:rsidP="00FF31A3">
            <w:pPr>
              <w:pStyle w:val="ListBullet"/>
            </w:pPr>
            <w:r w:rsidRPr="00FF31A3">
              <w:t>relevant state and territory legislation relating to:</w:t>
            </w:r>
          </w:p>
          <w:p w:rsidR="00000000" w:rsidRPr="00FF31A3" w:rsidP="00FF31A3">
            <w:pPr>
              <w:pStyle w:val="ListBullet2"/>
            </w:pPr>
            <w:r w:rsidRPr="00FF31A3">
              <w:t>environmental protection legislation</w:t>
            </w:r>
          </w:p>
          <w:p w:rsidR="00000000" w:rsidRPr="00FF31A3" w:rsidP="00FF31A3">
            <w:pPr>
              <w:pStyle w:val="ListBullet2"/>
            </w:pPr>
            <w:r w:rsidRPr="00FF31A3">
              <w:t>OH&amp;S legislation</w:t>
            </w:r>
          </w:p>
          <w:p w:rsidR="00000000" w:rsidRPr="00FF31A3" w:rsidP="00FF31A3">
            <w:pPr>
              <w:pStyle w:val="ListBullet"/>
            </w:pPr>
            <w:r w:rsidRPr="00FF31A3">
              <w:t>relevant Australian standards</w:t>
            </w:r>
          </w:p>
          <w:p w:rsidR="00000000" w:rsidRPr="00FF31A3" w:rsidP="00FF31A3">
            <w:pPr>
              <w:pStyle w:val="ListBullet"/>
            </w:pPr>
            <w:r w:rsidRPr="00FF31A3">
              <w:t>relevant sections of Australian Dangerous Goods (ADG) Code and regulations</w:t>
            </w:r>
          </w:p>
        </w:tc>
      </w:tr>
    </w:tbl>
    <w:p w:rsidR="00000000" w:rsidRPr="00FF31A3" w:rsidP="00FF31A3">
      <w:pPr>
        <w:pStyle w:val="BodyText"/>
      </w:pPr>
    </w:p>
    <w:p w:rsidR="00000000" w:rsidRPr="00FF31A3" w:rsidP="00FF31A3">
      <w:pPr>
        <w:pStyle w:val="AllowPageBreak"/>
      </w:pPr>
    </w:p>
    <w:p w:rsidR="00000000" w:rsidRPr="00FF31A3" w:rsidP="00FF31A3">
      <w:pPr>
        <w:pStyle w:val="Heading1"/>
      </w:pPr>
      <w:bookmarkStart w:id="12" w:name="O_357829"/>
      <w:bookmarkEnd w:id="12"/>
      <w:r w:rsidRPr="00FF31A3">
        <w:t>Unit Sector(s)</w:t>
      </w:r>
    </w:p>
    <w:p w:rsidR="00000000" w:rsidRPr="00FF31A3" w:rsidP="00FF31A3">
      <w:pPr>
        <w:pStyle w:val="BodyText"/>
      </w:pPr>
      <w:r w:rsidRPr="00FF31A3">
        <w:t>Not applicable.</w:t>
      </w:r>
    </w:p>
    <w:p w:rsidR="00000000" w:rsidRPr="00FF31A3" w:rsidP="00FF31A3">
      <w:pPr>
        <w:pStyle w:val="AllowPageBreak"/>
      </w:pPr>
    </w:p>
    <w:p w:rsidR="00000000" w:rsidRPr="00FF31A3" w:rsidP="00FF31A3">
      <w:pPr>
        <w:pStyle w:val="Heading1"/>
      </w:pPr>
      <w:bookmarkStart w:id="13" w:name="O_357830"/>
      <w:bookmarkEnd w:id="13"/>
      <w:r w:rsidRPr="00FF31A3">
        <w:t xml:space="preserve">Competency Field </w:t>
      </w:r>
    </w:p>
    <w:p w:rsidR="00000000" w:rsidRPr="00FF31A3" w:rsidP="00FF31A3">
      <w:pPr>
        <w:pStyle w:val="BodyText"/>
      </w:pPr>
      <w:r w:rsidRPr="00FF31A3">
        <w:t>L – Resource Management</w:t>
      </w:r>
    </w:p>
    <w:p w:rsidR="00000000" w:rsidRPr="00FF31A3" w:rsidP="00FF31A3"/>
    <w:sectPr w:rsidSect="00FF31A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31A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C487B" w:rsidP="00EC487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31A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487B" w:rsidP="00FF31A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EC487B" w:rsidP="00FF31A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EC487B" w:rsidP="00FF31A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31A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C487B" w:rsidP="00EC487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31A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487B" w:rsidP="00FF31A3">
    <w:pPr>
      <w:pStyle w:val="Header"/>
      <w:framePr w:wrap="around"/>
    </w:pPr>
    <w:r>
      <w:fldChar w:fldCharType="begin"/>
    </w:r>
    <w:r>
      <w:instrText xml:space="preserve"> TITLE   \* MERGEFORMAT </w:instrText>
    </w:r>
    <w:r>
      <w:fldChar w:fldCharType="separate"/>
    </w:r>
    <w:r>
      <w:t>TLIL4074A Control and coordinate rail traffic movement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C487B" w:rsidP="00FF31A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A6C472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2B0320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108053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31A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F31A3"/>
    <w:pPr>
      <w:spacing w:before="360" w:after="60"/>
      <w:outlineLvl w:val="0"/>
    </w:pPr>
    <w:rPr>
      <w:sz w:val="32"/>
    </w:rPr>
  </w:style>
  <w:style w:type="paragraph" w:styleId="Heading2">
    <w:name w:val="heading 2"/>
    <w:basedOn w:val="HeadingBase"/>
    <w:next w:val="BodyText"/>
    <w:link w:val="Heading2Char"/>
    <w:qFormat/>
    <w:rsid w:val="00FF31A3"/>
    <w:pPr>
      <w:keepLines/>
      <w:spacing w:before="240" w:after="120"/>
      <w:outlineLvl w:val="1"/>
    </w:pPr>
    <w:rPr>
      <w:sz w:val="28"/>
      <w:szCs w:val="40"/>
    </w:rPr>
  </w:style>
  <w:style w:type="paragraph" w:styleId="Heading3">
    <w:name w:val="heading 3"/>
    <w:basedOn w:val="HeadingBase"/>
    <w:next w:val="BodyText"/>
    <w:link w:val="Heading3Char"/>
    <w:qFormat/>
    <w:rsid w:val="00FF31A3"/>
    <w:pPr>
      <w:spacing w:before="180" w:after="120"/>
      <w:outlineLvl w:val="2"/>
    </w:pPr>
    <w:rPr>
      <w:spacing w:val="-10"/>
      <w:kern w:val="32"/>
    </w:rPr>
  </w:style>
  <w:style w:type="paragraph" w:styleId="Heading4">
    <w:name w:val="heading 4"/>
    <w:basedOn w:val="HeadingBase"/>
    <w:next w:val="BodyText"/>
    <w:link w:val="Heading4Char"/>
    <w:qFormat/>
    <w:rsid w:val="00FF31A3"/>
    <w:pPr>
      <w:spacing w:before="160" w:after="120"/>
      <w:outlineLvl w:val="3"/>
    </w:pPr>
    <w:rPr>
      <w:sz w:val="22"/>
    </w:rPr>
  </w:style>
  <w:style w:type="paragraph" w:styleId="Heading5">
    <w:name w:val="heading 5"/>
    <w:basedOn w:val="HeadingBase"/>
    <w:next w:val="Normal"/>
    <w:link w:val="Heading5Char"/>
    <w:qFormat/>
    <w:rsid w:val="00FF31A3"/>
    <w:pPr>
      <w:spacing w:before="80"/>
      <w:outlineLvl w:val="4"/>
    </w:pPr>
    <w:rPr>
      <w:color w:val="918585"/>
      <w:sz w:val="20"/>
    </w:rPr>
  </w:style>
  <w:style w:type="paragraph" w:styleId="Heading6">
    <w:name w:val="heading 6"/>
    <w:basedOn w:val="HeadingBase"/>
    <w:next w:val="Normal"/>
    <w:link w:val="Heading6Char"/>
    <w:qFormat/>
    <w:rsid w:val="00FF31A3"/>
    <w:pPr>
      <w:spacing w:before="60"/>
      <w:outlineLvl w:val="5"/>
    </w:pPr>
    <w:rPr>
      <w:color w:val="918585"/>
      <w:sz w:val="20"/>
    </w:rPr>
  </w:style>
  <w:style w:type="paragraph" w:styleId="Heading7">
    <w:name w:val="heading 7"/>
    <w:basedOn w:val="Normal"/>
    <w:next w:val="Normal"/>
    <w:link w:val="Heading7Char"/>
    <w:qFormat/>
    <w:rsid w:val="00FF31A3"/>
    <w:pPr>
      <w:ind w:left="720"/>
      <w:outlineLvl w:val="6"/>
    </w:pPr>
    <w:rPr>
      <w:i/>
    </w:rPr>
  </w:style>
  <w:style w:type="paragraph" w:styleId="Heading8">
    <w:name w:val="heading 8"/>
    <w:basedOn w:val="Normal"/>
    <w:next w:val="Normal"/>
    <w:link w:val="Heading8Char"/>
    <w:qFormat/>
    <w:rsid w:val="00FF31A3"/>
    <w:pPr>
      <w:ind w:left="720"/>
      <w:outlineLvl w:val="7"/>
    </w:pPr>
    <w:rPr>
      <w:i/>
    </w:rPr>
  </w:style>
  <w:style w:type="paragraph" w:styleId="Heading9">
    <w:name w:val="heading 9"/>
    <w:basedOn w:val="Normal"/>
    <w:next w:val="Normal"/>
    <w:link w:val="Heading9Char"/>
    <w:qFormat/>
    <w:rsid w:val="00FF31A3"/>
    <w:pPr>
      <w:ind w:left="720"/>
      <w:outlineLvl w:val="8"/>
    </w:pPr>
    <w:rPr>
      <w:i/>
    </w:rPr>
  </w:style>
  <w:style w:type="character" w:default="1" w:styleId="DefaultParagraphFont">
    <w:name w:val="Default Paragraph Font"/>
    <w:uiPriority w:val="1"/>
    <w:unhideWhenUsed/>
    <w:rsid w:val="00FF31A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F31A3"/>
  </w:style>
  <w:style w:type="character" w:customStyle="1" w:styleId="Heading1Char">
    <w:name w:val="Heading 1 Char"/>
    <w:basedOn w:val="DefaultParagraphFont"/>
    <w:link w:val="Heading1"/>
    <w:rsid w:val="00FF31A3"/>
    <w:rPr>
      <w:rFonts w:ascii="Times New Roman" w:eastAsia="Times New Roman" w:hAnsi="Times New Roman" w:cs="Times New Roman"/>
      <w:b/>
      <w:sz w:val="32"/>
      <w:szCs w:val="20"/>
      <w:lang w:eastAsia="en-US"/>
    </w:rPr>
  </w:style>
  <w:style w:type="paragraph" w:styleId="BodyText">
    <w:name w:val="Body Text"/>
    <w:basedOn w:val="Normal"/>
    <w:link w:val="BodyTextChar"/>
    <w:rsid w:val="00FF31A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F31A3"/>
    <w:rPr>
      <w:rFonts w:ascii="Times New Roman" w:eastAsia="Times New Roman" w:hAnsi="Times New Roman" w:cs="Times New Roman"/>
      <w:sz w:val="24"/>
      <w:lang w:val="en-US" w:eastAsia="en-US"/>
    </w:rPr>
  </w:style>
  <w:style w:type="paragraph" w:styleId="Footer">
    <w:name w:val="footer"/>
    <w:basedOn w:val="Normal"/>
    <w:link w:val="FooterChar"/>
    <w:rsid w:val="00FF31A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F31A3"/>
    <w:rPr>
      <w:rFonts w:ascii="Times New Roman" w:eastAsia="Times New Roman" w:hAnsi="Times New Roman" w:cs="Times New Roman"/>
      <w:sz w:val="16"/>
      <w:lang w:val="en-US" w:eastAsia="en-US"/>
    </w:rPr>
  </w:style>
  <w:style w:type="paragraph" w:styleId="ListBullet">
    <w:name w:val="List Bullet"/>
    <w:basedOn w:val="List"/>
    <w:rsid w:val="00FF31A3"/>
    <w:pPr>
      <w:numPr>
        <w:numId w:val="13"/>
      </w:numPr>
      <w:tabs>
        <w:tab w:val="clear" w:pos="340"/>
      </w:tabs>
      <w:spacing w:before="40" w:after="40"/>
    </w:pPr>
  </w:style>
  <w:style w:type="character" w:customStyle="1" w:styleId="SpecialBold">
    <w:name w:val="Special Bold"/>
    <w:basedOn w:val="DefaultParagraphFont"/>
    <w:rsid w:val="00FF31A3"/>
    <w:rPr>
      <w:b/>
      <w:spacing w:val="0"/>
    </w:rPr>
  </w:style>
  <w:style w:type="paragraph" w:styleId="ListBullet2">
    <w:name w:val="List Bullet 2"/>
    <w:basedOn w:val="List2"/>
    <w:rsid w:val="00FF31A3"/>
    <w:pPr>
      <w:numPr>
        <w:numId w:val="14"/>
      </w:numPr>
      <w:tabs>
        <w:tab w:val="clear" w:pos="680"/>
      </w:tabs>
    </w:pPr>
  </w:style>
  <w:style w:type="paragraph" w:styleId="Header">
    <w:name w:val="header"/>
    <w:basedOn w:val="Normal"/>
    <w:link w:val="HeaderChar"/>
    <w:rsid w:val="00FF31A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F31A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F31A3"/>
    <w:pPr>
      <w:spacing w:before="240" w:after="120"/>
      <w:outlineLvl w:val="0"/>
    </w:pPr>
    <w:rPr>
      <w:rFonts w:ascii="Times New Roman" w:hAnsi="Times New Roman"/>
      <w:b/>
      <w:sz w:val="28"/>
    </w:rPr>
  </w:style>
  <w:style w:type="paragraph" w:customStyle="1" w:styleId="AllowPageBreak">
    <w:name w:val="AllowPageBreak"/>
    <w:rsid w:val="00FF31A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F31A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F31A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F31A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F31A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F31A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F31A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F31A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F31A3"/>
    <w:rPr>
      <w:rFonts w:ascii="Courier New" w:eastAsia="Times New Roman" w:hAnsi="Courier New" w:cs="Times New Roman"/>
      <w:i/>
      <w:szCs w:val="20"/>
      <w:lang w:val="en-US" w:eastAsia="en-US"/>
    </w:rPr>
  </w:style>
  <w:style w:type="paragraph" w:customStyle="1" w:styleId="HeadingBase">
    <w:name w:val="Heading Base"/>
    <w:rsid w:val="00FF31A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F31A3"/>
    <w:pPr>
      <w:tabs>
        <w:tab w:val="right" w:leader="dot" w:pos="9072"/>
      </w:tabs>
      <w:ind w:left="567"/>
    </w:pPr>
    <w:rPr>
      <w:szCs w:val="22"/>
    </w:rPr>
  </w:style>
  <w:style w:type="paragraph" w:customStyle="1" w:styleId="TOCBase">
    <w:name w:val="TOC Base"/>
    <w:rsid w:val="00FF31A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F31A3"/>
    <w:pPr>
      <w:tabs>
        <w:tab w:val="right" w:leader="dot" w:pos="9072"/>
      </w:tabs>
      <w:spacing w:before="40" w:after="40"/>
      <w:ind w:left="284"/>
    </w:pPr>
    <w:rPr>
      <w:rFonts w:ascii="Times New Roman" w:hAnsi="Times New Roman"/>
    </w:rPr>
  </w:style>
  <w:style w:type="paragraph" w:styleId="TOC1">
    <w:name w:val="toc 1"/>
    <w:basedOn w:val="TOCBase"/>
    <w:next w:val="Normal"/>
    <w:rsid w:val="00FF31A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F31A3"/>
    <w:pPr>
      <w:spacing w:before="5040"/>
      <w:jc w:val="center"/>
    </w:pPr>
    <w:rPr>
      <w:sz w:val="48"/>
      <w:szCs w:val="72"/>
      <w:lang w:val="en-US"/>
    </w:rPr>
  </w:style>
  <w:style w:type="character" w:customStyle="1" w:styleId="TitleChar">
    <w:name w:val="Title Char"/>
    <w:basedOn w:val="DefaultParagraphFont"/>
    <w:link w:val="Title"/>
    <w:rsid w:val="00FF31A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F31A3"/>
    <w:pPr>
      <w:tabs>
        <w:tab w:val="left" w:pos="3600"/>
        <w:tab w:val="left" w:pos="3958"/>
      </w:tabs>
    </w:pPr>
  </w:style>
  <w:style w:type="paragraph" w:styleId="List">
    <w:name w:val="List"/>
    <w:basedOn w:val="BodyText"/>
    <w:next w:val="BodyText"/>
    <w:rsid w:val="00FF31A3"/>
    <w:pPr>
      <w:tabs>
        <w:tab w:val="left" w:pos="340"/>
      </w:tabs>
      <w:spacing w:before="60" w:after="60"/>
      <w:ind w:left="340" w:hanging="340"/>
    </w:pPr>
  </w:style>
  <w:style w:type="paragraph" w:customStyle="1" w:styleId="Note">
    <w:name w:val="Note"/>
    <w:basedOn w:val="BodyText"/>
    <w:rsid w:val="00FF31A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F31A3"/>
    <w:pPr>
      <w:framePr w:wrap="auto" w:hAnchor="text" w:y="6049"/>
    </w:pPr>
    <w:rPr>
      <w:color w:val="000000"/>
      <w:sz w:val="40"/>
    </w:rPr>
  </w:style>
  <w:style w:type="paragraph" w:customStyle="1" w:styleId="TOCTitle">
    <w:name w:val="TOCTitle"/>
    <w:basedOn w:val="Heading1"/>
    <w:rsid w:val="00FF31A3"/>
    <w:pPr>
      <w:spacing w:after="240"/>
      <w:jc w:val="center"/>
      <w:outlineLvl w:val="9"/>
    </w:pPr>
    <w:rPr>
      <w:caps/>
    </w:rPr>
  </w:style>
  <w:style w:type="paragraph" w:customStyle="1" w:styleId="Version">
    <w:name w:val="Version"/>
    <w:rsid w:val="00FF31A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F31A3"/>
    <w:pPr>
      <w:keepNext w:val="0"/>
      <w:tabs>
        <w:tab w:val="right" w:pos="4176"/>
      </w:tabs>
      <w:ind w:left="198" w:hanging="198"/>
    </w:pPr>
    <w:rPr>
      <w:rFonts w:ascii="Garamond" w:hAnsi="Garamond"/>
    </w:rPr>
  </w:style>
  <w:style w:type="paragraph" w:styleId="IndexHeading">
    <w:name w:val="index heading"/>
    <w:basedOn w:val="Normal"/>
    <w:next w:val="Index1"/>
    <w:semiHidden/>
    <w:rsid w:val="00FF31A3"/>
    <w:pPr>
      <w:spacing w:before="120" w:after="120"/>
    </w:pPr>
    <w:rPr>
      <w:rFonts w:ascii="Arial" w:hAnsi="Arial"/>
      <w:b/>
      <w:color w:val="918585"/>
      <w:sz w:val="24"/>
    </w:rPr>
  </w:style>
  <w:style w:type="paragraph" w:customStyle="1" w:styleId="Chapter">
    <w:name w:val="Chapter"/>
    <w:basedOn w:val="Normal"/>
    <w:rsid w:val="00FF31A3"/>
    <w:pPr>
      <w:spacing w:before="240"/>
    </w:pPr>
    <w:rPr>
      <w:rFonts w:ascii="Times New Roman" w:hAnsi="Times New Roman"/>
      <w:smallCaps/>
      <w:spacing w:val="80"/>
      <w:sz w:val="28"/>
    </w:rPr>
  </w:style>
  <w:style w:type="paragraph" w:customStyle="1" w:styleId="InChapter">
    <w:name w:val="InChapter"/>
    <w:basedOn w:val="Heading3"/>
    <w:rsid w:val="00FF31A3"/>
    <w:pPr>
      <w:spacing w:after="240"/>
      <w:outlineLvl w:val="9"/>
    </w:pPr>
    <w:rPr>
      <w:noProof/>
    </w:rPr>
  </w:style>
  <w:style w:type="paragraph" w:styleId="Index2">
    <w:name w:val="index 2"/>
    <w:basedOn w:val="Normal"/>
    <w:next w:val="Normal"/>
    <w:semiHidden/>
    <w:rsid w:val="00FF31A3"/>
    <w:pPr>
      <w:tabs>
        <w:tab w:val="right" w:pos="4176"/>
      </w:tabs>
      <w:ind w:left="568" w:hanging="284"/>
    </w:pPr>
    <w:rPr>
      <w:rFonts w:ascii="Garamond" w:hAnsi="Garamond"/>
    </w:rPr>
  </w:style>
  <w:style w:type="paragraph" w:customStyle="1" w:styleId="Byline">
    <w:name w:val="Byline"/>
    <w:rsid w:val="00FF31A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F31A3"/>
    <w:pPr>
      <w:tabs>
        <w:tab w:val="clear" w:pos="3600"/>
        <w:tab w:val="clear" w:pos="3958"/>
      </w:tabs>
      <w:jc w:val="right"/>
    </w:pPr>
  </w:style>
  <w:style w:type="character" w:styleId="Emphasis">
    <w:name w:val="Emphasis"/>
    <w:basedOn w:val="DefaultParagraphFont"/>
    <w:qFormat/>
    <w:rsid w:val="00FF31A3"/>
    <w:rPr>
      <w:i/>
    </w:rPr>
  </w:style>
  <w:style w:type="paragraph" w:styleId="Caption">
    <w:name w:val="caption"/>
    <w:basedOn w:val="BodyText"/>
    <w:next w:val="Normal"/>
    <w:qFormat/>
    <w:rsid w:val="00FF31A3"/>
    <w:pPr>
      <w:framePr w:w="2268" w:hSpace="181" w:vSpace="181" w:wrap="around" w:vAnchor="text" w:hAnchor="page" w:x="1135" w:y="285" w:anchorLock="1"/>
    </w:pPr>
    <w:rPr>
      <w:i/>
    </w:rPr>
  </w:style>
  <w:style w:type="paragraph" w:customStyle="1" w:styleId="MiniTOCTitle">
    <w:name w:val="MiniTOCTitle"/>
    <w:basedOn w:val="Heading4"/>
    <w:rsid w:val="00FF31A3"/>
    <w:pPr>
      <w:spacing w:before="240"/>
      <w:outlineLvl w:val="9"/>
    </w:pPr>
    <w:rPr>
      <w:noProof/>
      <w:sz w:val="24"/>
    </w:rPr>
  </w:style>
  <w:style w:type="paragraph" w:customStyle="1" w:styleId="MiniTOCItem">
    <w:name w:val="MiniTOCItem"/>
    <w:basedOn w:val="ListBullet"/>
    <w:rsid w:val="00FF31A3"/>
    <w:pPr>
      <w:numPr>
        <w:numId w:val="0"/>
      </w:numPr>
      <w:tabs>
        <w:tab w:val="right" w:leader="dot" w:pos="6521"/>
      </w:tabs>
      <w:spacing w:before="0" w:after="0"/>
    </w:pPr>
  </w:style>
  <w:style w:type="paragraph" w:customStyle="1" w:styleId="TOFTitle">
    <w:name w:val="TOFTitle"/>
    <w:basedOn w:val="TOCTitle"/>
    <w:rsid w:val="00FF31A3"/>
  </w:style>
  <w:style w:type="paragraph" w:styleId="TableofFigures">
    <w:name w:val="table of figures"/>
    <w:basedOn w:val="Normal"/>
    <w:next w:val="Normal"/>
    <w:semiHidden/>
    <w:rsid w:val="00FF31A3"/>
    <w:pPr>
      <w:tabs>
        <w:tab w:val="right" w:leader="dot" w:pos="9072"/>
      </w:tabs>
      <w:ind w:left="970" w:hanging="403"/>
    </w:pPr>
    <w:rPr>
      <w:rFonts w:ascii="Times New Roman" w:hAnsi="Times New Roman"/>
      <w:b/>
    </w:rPr>
  </w:style>
  <w:style w:type="paragraph" w:styleId="ListNumber">
    <w:name w:val="List Number"/>
    <w:basedOn w:val="List"/>
    <w:rsid w:val="00FF31A3"/>
    <w:pPr>
      <w:numPr>
        <w:numId w:val="11"/>
      </w:numPr>
    </w:pPr>
  </w:style>
  <w:style w:type="character" w:customStyle="1" w:styleId="WingdingSymbols">
    <w:name w:val="Wingding Symbols"/>
    <w:rsid w:val="00FF31A3"/>
    <w:rPr>
      <w:rFonts w:ascii="Wingdings" w:hAnsi="Wingdings"/>
    </w:rPr>
  </w:style>
  <w:style w:type="paragraph" w:customStyle="1" w:styleId="TableHeading">
    <w:name w:val="Table Heading"/>
    <w:basedOn w:val="HeadingBase"/>
    <w:rsid w:val="00FF31A3"/>
    <w:pPr>
      <w:keepLines/>
      <w:pBdr>
        <w:bottom w:val="single" w:sz="6" w:space="1" w:color="918585"/>
      </w:pBdr>
      <w:spacing w:before="240"/>
    </w:pPr>
  </w:style>
  <w:style w:type="character" w:customStyle="1" w:styleId="HotSpot">
    <w:name w:val="HotSpot"/>
    <w:rsid w:val="00FF31A3"/>
    <w:rPr>
      <w:color w:val="0033CC"/>
      <w:u w:val="none"/>
    </w:rPr>
  </w:style>
  <w:style w:type="paragraph" w:customStyle="1" w:styleId="BodyTextRight">
    <w:name w:val="Body Text Right"/>
    <w:basedOn w:val="BodyText"/>
    <w:rsid w:val="00FF31A3"/>
    <w:pPr>
      <w:spacing w:before="0" w:after="0"/>
      <w:jc w:val="right"/>
    </w:pPr>
  </w:style>
  <w:style w:type="paragraph" w:styleId="Index3">
    <w:name w:val="index 3"/>
    <w:basedOn w:val="ListNumber2"/>
    <w:next w:val="Normal"/>
    <w:semiHidden/>
    <w:rsid w:val="00FF31A3"/>
    <w:pPr>
      <w:numPr>
        <w:numId w:val="0"/>
      </w:numPr>
      <w:tabs>
        <w:tab w:val="right" w:leader="dot" w:pos="4176"/>
      </w:tabs>
    </w:pPr>
  </w:style>
  <w:style w:type="paragraph" w:styleId="ListNumber2">
    <w:name w:val="List Number 2"/>
    <w:basedOn w:val="List2"/>
    <w:rsid w:val="00FF31A3"/>
    <w:pPr>
      <w:numPr>
        <w:numId w:val="10"/>
      </w:numPr>
      <w:tabs>
        <w:tab w:val="clear" w:pos="1060"/>
      </w:tabs>
    </w:pPr>
  </w:style>
  <w:style w:type="paragraph" w:customStyle="1" w:styleId="MarginNote">
    <w:name w:val="Margin Note"/>
    <w:basedOn w:val="BodyText"/>
    <w:rsid w:val="00FF31A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F31A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F31A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F31A3"/>
    <w:rPr>
      <w:sz w:val="32"/>
    </w:rPr>
  </w:style>
  <w:style w:type="paragraph" w:customStyle="1" w:styleId="HeadingProcedure">
    <w:name w:val="Heading Procedure"/>
    <w:basedOn w:val="HeadingBase"/>
    <w:next w:val="Normal"/>
    <w:rsid w:val="00FF31A3"/>
    <w:pPr>
      <w:tabs>
        <w:tab w:val="left" w:pos="0"/>
      </w:tabs>
      <w:spacing w:before="120" w:after="60"/>
    </w:pPr>
    <w:rPr>
      <w:i/>
      <w:color w:val="918585"/>
      <w:sz w:val="22"/>
    </w:rPr>
  </w:style>
  <w:style w:type="paragraph" w:customStyle="1" w:styleId="TableBodyText">
    <w:name w:val="Table Body Text"/>
    <w:basedOn w:val="BodyText"/>
    <w:rsid w:val="00FF31A3"/>
    <w:pPr>
      <w:spacing w:before="60" w:after="60"/>
    </w:pPr>
  </w:style>
  <w:style w:type="paragraph" w:styleId="ListContinue">
    <w:name w:val="List Continue"/>
    <w:basedOn w:val="List"/>
    <w:rsid w:val="00FF31A3"/>
    <w:pPr>
      <w:ind w:firstLine="0"/>
    </w:pPr>
  </w:style>
  <w:style w:type="paragraph" w:customStyle="1" w:styleId="ListNote">
    <w:name w:val="List Note"/>
    <w:basedOn w:val="List"/>
    <w:rsid w:val="00FF31A3"/>
    <w:pPr>
      <w:pBdr>
        <w:top w:val="single" w:sz="6" w:space="2" w:color="918585"/>
        <w:bottom w:val="single" w:sz="6" w:space="2" w:color="918585"/>
      </w:pBdr>
      <w:tabs>
        <w:tab w:val="left" w:pos="1021"/>
      </w:tabs>
      <w:ind w:firstLine="0"/>
    </w:pPr>
  </w:style>
  <w:style w:type="paragraph" w:customStyle="1" w:styleId="Warning">
    <w:name w:val="Warning"/>
    <w:basedOn w:val="BodyText"/>
    <w:rsid w:val="00FF31A3"/>
    <w:pPr>
      <w:shd w:val="clear" w:color="auto" w:fill="D9D9D9"/>
      <w:tabs>
        <w:tab w:val="left" w:pos="992"/>
      </w:tabs>
      <w:ind w:left="119" w:right="119"/>
    </w:pPr>
    <w:rPr>
      <w:sz w:val="20"/>
    </w:rPr>
  </w:style>
  <w:style w:type="paragraph" w:customStyle="1" w:styleId="MarginIcons">
    <w:name w:val="Margin Icons"/>
    <w:basedOn w:val="BodyText"/>
    <w:rsid w:val="00FF31A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F31A3"/>
    <w:rPr>
      <w:rFonts w:ascii="Courier New" w:hAnsi="Courier New"/>
    </w:rPr>
  </w:style>
  <w:style w:type="paragraph" w:customStyle="1" w:styleId="NoteBullet">
    <w:name w:val="Note Bullet"/>
    <w:basedOn w:val="Note"/>
    <w:rsid w:val="00FF31A3"/>
    <w:pPr>
      <w:tabs>
        <w:tab w:val="clear" w:pos="680"/>
      </w:tabs>
      <w:spacing w:before="60" w:after="60"/>
    </w:pPr>
  </w:style>
  <w:style w:type="paragraph" w:customStyle="1" w:styleId="SubHeading2">
    <w:name w:val="SubHeading2"/>
    <w:basedOn w:val="HeadingBase"/>
    <w:rsid w:val="00FF31A3"/>
    <w:pPr>
      <w:spacing w:before="240" w:after="60"/>
    </w:pPr>
    <w:rPr>
      <w:sz w:val="20"/>
    </w:rPr>
  </w:style>
  <w:style w:type="paragraph" w:customStyle="1" w:styleId="SubHeading1">
    <w:name w:val="SubHeading1"/>
    <w:basedOn w:val="HeadingBase"/>
    <w:rsid w:val="00FF31A3"/>
    <w:pPr>
      <w:spacing w:before="240" w:after="60"/>
    </w:pPr>
    <w:rPr>
      <w:color w:val="918585"/>
      <w:sz w:val="22"/>
    </w:rPr>
  </w:style>
  <w:style w:type="paragraph" w:customStyle="1" w:styleId="SideHeading">
    <w:name w:val="Side Heading"/>
    <w:basedOn w:val="HeadingBase"/>
    <w:rsid w:val="00FF31A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F31A3"/>
    <w:pPr>
      <w:numPr>
        <w:numId w:val="12"/>
      </w:numPr>
    </w:pPr>
  </w:style>
  <w:style w:type="paragraph" w:styleId="PlainText">
    <w:name w:val="Plain Text"/>
    <w:basedOn w:val="Normal"/>
    <w:link w:val="PlainTextChar"/>
    <w:rsid w:val="00FF31A3"/>
    <w:rPr>
      <w:sz w:val="20"/>
    </w:rPr>
  </w:style>
  <w:style w:type="character" w:customStyle="1" w:styleId="PlainTextChar">
    <w:name w:val="Plain Text Char"/>
    <w:basedOn w:val="DefaultParagraphFont"/>
    <w:link w:val="PlainText"/>
    <w:rsid w:val="00FF31A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F31A3"/>
    <w:rPr>
      <w:b/>
      <w:smallCaps/>
    </w:rPr>
  </w:style>
  <w:style w:type="paragraph" w:customStyle="1" w:styleId="TableListNumber">
    <w:name w:val="Table List Number"/>
    <w:basedOn w:val="ListNumber"/>
    <w:rsid w:val="00FF31A3"/>
    <w:pPr>
      <w:numPr>
        <w:numId w:val="0"/>
      </w:numPr>
    </w:pPr>
  </w:style>
  <w:style w:type="paragraph" w:styleId="TOC4">
    <w:name w:val="toc 4"/>
    <w:basedOn w:val="TOCBase"/>
    <w:next w:val="Normal"/>
    <w:semiHidden/>
    <w:rsid w:val="00FF31A3"/>
    <w:pPr>
      <w:tabs>
        <w:tab w:val="right" w:leader="dot" w:pos="9071"/>
      </w:tabs>
      <w:ind w:left="1701"/>
    </w:pPr>
  </w:style>
  <w:style w:type="paragraph" w:customStyle="1" w:styleId="ListAlpha">
    <w:name w:val="List Alpha"/>
    <w:basedOn w:val="List"/>
    <w:rsid w:val="00FF31A3"/>
    <w:pPr>
      <w:numPr>
        <w:numId w:val="9"/>
      </w:numPr>
    </w:pPr>
  </w:style>
  <w:style w:type="paragraph" w:customStyle="1" w:styleId="ListAlpha2">
    <w:name w:val="List Alpha 2"/>
    <w:basedOn w:val="List2"/>
    <w:rsid w:val="00FF31A3"/>
    <w:pPr>
      <w:numPr>
        <w:numId w:val="8"/>
      </w:numPr>
    </w:pPr>
  </w:style>
  <w:style w:type="paragraph" w:styleId="List2">
    <w:name w:val="List 2"/>
    <w:basedOn w:val="BodyText"/>
    <w:rsid w:val="00FF31A3"/>
    <w:pPr>
      <w:tabs>
        <w:tab w:val="left" w:pos="680"/>
      </w:tabs>
      <w:spacing w:before="60" w:after="60"/>
      <w:ind w:left="680" w:hanging="340"/>
    </w:pPr>
  </w:style>
  <w:style w:type="paragraph" w:styleId="List3">
    <w:name w:val="List 3"/>
    <w:basedOn w:val="BodyText"/>
    <w:rsid w:val="00FF31A3"/>
    <w:pPr>
      <w:tabs>
        <w:tab w:val="left" w:pos="1021"/>
      </w:tabs>
      <w:spacing w:before="60" w:after="60"/>
      <w:ind w:left="1020" w:hanging="340"/>
    </w:pPr>
  </w:style>
  <w:style w:type="paragraph" w:styleId="List4">
    <w:name w:val="List 4"/>
    <w:basedOn w:val="BodyText"/>
    <w:rsid w:val="00FF31A3"/>
    <w:pPr>
      <w:tabs>
        <w:tab w:val="left" w:pos="1361"/>
      </w:tabs>
      <w:spacing w:before="60" w:after="60"/>
      <w:ind w:left="1361" w:hanging="340"/>
    </w:pPr>
  </w:style>
  <w:style w:type="paragraph" w:styleId="List5">
    <w:name w:val="List 5"/>
    <w:basedOn w:val="BodyText"/>
    <w:rsid w:val="00FF31A3"/>
    <w:pPr>
      <w:tabs>
        <w:tab w:val="left" w:pos="1701"/>
      </w:tabs>
      <w:spacing w:before="60" w:after="60"/>
      <w:ind w:left="1701" w:hanging="340"/>
    </w:pPr>
  </w:style>
  <w:style w:type="paragraph" w:styleId="ListBullet3">
    <w:name w:val="List Bullet 3"/>
    <w:basedOn w:val="List3"/>
    <w:rsid w:val="00FF31A3"/>
    <w:pPr>
      <w:numPr>
        <w:numId w:val="15"/>
      </w:numPr>
      <w:tabs>
        <w:tab w:val="clear" w:pos="1021"/>
      </w:tabs>
      <w:ind w:left="1037" w:hanging="357"/>
    </w:pPr>
  </w:style>
  <w:style w:type="paragraph" w:styleId="ListBullet4">
    <w:name w:val="List Bullet 4"/>
    <w:basedOn w:val="List4"/>
    <w:rsid w:val="00FF31A3"/>
    <w:pPr>
      <w:numPr>
        <w:numId w:val="3"/>
      </w:numPr>
    </w:pPr>
  </w:style>
  <w:style w:type="paragraph" w:styleId="ListBullet5">
    <w:name w:val="List Bullet 5"/>
    <w:basedOn w:val="List5"/>
    <w:rsid w:val="00FF31A3"/>
    <w:pPr>
      <w:numPr>
        <w:numId w:val="4"/>
      </w:numPr>
    </w:pPr>
  </w:style>
  <w:style w:type="paragraph" w:styleId="ListContinue2">
    <w:name w:val="List Continue 2"/>
    <w:basedOn w:val="List2"/>
    <w:rsid w:val="00FF31A3"/>
    <w:pPr>
      <w:ind w:firstLine="0"/>
    </w:pPr>
  </w:style>
  <w:style w:type="paragraph" w:styleId="ListContinue3">
    <w:name w:val="List Continue 3"/>
    <w:basedOn w:val="List3"/>
    <w:rsid w:val="00FF31A3"/>
    <w:pPr>
      <w:ind w:left="1021" w:firstLine="0"/>
    </w:pPr>
  </w:style>
  <w:style w:type="paragraph" w:styleId="ListContinue4">
    <w:name w:val="List Continue 4"/>
    <w:basedOn w:val="List4"/>
    <w:rsid w:val="00FF31A3"/>
    <w:pPr>
      <w:ind w:firstLine="0"/>
    </w:pPr>
  </w:style>
  <w:style w:type="paragraph" w:styleId="ListContinue5">
    <w:name w:val="List Continue 5"/>
    <w:basedOn w:val="List5"/>
    <w:rsid w:val="00FF31A3"/>
    <w:pPr>
      <w:ind w:firstLine="0"/>
    </w:pPr>
  </w:style>
  <w:style w:type="paragraph" w:styleId="ListNumber3">
    <w:name w:val="List Number 3"/>
    <w:basedOn w:val="List3"/>
    <w:rsid w:val="00FF31A3"/>
    <w:pPr>
      <w:numPr>
        <w:numId w:val="5"/>
      </w:numPr>
    </w:pPr>
  </w:style>
  <w:style w:type="paragraph" w:styleId="ListNumber4">
    <w:name w:val="List Number 4"/>
    <w:basedOn w:val="List4"/>
    <w:rsid w:val="00FF31A3"/>
    <w:pPr>
      <w:numPr>
        <w:numId w:val="6"/>
      </w:numPr>
    </w:pPr>
  </w:style>
  <w:style w:type="paragraph" w:styleId="ListNumber5">
    <w:name w:val="List Number 5"/>
    <w:basedOn w:val="List5"/>
    <w:rsid w:val="00FF31A3"/>
    <w:pPr>
      <w:numPr>
        <w:numId w:val="7"/>
      </w:numPr>
    </w:pPr>
  </w:style>
  <w:style w:type="paragraph" w:styleId="BlockText">
    <w:name w:val="Block Text"/>
    <w:basedOn w:val="Normal"/>
    <w:rsid w:val="00FF31A3"/>
    <w:pPr>
      <w:spacing w:after="120"/>
      <w:ind w:left="1440" w:right="1440"/>
    </w:pPr>
  </w:style>
  <w:style w:type="character" w:customStyle="1" w:styleId="Subscript">
    <w:name w:val="Subscript"/>
    <w:basedOn w:val="DefaultParagraphFont"/>
    <w:rsid w:val="00FF31A3"/>
    <w:rPr>
      <w:sz w:val="16"/>
      <w:vertAlign w:val="subscript"/>
    </w:rPr>
  </w:style>
  <w:style w:type="character" w:customStyle="1" w:styleId="Superscript">
    <w:name w:val="Superscript"/>
    <w:basedOn w:val="DefaultParagraphFont"/>
    <w:rsid w:val="00FF31A3"/>
    <w:rPr>
      <w:sz w:val="16"/>
      <w:vertAlign w:val="superscript"/>
    </w:rPr>
  </w:style>
  <w:style w:type="character" w:customStyle="1" w:styleId="Symbols">
    <w:name w:val="Symbols"/>
    <w:basedOn w:val="DefaultParagraphFont"/>
    <w:rsid w:val="00FF31A3"/>
    <w:rPr>
      <w:rFonts w:ascii="Symbol" w:hAnsi="Symbol"/>
    </w:rPr>
  </w:style>
  <w:style w:type="character" w:customStyle="1" w:styleId="MenuOptions">
    <w:name w:val="Menu Options"/>
    <w:basedOn w:val="DefaultParagraphFont"/>
    <w:rsid w:val="00FF31A3"/>
    <w:rPr>
      <w:rFonts w:ascii="Arial Narrow" w:hAnsi="Arial Narrow"/>
      <w:smallCaps/>
    </w:rPr>
  </w:style>
  <w:style w:type="character" w:customStyle="1" w:styleId="Buttons">
    <w:name w:val="Buttons"/>
    <w:basedOn w:val="DefaultParagraphFont"/>
    <w:rsid w:val="00FF31A3"/>
    <w:rPr>
      <w:b/>
    </w:rPr>
  </w:style>
  <w:style w:type="character" w:customStyle="1" w:styleId="Underlined">
    <w:name w:val="Underlined"/>
    <w:basedOn w:val="DefaultParagraphFont"/>
    <w:rsid w:val="00FF31A3"/>
    <w:rPr>
      <w:u w:val="single"/>
    </w:rPr>
  </w:style>
  <w:style w:type="paragraph" w:customStyle="1" w:styleId="TableBodyTextRight">
    <w:name w:val="Table Body Text Right"/>
    <w:basedOn w:val="TableBodyText"/>
    <w:rsid w:val="00FF31A3"/>
    <w:pPr>
      <w:widowControl w:val="0"/>
      <w:autoSpaceDE w:val="0"/>
      <w:autoSpaceDN w:val="0"/>
      <w:adjustRightInd w:val="0"/>
      <w:jc w:val="right"/>
    </w:pPr>
    <w:rPr>
      <w:rFonts w:cs="Arial"/>
      <w:szCs w:val="18"/>
    </w:rPr>
  </w:style>
  <w:style w:type="paragraph" w:customStyle="1" w:styleId="CopyrightText">
    <w:name w:val="Copyright Text"/>
    <w:basedOn w:val="BodyText"/>
    <w:rsid w:val="00FF31A3"/>
    <w:rPr>
      <w:sz w:val="18"/>
    </w:rPr>
  </w:style>
  <w:style w:type="paragraph" w:customStyle="1" w:styleId="BodySmallRight">
    <w:name w:val="Body Small Right"/>
    <w:basedOn w:val="BodyTextRight"/>
    <w:rsid w:val="00FF31A3"/>
    <w:rPr>
      <w:sz w:val="18"/>
      <w:szCs w:val="18"/>
    </w:rPr>
  </w:style>
  <w:style w:type="paragraph" w:customStyle="1" w:styleId="MarginEdition">
    <w:name w:val="Margin Edition"/>
    <w:basedOn w:val="MarginNote"/>
    <w:rsid w:val="00FF31A3"/>
    <w:pPr>
      <w:spacing w:before="0" w:after="0"/>
    </w:pPr>
    <w:rPr>
      <w:rFonts w:ascii="Times New Roman" w:hAnsi="Times New Roman"/>
      <w:color w:val="999999"/>
    </w:rPr>
  </w:style>
  <w:style w:type="paragraph" w:customStyle="1" w:styleId="Spacer">
    <w:name w:val="Spacer"/>
    <w:basedOn w:val="Normal"/>
    <w:rsid w:val="00FF31A3"/>
    <w:rPr>
      <w:sz w:val="2"/>
      <w:szCs w:val="2"/>
    </w:rPr>
  </w:style>
  <w:style w:type="character" w:customStyle="1" w:styleId="Small">
    <w:name w:val="Small"/>
    <w:basedOn w:val="DefaultParagraphFont"/>
    <w:rsid w:val="00FF31A3"/>
    <w:rPr>
      <w:sz w:val="16"/>
    </w:rPr>
  </w:style>
  <w:style w:type="paragraph" w:customStyle="1" w:styleId="WideTable">
    <w:name w:val="Wide Table"/>
    <w:basedOn w:val="Normal"/>
    <w:rsid w:val="00FF31A3"/>
    <w:pPr>
      <w:ind w:left="-1418"/>
    </w:pPr>
    <w:rPr>
      <w:sz w:val="2"/>
      <w:szCs w:val="2"/>
    </w:rPr>
  </w:style>
  <w:style w:type="character" w:styleId="PageNumber">
    <w:name w:val="page number"/>
    <w:basedOn w:val="DefaultParagraphFont"/>
    <w:rsid w:val="00FF31A3"/>
  </w:style>
  <w:style w:type="paragraph" w:styleId="Quote">
    <w:name w:val="Quote"/>
    <w:basedOn w:val="Heading1"/>
    <w:link w:val="QuoteChar"/>
    <w:qFormat/>
    <w:rsid w:val="00FF31A3"/>
    <w:rPr>
      <w:b w:val="0"/>
      <w:sz w:val="72"/>
      <w:szCs w:val="72"/>
      <w:lang w:val="en-NZ"/>
    </w:rPr>
  </w:style>
  <w:style w:type="character" w:customStyle="1" w:styleId="QuoteChar">
    <w:name w:val="Quote Char"/>
    <w:basedOn w:val="DefaultParagraphFont"/>
    <w:link w:val="Quote"/>
    <w:rsid w:val="00FF31A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F31A3"/>
    <w:pPr>
      <w:pageBreakBefore/>
    </w:pPr>
  </w:style>
  <w:style w:type="paragraph" w:customStyle="1" w:styleId="Border">
    <w:name w:val="Border"/>
    <w:basedOn w:val="Normal"/>
    <w:qFormat/>
    <w:rsid w:val="00FF31A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F31A3"/>
    <w:rPr>
      <w:b/>
      <w:bCs/>
      <w:i/>
      <w:iCs/>
      <w:color w:val="auto"/>
    </w:rPr>
  </w:style>
  <w:style w:type="paragraph" w:styleId="IntenseQuote">
    <w:name w:val="Intense Quote"/>
    <w:basedOn w:val="Normal"/>
    <w:next w:val="Normal"/>
    <w:link w:val="IntenseQuoteChar"/>
    <w:uiPriority w:val="30"/>
    <w:qFormat/>
    <w:rsid w:val="00FF31A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F31A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F31A3"/>
    <w:rPr>
      <w:smallCaps/>
      <w:color w:val="auto"/>
      <w:u w:val="single"/>
    </w:rPr>
  </w:style>
  <w:style w:type="character" w:styleId="IntenseReference">
    <w:name w:val="Intense Reference"/>
    <w:basedOn w:val="DefaultParagraphFont"/>
    <w:uiPriority w:val="32"/>
    <w:qFormat/>
    <w:rsid w:val="00FF31A3"/>
    <w:rPr>
      <w:b/>
      <w:bCs/>
      <w:smallCaps/>
      <w:color w:val="auto"/>
      <w:spacing w:val="5"/>
      <w:u w:val="single"/>
    </w:rPr>
  </w:style>
  <w:style w:type="paragraph" w:customStyle="1" w:styleId="2ColumnHeading">
    <w:name w:val="2Column Heading"/>
    <w:basedOn w:val="BodyText"/>
    <w:qFormat/>
    <w:rsid w:val="00FF31A3"/>
    <w:pPr>
      <w:spacing w:after="60"/>
      <w:ind w:left="-2268"/>
    </w:pPr>
    <w:rPr>
      <w:b/>
    </w:rPr>
  </w:style>
  <w:style w:type="paragraph" w:customStyle="1" w:styleId="Heading1TOC">
    <w:name w:val="Heading1 TOC"/>
    <w:basedOn w:val="Normal"/>
    <w:qFormat/>
    <w:rsid w:val="00FF31A3"/>
    <w:pPr>
      <w:spacing w:before="240" w:after="120"/>
    </w:pPr>
    <w:rPr>
      <w:rFonts w:ascii="Times New Roman" w:hAnsi="Times New Roman"/>
      <w:b/>
      <w:sz w:val="32"/>
    </w:rPr>
  </w:style>
  <w:style w:type="paragraph" w:customStyle="1" w:styleId="Heading2TOC">
    <w:name w:val="Heading2 TOC"/>
    <w:basedOn w:val="Normal"/>
    <w:qFormat/>
    <w:rsid w:val="00FF31A3"/>
    <w:pPr>
      <w:spacing w:before="240" w:after="60"/>
    </w:pPr>
    <w:rPr>
      <w:rFonts w:ascii="Times New Roman" w:hAnsi="Times New Roman"/>
      <w:b/>
      <w:sz w:val="28"/>
    </w:rPr>
  </w:style>
  <w:style w:type="character" w:customStyle="1" w:styleId="Underline">
    <w:name w:val="Underline"/>
    <w:basedOn w:val="DefaultParagraphFont"/>
    <w:qFormat/>
    <w:rsid w:val="00FF31A3"/>
    <w:rPr>
      <w:u w:val="single"/>
    </w:rPr>
  </w:style>
  <w:style w:type="character" w:customStyle="1" w:styleId="BoldandItalics">
    <w:name w:val="Bold and Italics"/>
    <w:qFormat/>
    <w:rsid w:val="00FF31A3"/>
    <w:rPr>
      <w:b/>
      <w:i/>
      <w:u w:val="none"/>
    </w:rPr>
  </w:style>
  <w:style w:type="paragraph" w:styleId="BalloonText">
    <w:name w:val="Balloon Text"/>
    <w:basedOn w:val="Normal"/>
    <w:link w:val="BalloonTextChar"/>
    <w:rsid w:val="00FF31A3"/>
    <w:rPr>
      <w:rFonts w:ascii="Tahoma" w:hAnsi="Tahoma" w:cs="Tahoma"/>
      <w:sz w:val="16"/>
      <w:szCs w:val="16"/>
    </w:rPr>
  </w:style>
  <w:style w:type="character" w:customStyle="1" w:styleId="BalloonTextChar">
    <w:name w:val="Balloon Text Char"/>
    <w:basedOn w:val="DefaultParagraphFont"/>
    <w:link w:val="BalloonText"/>
    <w:rsid w:val="00FF31A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F31A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F31A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1285</Words>
  <Characters>8440</Characters>
  <Application>Microsoft Office Word</Application>
  <DocSecurity>0</DocSecurity>
  <Lines>271</Lines>
  <Paragraphs>161</Paragraphs>
  <ScaleCrop>false</ScaleCrop>
  <Company>Author-it Software Corporation Ltd.</Company>
  <LinksUpToDate>false</LinksUpToDate>
  <CharactersWithSpaces>9659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TLIL4074A Control and coordinate rail traffic movement</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2012-05-27T03:58:00Z</dcterms:created>
  <dcterms:modified xsi:type="dcterms:W3CDTF">2012-05-27T03:58:00Z</dcterms:modified>
</cp:coreProperties>
</file>