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02F" w:rsidP="00BD702F">
      <w:pPr>
        <w:pStyle w:val="Title"/>
      </w:pPr>
      <w:r>
        <w:fldChar w:fldCharType="begin"/>
      </w:r>
      <w:r>
        <w:instrText xml:space="preserve"> TITLE   \* MERGEFORMAT </w:instrText>
      </w:r>
      <w:r>
        <w:fldChar w:fldCharType="separate"/>
      </w:r>
      <w:r>
        <w:t>TLIL4073A Apply asset management system</w:t>
      </w:r>
      <w:r>
        <w:fldChar w:fldCharType="end"/>
      </w:r>
    </w:p>
    <w:p w:rsidR="00BD702F" w:rsidP="00BD702F">
      <w:pPr>
        <w:pStyle w:val="Version"/>
        <w:sectPr w:rsidSect="00A65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C73" w:rsidP="00A65C73">
      <w:pPr>
        <w:pStyle w:val="SuperHeading"/>
      </w:pPr>
      <w:r w:rsidRPr="00A65C73">
        <w:t>TLIL4073A Apply asset management system</w:t>
      </w:r>
    </w:p>
    <w:p w:rsidR="00000000" w:rsidRPr="00A65C73" w:rsidP="00A65C73">
      <w:pPr>
        <w:pStyle w:val="Heading1"/>
      </w:pPr>
      <w:bookmarkStart w:id="1" w:name="O_357803"/>
      <w:bookmarkEnd w:id="1"/>
      <w:r w:rsidRPr="00A65C73">
        <w:t>Modification History</w:t>
      </w:r>
    </w:p>
    <w:p w:rsidR="00000000" w:rsidRPr="00A65C73" w:rsidP="00A65C73">
      <w:pPr>
        <w:pStyle w:val="BodyText"/>
      </w:pPr>
      <w:r w:rsidRPr="00A65C73">
        <w:t>Not applicable.</w:t>
      </w:r>
    </w:p>
    <w:p w:rsidR="00000000" w:rsidRPr="00A65C73" w:rsidP="00A65C73">
      <w:pPr>
        <w:pStyle w:val="AllowPageBreak"/>
      </w:pPr>
    </w:p>
    <w:p w:rsidR="00000000" w:rsidRPr="00A65C73" w:rsidP="00A65C73">
      <w:pPr>
        <w:pStyle w:val="Heading1"/>
      </w:pPr>
      <w:bookmarkStart w:id="2" w:name="O_357804"/>
      <w:bookmarkEnd w:id="2"/>
      <w:r w:rsidRPr="00A65C73">
        <w:t>Unit Descriptor</w:t>
      </w:r>
    </w:p>
    <w:tbl>
      <w:tblPr>
        <w:tblW w:w="0" w:type="auto"/>
        <w:tblCellMar>
          <w:left w:w="62" w:type="dxa"/>
          <w:right w:w="62" w:type="dxa"/>
        </w:tblCellMar>
        <w:tblLook w:val="0000"/>
      </w:tblPr>
      <w:tblGrid>
        <w:gridCol w:w="9196"/>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This unit involves the skills and knowle</w:t>
            </w:r>
            <w:r w:rsidRPr="00A65C73">
              <w:t xml:space="preserve">dge required to apply asset management systems. This includes identifying and classifying assets, recording assets and their condition, and maintaining an asset management system. </w:t>
            </w:r>
          </w:p>
          <w:p w:rsidR="00000000" w:rsidRPr="00A65C73" w:rsidP="00A65C73">
            <w:pPr>
              <w:pStyle w:val="BodyText"/>
            </w:pPr>
            <w:r w:rsidRPr="00A65C73">
              <w:t>Licensing, legislative, regulatory or certification requirements are applic</w:t>
            </w:r>
            <w:r w:rsidRPr="00A65C73">
              <w:t>able to this unit.</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3" w:name="O_357805"/>
      <w:bookmarkEnd w:id="3"/>
      <w:r w:rsidRPr="00A65C73">
        <w:t>Application of the Unit</w:t>
      </w:r>
    </w:p>
    <w:tbl>
      <w:tblPr>
        <w:tblW w:w="0" w:type="auto"/>
        <w:tblCellMar>
          <w:left w:w="62" w:type="dxa"/>
          <w:right w:w="62" w:type="dxa"/>
        </w:tblCellMar>
        <w:tblLook w:val="0000"/>
      </w:tblPr>
      <w:tblGrid>
        <w:gridCol w:w="9196"/>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Work may be undertaken in various contexts within the transport and logistics industry. The unit generally applies to those who provide leadership of others individually or in teams.</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4" w:name="O_357806"/>
      <w:bookmarkEnd w:id="4"/>
      <w:r w:rsidRPr="00A65C73">
        <w:t>Licensing/Regulatory Information</w:t>
      </w:r>
    </w:p>
    <w:p w:rsidR="00000000" w:rsidRPr="00A65C73" w:rsidP="00A65C73">
      <w:pPr>
        <w:pStyle w:val="BodyText"/>
      </w:pPr>
      <w:r w:rsidRPr="00A65C73">
        <w:t>Refer to Unit Descriptor.</w:t>
      </w:r>
    </w:p>
    <w:p w:rsidR="00000000" w:rsidRPr="00A65C73" w:rsidP="00A65C73">
      <w:pPr>
        <w:pStyle w:val="AllowPageBreak"/>
      </w:pPr>
    </w:p>
    <w:p w:rsidR="00000000" w:rsidRPr="00A65C73" w:rsidP="00A65C73">
      <w:pPr>
        <w:pStyle w:val="Heading1"/>
      </w:pPr>
      <w:bookmarkStart w:id="5" w:name="O_357807"/>
      <w:bookmarkEnd w:id="5"/>
      <w:r w:rsidRPr="00A65C73">
        <w:t>Pre-Requisites</w:t>
      </w:r>
    </w:p>
    <w:p w:rsidR="00000000" w:rsidRPr="00A65C73" w:rsidP="00A65C73">
      <w:pPr>
        <w:pStyle w:val="BodyText"/>
      </w:pPr>
      <w:r w:rsidRPr="00A65C73">
        <w:t>Not applicable.</w:t>
      </w:r>
    </w:p>
    <w:p w:rsidR="00000000" w:rsidRPr="00A65C73" w:rsidP="00A65C73">
      <w:pPr>
        <w:pStyle w:val="AllowPageBreak"/>
      </w:pPr>
    </w:p>
    <w:p w:rsidR="00000000" w:rsidRPr="00A65C73" w:rsidP="00A65C73">
      <w:pPr>
        <w:pStyle w:val="Heading1"/>
      </w:pPr>
      <w:bookmarkStart w:id="6" w:name="O_357808"/>
      <w:bookmarkEnd w:id="6"/>
      <w:r w:rsidRPr="00A65C73">
        <w:t>Employability Skills Information</w:t>
      </w:r>
    </w:p>
    <w:tbl>
      <w:tblPr>
        <w:tblW w:w="0" w:type="auto"/>
        <w:tblCellMar>
          <w:left w:w="62" w:type="dxa"/>
          <w:right w:w="62" w:type="dxa"/>
        </w:tblCellMar>
        <w:tblLook w:val="0000"/>
      </w:tblPr>
      <w:tblGrid>
        <w:gridCol w:w="9196"/>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This unit contains employability skills.</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7" w:name="O_357809"/>
      <w:bookmarkEnd w:id="7"/>
      <w:r w:rsidRPr="00A65C73">
        <w:t>Elements and Performance Criteria Pre-Content</w:t>
      </w:r>
    </w:p>
    <w:tbl>
      <w:tblPr>
        <w:tblW w:w="0" w:type="auto"/>
        <w:tblCellMar>
          <w:left w:w="62" w:type="dxa"/>
          <w:right w:w="62" w:type="dxa"/>
        </w:tblCellMar>
        <w:tblLook w:val="0000"/>
      </w:tblPr>
      <w:tblGrid>
        <w:gridCol w:w="2476"/>
        <w:gridCol w:w="6720"/>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Performance criteria describe the required performance needed to demonstrate achievement of the element. Assessment of performance is to be cons</w:t>
            </w:r>
            <w:r w:rsidRPr="00A65C73">
              <w:t>istent with the evidence guide.</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8" w:name="O_357810"/>
      <w:bookmarkEnd w:id="8"/>
      <w:r w:rsidRPr="00A65C73">
        <w:t>Elements and Performance Criteria</w:t>
      </w:r>
    </w:p>
    <w:tbl>
      <w:tblPr>
        <w:tblW w:w="0" w:type="auto"/>
        <w:tblCellMar>
          <w:left w:w="62" w:type="dxa"/>
          <w:right w:w="62" w:type="dxa"/>
        </w:tblCellMar>
        <w:tblLook w:val="0000"/>
      </w:tblPr>
      <w:tblGrid>
        <w:gridCol w:w="2427"/>
        <w:gridCol w:w="62"/>
        <w:gridCol w:w="6707"/>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PERFORMANCE CRITERIA</w:t>
            </w:r>
          </w:p>
        </w:tc>
      </w:tr>
      <w:tr w:rsidTr="00BD70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1</w:t>
            </w:r>
            <w:r w:rsidRPr="00A65C73">
              <w:rPr>
                <w:rStyle w:val="SpecialBold"/>
              </w:rPr>
              <w:tab/>
              <w:t>Identify designated area of responsibility</w:t>
            </w:r>
          </w:p>
        </w:tc>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1.1</w:t>
            </w:r>
            <w:r w:rsidRPr="00A65C73">
              <w:tab/>
            </w:r>
            <w:r w:rsidRPr="00A65C73">
              <w:t>Designated area of responsibility is identified in accordance with organisational requirements</w:t>
            </w:r>
          </w:p>
          <w:p w:rsidR="00000000" w:rsidRPr="00A65C73" w:rsidP="00A65C73">
            <w:pPr>
              <w:pStyle w:val="BodyText"/>
            </w:pPr>
            <w:r w:rsidRPr="00A65C73">
              <w:t>1.2</w:t>
            </w:r>
            <w:r w:rsidRPr="00A65C73">
              <w:tab/>
              <w:t>Contribution is made to the maintenance of the asset register on the basis of current and ongoing needs and in accordance with organisational requirements</w:t>
            </w:r>
          </w:p>
          <w:p w:rsidR="00000000" w:rsidP="00A65C73">
            <w:pPr>
              <w:pStyle w:val="BodyText"/>
              <w:rPr>
                <w:lang w:val="en-NZ"/>
              </w:rPr>
            </w:pPr>
            <w:r w:rsidRPr="00A65C73">
              <w:t>1.</w:t>
            </w:r>
            <w:r w:rsidRPr="00A65C73">
              <w:t>3</w:t>
            </w:r>
            <w:r w:rsidRPr="00A65C73">
              <w:tab/>
              <w:t>Assets to be recorded in the asset register are identified in accordance with organisational requirements</w:t>
            </w:r>
          </w:p>
        </w:tc>
      </w:tr>
      <w:tr w:rsidTr="00BD70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2</w:t>
            </w:r>
            <w:r w:rsidRPr="00A65C73">
              <w:rPr>
                <w:rStyle w:val="SpecialBold"/>
              </w:rPr>
              <w:tab/>
              <w:t>Record assets and their condition</w:t>
            </w:r>
          </w:p>
        </w:tc>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2.1</w:t>
            </w:r>
            <w:r w:rsidRPr="00A65C73">
              <w:tab/>
            </w:r>
            <w:r w:rsidRPr="00A65C73">
              <w:t>Specified details of all material assets are identified and recorded in accordance with the asset management policies and procedures</w:t>
            </w:r>
          </w:p>
          <w:p w:rsidR="00000000" w:rsidRPr="00A65C73" w:rsidP="00A65C73">
            <w:pPr>
              <w:pStyle w:val="BodyText"/>
            </w:pPr>
            <w:r w:rsidRPr="00A65C73">
              <w:t>2.2</w:t>
            </w:r>
            <w:r w:rsidRPr="00A65C73">
              <w:tab/>
              <w:t>Condition of each asset is determined and corrective maintenance tasks are recorded in accordance with manufacturer spe</w:t>
            </w:r>
            <w:r w:rsidRPr="00A65C73">
              <w:t>cifications, relevant Australian standards and organisational requirements</w:t>
            </w:r>
          </w:p>
          <w:p w:rsidR="00000000" w:rsidP="00A65C73">
            <w:pPr>
              <w:pStyle w:val="BodyText"/>
              <w:rPr>
                <w:lang w:val="en-NZ"/>
              </w:rPr>
            </w:pPr>
            <w:r w:rsidRPr="00A65C73">
              <w:t>2.3</w:t>
            </w:r>
            <w:r w:rsidRPr="00A65C73">
              <w:tab/>
              <w:t>If applicable, the useful/residual life of each asset is determined in accordance with manufacturer specifications and organisational requirements</w:t>
            </w:r>
          </w:p>
        </w:tc>
      </w:tr>
      <w:tr w:rsidTr="00BD70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3</w:t>
            </w:r>
            <w:r w:rsidRPr="00A65C73">
              <w:rPr>
                <w:rStyle w:val="SpecialBold"/>
              </w:rPr>
              <w:tab/>
              <w:t>Maintain records within ass</w:t>
            </w:r>
            <w:r w:rsidRPr="00A65C73">
              <w:rPr>
                <w:rStyle w:val="SpecialBold"/>
              </w:rPr>
              <w:t>et management system</w:t>
            </w:r>
          </w:p>
        </w:tc>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3.1</w:t>
            </w:r>
            <w:r w:rsidRPr="00A65C73">
              <w:tab/>
              <w:t>Records of asset management activities are updated in accordance with organisational requirements</w:t>
            </w:r>
          </w:p>
          <w:p w:rsidR="00000000" w:rsidRPr="00A65C73" w:rsidP="00A65C73">
            <w:pPr>
              <w:pStyle w:val="BodyText"/>
            </w:pPr>
            <w:r w:rsidRPr="00A65C73">
              <w:t>3.2</w:t>
            </w:r>
            <w:r w:rsidRPr="00A65C73">
              <w:tab/>
              <w:t>Periodic audits are conducted to ensure accuracy of asset register in accordance with organisational requirements</w:t>
            </w:r>
          </w:p>
          <w:p w:rsidR="00000000" w:rsidRPr="00A65C73" w:rsidP="00A65C73">
            <w:pPr>
              <w:pStyle w:val="BodyText"/>
            </w:pPr>
            <w:r w:rsidRPr="00A65C73">
              <w:t>3.3</w:t>
            </w:r>
            <w:r w:rsidRPr="00A65C73">
              <w:tab/>
              <w:t>Contributi</w:t>
            </w:r>
            <w:r w:rsidRPr="00A65C73">
              <w:t>on is made to any review of the asset management system to ensure it is supporting business needs in accordance with organisational requirements</w:t>
            </w:r>
          </w:p>
          <w:p w:rsidR="00000000" w:rsidRPr="00A65C73" w:rsidP="00A65C73">
            <w:pPr>
              <w:pStyle w:val="BodyText"/>
            </w:pPr>
            <w:r w:rsidRPr="00A65C73">
              <w:t>3.4</w:t>
            </w:r>
            <w:r w:rsidRPr="00A65C73">
              <w:tab/>
              <w:t>Guidance is provided in accordance with organisational requirements to support effective management and mai</w:t>
            </w:r>
            <w:r w:rsidRPr="00A65C73">
              <w:t>ntenance of the asset register</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9" w:name="O_357811"/>
      <w:bookmarkEnd w:id="9"/>
      <w:r w:rsidRPr="00A65C73">
        <w:t>Required Skills and Knowledge</w:t>
      </w:r>
    </w:p>
    <w:tbl>
      <w:tblPr>
        <w:tblW w:w="0" w:type="auto"/>
        <w:tblCellMar>
          <w:left w:w="62" w:type="dxa"/>
          <w:right w:w="62" w:type="dxa"/>
        </w:tblCellMar>
        <w:tblLook w:val="0000"/>
      </w:tblPr>
      <w:tblGrid>
        <w:gridCol w:w="9196"/>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REQUIRED KNOWLEDGE AND SKILLS</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This describes the essential knowledge and skills and their level required for this unit.</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Required knowledge:</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 xml:space="preserve">Relevant sections of national, state and territory regulatory requirements </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Relevant OH&amp;S and environmental procedures and regulations</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 xml:space="preserve">Different types of asset management systems used within the organisation </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Organisation’s asset management processes</w:t>
            </w:r>
            <w:r w:rsidRPr="00A65C73">
              <w:t xml:space="preserve">, procedures and standards </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 xml:space="preserve">Requirements for completing relevant documentation </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Different types of rail assets applicable to own area</w:t>
            </w:r>
          </w:p>
        </w:tc>
      </w:tr>
    </w:tbl>
    <w:p w:rsidR="00000000" w:rsidRPr="00A65C73" w:rsidP="00A65C73">
      <w:pPr>
        <w:pStyle w:val="BodyText"/>
      </w:pPr>
    </w:p>
    <w:tbl>
      <w:tblPr>
        <w:tblW w:w="0" w:type="auto"/>
        <w:tblCellMar>
          <w:left w:w="62" w:type="dxa"/>
          <w:right w:w="62" w:type="dxa"/>
        </w:tblCellMar>
        <w:tblLook w:val="0000"/>
      </w:tblPr>
      <w:tblGrid>
        <w:gridCol w:w="9196"/>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Required skills:</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Apply the organisation’s asset management processes, procedures and standards</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Determine the condition of a range of assets</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C73">
            <w:pPr>
              <w:pStyle w:val="ListBullet"/>
              <w:rPr>
                <w:lang w:val="en-NZ"/>
              </w:rPr>
            </w:pPr>
            <w:r w:rsidRPr="00A65C73">
              <w:t>Complete documentation relating to the management of assets</w:t>
            </w:r>
          </w:p>
        </w:tc>
      </w:tr>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Modify activities depending on differing operational contingencies, risk situations and environments</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10" w:name="O_357812"/>
      <w:bookmarkEnd w:id="10"/>
      <w:r w:rsidRPr="00A65C73">
        <w:t>Evidence Guide</w:t>
      </w:r>
    </w:p>
    <w:tbl>
      <w:tblPr>
        <w:tblW w:w="9495" w:type="dxa"/>
        <w:tblLayout w:type="fixed"/>
        <w:tblCellMar>
          <w:left w:w="62" w:type="dxa"/>
          <w:right w:w="62" w:type="dxa"/>
        </w:tblCellMar>
        <w:tblLook w:val="0000"/>
      </w:tblPr>
      <w:tblGrid>
        <w:gridCol w:w="3339"/>
        <w:gridCol w:w="6156"/>
      </w:tblGrid>
      <w:tr w:rsidTr="00A65C7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EVIDENCE GUIDE</w:t>
            </w:r>
          </w:p>
        </w:tc>
      </w:tr>
      <w:tr w:rsidTr="00A65C7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The evidence guide provides advice on assessment and must be read in conjunction with the performance criteria, required knowledge and skills, the range statement and the assessment guidelines for this Training Package.</w:t>
            </w:r>
          </w:p>
        </w:tc>
      </w:tr>
      <w:tr w:rsidTr="00A65C7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 xml:space="preserve">Critical aspects </w:t>
            </w:r>
            <w:r w:rsidRPr="00A65C73">
              <w:rPr>
                <w:rStyle w:val="SpecialBold"/>
              </w:rPr>
              <w:t>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The evidence required to demonstrate competency in this unit must be relevant to and satisfy all of the requirements of the elements and performance criteria of this unit and incl</w:t>
            </w:r>
            <w:r w:rsidRPr="00A65C73">
              <w:t>ude demonstration of applying:</w:t>
            </w:r>
          </w:p>
          <w:p w:rsidR="00000000" w:rsidRPr="00A65C73" w:rsidP="00A65C73">
            <w:pPr>
              <w:pStyle w:val="ListBullet2"/>
            </w:pPr>
            <w:r w:rsidRPr="00A65C73">
              <w:t>the underpinning knowledge and skills</w:t>
            </w:r>
          </w:p>
          <w:p w:rsidR="00000000" w:rsidRPr="00A65C73" w:rsidP="00A65C73">
            <w:pPr>
              <w:pStyle w:val="ListBullet2"/>
            </w:pPr>
            <w:r w:rsidRPr="00A65C73">
              <w:t>relevant legislation and workplace procedures</w:t>
            </w:r>
          </w:p>
          <w:p w:rsidR="00000000" w:rsidP="00A65C73">
            <w:pPr>
              <w:pStyle w:val="ListBullet2"/>
              <w:rPr>
                <w:lang w:val="en-NZ"/>
              </w:rPr>
            </w:pPr>
            <w:r w:rsidRPr="00A65C73">
              <w:t>other relevant aspects of the range statement</w:t>
            </w:r>
          </w:p>
        </w:tc>
      </w:tr>
      <w:tr w:rsidTr="00A65C7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Performance is demonstrated consistently over a period of time and in a suitable range of contexts</w:t>
            </w:r>
          </w:p>
          <w:p w:rsidR="00000000" w:rsidRPr="00A65C73" w:rsidP="00A65C73">
            <w:pPr>
              <w:pStyle w:val="ListBullet"/>
            </w:pPr>
            <w:r w:rsidRPr="00A65C73">
              <w:t>Resources for assessment include:</w:t>
            </w:r>
          </w:p>
          <w:p w:rsidR="00000000" w:rsidRPr="00A65C73" w:rsidP="00A65C73">
            <w:pPr>
              <w:pStyle w:val="ListBullet2"/>
            </w:pPr>
            <w:r w:rsidRPr="00A65C73">
              <w:t>a range of relevant exercises, case studies and/or other simulated practical and knowledge assessment, and/or</w:t>
            </w:r>
          </w:p>
          <w:p w:rsidR="00000000" w:rsidRPr="00A65C73" w:rsidP="00A65C73">
            <w:pPr>
              <w:pStyle w:val="ListBullet2"/>
            </w:pPr>
            <w:r w:rsidRPr="00A65C73">
              <w:t>access to an appropriate range of relevant operational situations in the workplace</w:t>
            </w:r>
          </w:p>
          <w:p w:rsidR="00000000" w:rsidRPr="00A65C73" w:rsidP="00A65C73">
            <w:pPr>
              <w:pStyle w:val="ListBullet"/>
            </w:pPr>
            <w:r w:rsidRPr="00A65C73">
              <w:t>In both real and simulated environments, access is required to:</w:t>
            </w:r>
          </w:p>
          <w:p w:rsidR="00000000" w:rsidRPr="00A65C73" w:rsidP="00A65C73">
            <w:pPr>
              <w:pStyle w:val="ListBullet2"/>
            </w:pPr>
            <w:r w:rsidRPr="00A65C73">
              <w:t>relevant and appropriate materials and equipment, and</w:t>
            </w:r>
          </w:p>
          <w:p w:rsidR="00000000" w:rsidP="00A65C73">
            <w:pPr>
              <w:pStyle w:val="ListBullet2"/>
              <w:rPr>
                <w:lang w:val="en-NZ"/>
              </w:rPr>
            </w:pPr>
            <w:r w:rsidRPr="00A65C73">
              <w:t>applicable documentation, including workplace procedu</w:t>
            </w:r>
            <w:r w:rsidRPr="00A65C73">
              <w:t>res, regulations, codes of practice and operation manuals</w:t>
            </w:r>
          </w:p>
        </w:tc>
      </w:tr>
      <w:tr w:rsidTr="00A65C7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As a minimum, assessment of knowledge must be conducted through appropriate written/oral tests</w:t>
            </w:r>
          </w:p>
          <w:p w:rsidR="00000000" w:rsidRPr="00A65C73" w:rsidP="00A65C73">
            <w:pPr>
              <w:pStyle w:val="ListBullet"/>
            </w:pPr>
            <w:r w:rsidRPr="00A65C73">
              <w:t>Practical assessment must occur:</w:t>
            </w:r>
          </w:p>
          <w:p w:rsidR="00000000" w:rsidRPr="00A65C73" w:rsidP="00A65C73">
            <w:pPr>
              <w:pStyle w:val="ListBullet2"/>
            </w:pPr>
            <w:r w:rsidRPr="00A65C73">
              <w:t>through activities in an appropriately simulated environment, and/or</w:t>
            </w:r>
          </w:p>
          <w:p w:rsidR="00000000" w:rsidRPr="00A65C73" w:rsidP="00A65C73">
            <w:pPr>
              <w:pStyle w:val="ListBullet2"/>
            </w:pPr>
            <w:r w:rsidRPr="00A65C73">
              <w:t>in an appropriate range of situations in the workplace</w:t>
            </w:r>
          </w:p>
        </w:tc>
      </w:tr>
    </w:tbl>
    <w:p w:rsidR="00000000" w:rsidRPr="00A65C73" w:rsidP="00A65C73">
      <w:pPr>
        <w:pStyle w:val="BodyText"/>
      </w:pPr>
    </w:p>
    <w:p w:rsidR="00000000" w:rsidRPr="00A65C73" w:rsidP="00A65C73">
      <w:pPr>
        <w:pStyle w:val="AllowPageBreak"/>
      </w:pPr>
    </w:p>
    <w:p w:rsidR="00000000" w:rsidRPr="00A65C73" w:rsidP="00A65C73">
      <w:pPr>
        <w:pStyle w:val="Heading1"/>
      </w:pPr>
      <w:bookmarkStart w:id="11" w:name="O_357813"/>
      <w:bookmarkEnd w:id="11"/>
      <w:r w:rsidRPr="00A65C73">
        <w:t>Range Statement</w:t>
      </w:r>
    </w:p>
    <w:tbl>
      <w:tblPr>
        <w:tblW w:w="9615" w:type="dxa"/>
        <w:tblLayout w:type="fixed"/>
        <w:tblCellMar>
          <w:left w:w="62" w:type="dxa"/>
          <w:right w:w="62" w:type="dxa"/>
        </w:tblCellMar>
        <w:tblLook w:val="0000"/>
      </w:tblPr>
      <w:tblGrid>
        <w:gridCol w:w="3300"/>
        <w:gridCol w:w="6315"/>
      </w:tblGrid>
      <w:tr w:rsidTr="00BD702F">
        <w:tblPrEx>
          <w:tblW w:w="9615" w:type="dxa"/>
          <w:tblLayout w:type="fixed"/>
          <w:tblCellMar>
            <w:left w:w="62" w:type="dxa"/>
            <w:right w:w="62" w:type="dxa"/>
          </w:tblCellMar>
          <w:tblLook w:val="0000"/>
        </w:tblPrEx>
        <w:tc>
          <w:tcPr>
            <w:tcW w:w="9615"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 xml:space="preserve">RANGE STATEMENT </w:t>
            </w:r>
          </w:p>
        </w:tc>
      </w:tr>
      <w:tr w:rsidTr="00BD702F">
        <w:tblPrEx>
          <w:tblW w:w="9615" w:type="dxa"/>
          <w:tblLayout w:type="fixed"/>
          <w:tblCellMar>
            <w:left w:w="62" w:type="dxa"/>
            <w:right w:w="62" w:type="dxa"/>
          </w:tblCellMar>
          <w:tblLook w:val="0000"/>
        </w:tblPrEx>
        <w:tc>
          <w:tcPr>
            <w:tcW w:w="9615"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The range statement relates to the unit of competency as a whole. It allows for different work environments and situations that may affect performance.</w:t>
            </w:r>
          </w:p>
        </w:tc>
      </w:tr>
      <w:tr w:rsidTr="00BD702F">
        <w:tblPrEx>
          <w:tblW w:w="9615" w:type="dxa"/>
          <w:tblLayout w:type="fixed"/>
          <w:tblCellMar>
            <w:left w:w="62" w:type="dxa"/>
            <w:right w:w="62" w:type="dxa"/>
          </w:tblCellMar>
          <w:tblLook w:val="0000"/>
        </w:tblPrEx>
        <w:trPr>
          <w:trHeight w:val="57"/>
        </w:trPr>
        <w:tc>
          <w:tcPr>
            <w:tcW w:w="3300"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Area of responsibility and assets may include:</w:t>
            </w:r>
          </w:p>
        </w:tc>
        <w:tc>
          <w:tcPr>
            <w:tcW w:w="6315"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track and components</w:t>
            </w:r>
          </w:p>
          <w:p w:rsidR="00000000" w:rsidRPr="00A65C73" w:rsidP="00A65C73">
            <w:pPr>
              <w:pStyle w:val="ListBullet"/>
            </w:pPr>
            <w:r w:rsidRPr="00A65C73">
              <w:t>structures and components</w:t>
            </w:r>
          </w:p>
          <w:p w:rsidR="00000000" w:rsidRPr="00A65C73" w:rsidP="00A65C73">
            <w:pPr>
              <w:pStyle w:val="ListBullet"/>
            </w:pPr>
            <w:r w:rsidRPr="00A65C73">
              <w:t>right o</w:t>
            </w:r>
            <w:r w:rsidRPr="00A65C73">
              <w:t>f way and components</w:t>
            </w:r>
          </w:p>
          <w:p w:rsidR="00000000" w:rsidRPr="00A65C73" w:rsidP="00A65C73">
            <w:pPr>
              <w:pStyle w:val="ListBullet"/>
            </w:pPr>
            <w:r w:rsidRPr="00A65C73">
              <w:t>plant and equipment</w:t>
            </w:r>
          </w:p>
          <w:p w:rsidR="00000000" w:rsidRPr="00A65C73" w:rsidP="00A65C73">
            <w:pPr>
              <w:pStyle w:val="ListBullet"/>
            </w:pPr>
            <w:r w:rsidRPr="00A65C73">
              <w:t>signalling and electrical components</w:t>
            </w:r>
          </w:p>
          <w:p w:rsidR="00000000" w:rsidRPr="00A65C73" w:rsidP="00A65C73">
            <w:pPr>
              <w:pStyle w:val="ListBullet"/>
            </w:pPr>
            <w:r w:rsidRPr="00A65C73">
              <w:t>buildings</w:t>
            </w:r>
          </w:p>
          <w:p w:rsidR="00000000" w:rsidRPr="00A65C73" w:rsidP="00A65C73">
            <w:pPr>
              <w:pStyle w:val="ListBullet"/>
            </w:pPr>
            <w:r w:rsidRPr="00A65C73">
              <w:t>assets in the process of being transferred</w:t>
            </w:r>
          </w:p>
          <w:p w:rsidR="00000000" w:rsidRPr="00A65C73" w:rsidP="00A65C73">
            <w:pPr>
              <w:pStyle w:val="ListBullet"/>
            </w:pPr>
            <w:r w:rsidRPr="00A65C73">
              <w:t>land</w:t>
            </w:r>
          </w:p>
          <w:p w:rsidR="00000000" w:rsidRPr="00A65C73" w:rsidP="00A65C73">
            <w:pPr>
              <w:pStyle w:val="ListBullet"/>
            </w:pPr>
            <w:r w:rsidRPr="00A65C73">
              <w:t>office equipment and furniture</w:t>
            </w:r>
          </w:p>
          <w:p w:rsidR="00000000" w:rsidRPr="00A65C73" w:rsidP="00A65C73">
            <w:pPr>
              <w:pStyle w:val="ListBullet"/>
            </w:pPr>
            <w:r w:rsidRPr="00A65C73">
              <w:t>vehicles</w:t>
            </w:r>
          </w:p>
          <w:p w:rsidR="00000000" w:rsidP="00A65C73">
            <w:pPr>
              <w:pStyle w:val="ListBullet"/>
              <w:rPr>
                <w:lang w:val="en-NZ"/>
              </w:rPr>
            </w:pPr>
            <w:r w:rsidRPr="00A65C73">
              <w:t>facilities</w:t>
            </w:r>
          </w:p>
        </w:tc>
      </w:tr>
      <w:tr w:rsidTr="00BD702F">
        <w:tblPrEx>
          <w:tblW w:w="9615" w:type="dxa"/>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Management activities may include:</w:t>
            </w:r>
          </w:p>
        </w:tc>
        <w:tc>
          <w:tcPr>
            <w:tcW w:w="6315"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 xml:space="preserve">maintenance </w:t>
            </w:r>
          </w:p>
          <w:p w:rsidR="00000000" w:rsidRPr="00A65C73" w:rsidP="00A65C73">
            <w:pPr>
              <w:pStyle w:val="ListBullet"/>
            </w:pPr>
            <w:r w:rsidRPr="00A65C73">
              <w:t>repairs</w:t>
            </w:r>
          </w:p>
          <w:p w:rsidR="00000000" w:rsidRPr="00A65C73" w:rsidP="00A65C73">
            <w:pPr>
              <w:pStyle w:val="ListBullet"/>
            </w:pPr>
            <w:r w:rsidRPr="00A65C73">
              <w:t>purchases</w:t>
            </w:r>
          </w:p>
          <w:p w:rsidR="00000000" w:rsidRPr="00A65C73" w:rsidP="00A65C73">
            <w:pPr>
              <w:pStyle w:val="ListBullet"/>
            </w:pPr>
            <w:r w:rsidRPr="00A65C73">
              <w:t>loss</w:t>
            </w:r>
          </w:p>
          <w:p w:rsidR="00000000" w:rsidRPr="00A65C73" w:rsidP="00A65C73">
            <w:pPr>
              <w:pStyle w:val="ListBullet"/>
            </w:pPr>
            <w:r w:rsidRPr="00A65C73">
              <w:t>damage</w:t>
            </w:r>
          </w:p>
          <w:p w:rsidR="00000000" w:rsidRPr="00A65C73" w:rsidP="00A65C73">
            <w:pPr>
              <w:pStyle w:val="ListBullet"/>
            </w:pPr>
            <w:r w:rsidRPr="00A65C73">
              <w:t>disposal</w:t>
            </w:r>
          </w:p>
          <w:p w:rsidR="00000000" w:rsidP="00A65C73">
            <w:pPr>
              <w:pStyle w:val="ListBullet"/>
              <w:rPr>
                <w:lang w:val="en-NZ"/>
              </w:rPr>
            </w:pPr>
            <w:r w:rsidRPr="00A65C73">
              <w:t>installation</w:t>
            </w:r>
          </w:p>
        </w:tc>
      </w:tr>
      <w:tr w:rsidTr="00BD702F">
        <w:tblPrEx>
          <w:tblW w:w="9615" w:type="dxa"/>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Depending on the organisation concerned, organisational procedures may be called:</w:t>
            </w:r>
          </w:p>
        </w:tc>
        <w:tc>
          <w:tcPr>
            <w:tcW w:w="6315"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standard operating procedures (SOPs)</w:t>
            </w:r>
          </w:p>
          <w:p w:rsidR="00000000" w:rsidRPr="00A65C73" w:rsidP="00A65C73">
            <w:pPr>
              <w:pStyle w:val="ListBullet"/>
            </w:pPr>
            <w:r w:rsidRPr="00A65C73">
              <w:t>company procedures</w:t>
            </w:r>
          </w:p>
          <w:p w:rsidR="00000000" w:rsidRPr="00A65C73" w:rsidP="00A65C73">
            <w:pPr>
              <w:pStyle w:val="ListBullet"/>
            </w:pPr>
            <w:r w:rsidRPr="00A65C73">
              <w:t>enterprise procedures</w:t>
            </w:r>
          </w:p>
          <w:p w:rsidR="00000000" w:rsidRPr="00A65C73" w:rsidP="00A65C73">
            <w:pPr>
              <w:pStyle w:val="ListBullet"/>
            </w:pPr>
            <w:r w:rsidRPr="00A65C73">
              <w:t>workplace procedures</w:t>
            </w:r>
          </w:p>
          <w:p w:rsidR="00000000" w:rsidP="00A65C73">
            <w:pPr>
              <w:pStyle w:val="ListBullet"/>
              <w:rPr>
                <w:lang w:val="en-NZ"/>
              </w:rPr>
            </w:pPr>
            <w:r w:rsidRPr="00A65C73">
              <w:t>established procedures</w:t>
            </w:r>
          </w:p>
        </w:tc>
      </w:tr>
      <w:tr w:rsidTr="00BD702F">
        <w:tblPrEx>
          <w:tblW w:w="9615" w:type="dxa"/>
          <w:tblLayout w:type="fixed"/>
          <w:tblCellMar>
            <w:left w:w="62" w:type="dxa"/>
            <w:right w:w="62" w:type="dxa"/>
          </w:tblCellMar>
          <w:tblLook w:val="0000"/>
        </w:tblPrEx>
        <w:trPr>
          <w:trHeight w:val="57"/>
        </w:trPr>
        <w:tc>
          <w:tcPr>
            <w:tcW w:w="3300"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Documentation and records may include:</w:t>
            </w:r>
          </w:p>
        </w:tc>
        <w:tc>
          <w:tcPr>
            <w:tcW w:w="6315" w:type="dxa"/>
            <w:tcBorders>
              <w:top w:val="nil"/>
              <w:left w:val="nil"/>
              <w:bottom w:val="nil"/>
              <w:right w:val="nil"/>
            </w:tcBorders>
            <w:tcMar>
              <w:top w:w="0" w:type="dxa"/>
              <w:left w:w="62" w:type="dxa"/>
              <w:bottom w:w="0" w:type="dxa"/>
              <w:right w:w="62" w:type="dxa"/>
            </w:tcMar>
          </w:tcPr>
          <w:p w:rsidR="00000000" w:rsidRPr="00A65C73" w:rsidP="00A65C73">
            <w:pPr>
              <w:pStyle w:val="ListBullet"/>
            </w:pPr>
            <w:r w:rsidRPr="00A65C73">
              <w:t>lists of assets and asset registers</w:t>
            </w:r>
          </w:p>
          <w:p w:rsidR="00000000" w:rsidRPr="00A65C73" w:rsidP="00A65C73">
            <w:pPr>
              <w:pStyle w:val="ListBullet"/>
            </w:pPr>
            <w:r w:rsidRPr="00A65C73">
              <w:t xml:space="preserve">organisational standards, policies, regulations and codes of practice </w:t>
            </w:r>
          </w:p>
          <w:p w:rsidR="00000000" w:rsidRPr="00A65C73" w:rsidP="00A65C73">
            <w:pPr>
              <w:pStyle w:val="ListBullet"/>
            </w:pPr>
            <w:r w:rsidRPr="00A65C73">
              <w:t>manufacturer specifications and procedures</w:t>
            </w:r>
          </w:p>
          <w:p w:rsidR="00000000" w:rsidRPr="00A65C73" w:rsidP="00A65C73">
            <w:pPr>
              <w:pStyle w:val="ListBullet"/>
            </w:pPr>
            <w:r w:rsidRPr="00A65C73">
              <w:t>maintenance schedules</w:t>
            </w:r>
          </w:p>
          <w:p w:rsidR="00000000" w:rsidRPr="00A65C73" w:rsidP="00A65C73">
            <w:pPr>
              <w:pStyle w:val="ListBullet"/>
            </w:pPr>
            <w:r w:rsidRPr="00A65C73">
              <w:t>asset management documentation and record sy</w:t>
            </w:r>
            <w:r w:rsidRPr="00A65C73">
              <w:t>stems</w:t>
            </w:r>
          </w:p>
          <w:p w:rsidR="00000000" w:rsidRPr="00A65C73" w:rsidP="00A65C73">
            <w:pPr>
              <w:pStyle w:val="ListBullet"/>
            </w:pPr>
            <w:r w:rsidRPr="00A65C73">
              <w:t>relevant Australian standards and certification requirements</w:t>
            </w:r>
          </w:p>
          <w:p w:rsidR="00000000" w:rsidRPr="00A65C73" w:rsidP="00A65C73">
            <w:pPr>
              <w:pStyle w:val="ListBullet"/>
            </w:pPr>
            <w:r w:rsidRPr="00A65C73">
              <w:t>relevant federal, state and territory legislation</w:t>
            </w:r>
          </w:p>
        </w:tc>
      </w:tr>
    </w:tbl>
    <w:p w:rsidR="00BD702F" w:rsidP="00A65C73">
      <w:pPr>
        <w:pStyle w:val="BodyText"/>
      </w:pPr>
    </w:p>
    <w:p w:rsidR="00BD702F" w:rsidP="00A65C73">
      <w:pPr>
        <w:pStyle w:val="BodyText"/>
      </w:pPr>
    </w:p>
    <w:p w:rsidR="00000000" w:rsidRPr="00A65C73" w:rsidP="00A65C73">
      <w:pPr>
        <w:pStyle w:val="Heading1"/>
      </w:pPr>
      <w:bookmarkStart w:id="12" w:name="O_357814"/>
      <w:bookmarkEnd w:id="12"/>
      <w:r w:rsidRPr="00A65C73">
        <w:t>Unit Sector(s)</w:t>
      </w:r>
    </w:p>
    <w:p w:rsidR="00000000" w:rsidRPr="00A65C73" w:rsidP="00A65C73">
      <w:pPr>
        <w:pStyle w:val="BodyText"/>
      </w:pPr>
      <w:r w:rsidRPr="00A65C73">
        <w:t>Not applicable.</w:t>
      </w:r>
    </w:p>
    <w:p w:rsidR="00000000" w:rsidRPr="00A65C73" w:rsidP="00A65C73">
      <w:pPr>
        <w:pStyle w:val="AllowPageBreak"/>
      </w:pPr>
    </w:p>
    <w:p w:rsidR="00000000" w:rsidRPr="00A65C73" w:rsidP="00A65C73">
      <w:pPr>
        <w:pStyle w:val="Heading1"/>
      </w:pPr>
      <w:bookmarkStart w:id="13" w:name="O_357815"/>
      <w:bookmarkEnd w:id="13"/>
      <w:r w:rsidRPr="00A65C73">
        <w:t xml:space="preserve">Competency Field </w:t>
      </w:r>
    </w:p>
    <w:tbl>
      <w:tblPr>
        <w:tblW w:w="0" w:type="auto"/>
        <w:tblCellMar>
          <w:left w:w="62" w:type="dxa"/>
          <w:right w:w="62" w:type="dxa"/>
        </w:tblCellMar>
        <w:tblLook w:val="0000"/>
      </w:tblPr>
      <w:tblGrid>
        <w:gridCol w:w="9196"/>
      </w:tblGrid>
      <w:tr w:rsidTr="00BD70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L – Resource Management</w:t>
            </w:r>
          </w:p>
        </w:tc>
      </w:tr>
    </w:tbl>
    <w:p w:rsidR="00000000" w:rsidRPr="00A65C73" w:rsidP="00A65C73">
      <w:pPr>
        <w:pStyle w:val="BodyText"/>
      </w:pPr>
    </w:p>
    <w:p w:rsidR="00000000" w:rsidRPr="00A65C73" w:rsidP="00A65C73"/>
    <w:sectPr w:rsidSect="00A65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02F" w:rsidP="00BD7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2F" w:rsidP="00A65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702F" w:rsidP="00A65C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D702F" w:rsidP="00A65C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rsidRPr="00BD702F" w:rsidP="00BD70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2F" w:rsidP="00A65C73">
    <w:pPr>
      <w:pStyle w:val="Header"/>
      <w:framePr w:wrap="around"/>
    </w:pPr>
    <w:r>
      <w:fldChar w:fldCharType="begin"/>
    </w:r>
    <w:r>
      <w:instrText xml:space="preserve"> TITLE   \* MERGEFORMAT </w:instrText>
    </w:r>
    <w:r>
      <w:fldChar w:fldCharType="separate"/>
    </w:r>
    <w:r>
      <w:t>TLIL4073A Apply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702F" w:rsidP="00A65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07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FEA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AA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C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C73"/>
    <w:pPr>
      <w:spacing w:before="360" w:after="60"/>
      <w:outlineLvl w:val="0"/>
    </w:pPr>
    <w:rPr>
      <w:sz w:val="32"/>
    </w:rPr>
  </w:style>
  <w:style w:type="paragraph" w:styleId="Heading2">
    <w:name w:val="heading 2"/>
    <w:basedOn w:val="HeadingBase"/>
    <w:next w:val="BodyText"/>
    <w:link w:val="Heading2Char"/>
    <w:qFormat/>
    <w:rsid w:val="00A65C73"/>
    <w:pPr>
      <w:keepLines/>
      <w:spacing w:before="240" w:after="120"/>
      <w:outlineLvl w:val="1"/>
    </w:pPr>
    <w:rPr>
      <w:sz w:val="28"/>
      <w:szCs w:val="40"/>
    </w:rPr>
  </w:style>
  <w:style w:type="paragraph" w:styleId="Heading3">
    <w:name w:val="heading 3"/>
    <w:basedOn w:val="HeadingBase"/>
    <w:next w:val="BodyText"/>
    <w:link w:val="Heading3Char"/>
    <w:qFormat/>
    <w:rsid w:val="00A65C73"/>
    <w:pPr>
      <w:spacing w:before="180" w:after="120"/>
      <w:outlineLvl w:val="2"/>
    </w:pPr>
    <w:rPr>
      <w:spacing w:val="-10"/>
      <w:kern w:val="32"/>
    </w:rPr>
  </w:style>
  <w:style w:type="paragraph" w:styleId="Heading4">
    <w:name w:val="heading 4"/>
    <w:basedOn w:val="HeadingBase"/>
    <w:next w:val="BodyText"/>
    <w:link w:val="Heading4Char"/>
    <w:qFormat/>
    <w:rsid w:val="00A65C73"/>
    <w:pPr>
      <w:spacing w:before="160" w:after="120"/>
      <w:outlineLvl w:val="3"/>
    </w:pPr>
    <w:rPr>
      <w:sz w:val="22"/>
    </w:rPr>
  </w:style>
  <w:style w:type="paragraph" w:styleId="Heading5">
    <w:name w:val="heading 5"/>
    <w:basedOn w:val="HeadingBase"/>
    <w:next w:val="Normal"/>
    <w:link w:val="Heading5Char"/>
    <w:qFormat/>
    <w:rsid w:val="00A65C73"/>
    <w:pPr>
      <w:spacing w:before="80"/>
      <w:outlineLvl w:val="4"/>
    </w:pPr>
    <w:rPr>
      <w:color w:val="918585"/>
      <w:sz w:val="20"/>
    </w:rPr>
  </w:style>
  <w:style w:type="paragraph" w:styleId="Heading6">
    <w:name w:val="heading 6"/>
    <w:basedOn w:val="HeadingBase"/>
    <w:next w:val="Normal"/>
    <w:link w:val="Heading6Char"/>
    <w:qFormat/>
    <w:rsid w:val="00A65C73"/>
    <w:pPr>
      <w:spacing w:before="60"/>
      <w:outlineLvl w:val="5"/>
    </w:pPr>
    <w:rPr>
      <w:color w:val="918585"/>
      <w:sz w:val="20"/>
    </w:rPr>
  </w:style>
  <w:style w:type="paragraph" w:styleId="Heading7">
    <w:name w:val="heading 7"/>
    <w:basedOn w:val="Normal"/>
    <w:next w:val="Normal"/>
    <w:link w:val="Heading7Char"/>
    <w:qFormat/>
    <w:rsid w:val="00A65C73"/>
    <w:pPr>
      <w:ind w:left="720"/>
      <w:outlineLvl w:val="6"/>
    </w:pPr>
    <w:rPr>
      <w:i/>
    </w:rPr>
  </w:style>
  <w:style w:type="paragraph" w:styleId="Heading8">
    <w:name w:val="heading 8"/>
    <w:basedOn w:val="Normal"/>
    <w:next w:val="Normal"/>
    <w:link w:val="Heading8Char"/>
    <w:qFormat/>
    <w:rsid w:val="00A65C73"/>
    <w:pPr>
      <w:ind w:left="720"/>
      <w:outlineLvl w:val="7"/>
    </w:pPr>
    <w:rPr>
      <w:i/>
    </w:rPr>
  </w:style>
  <w:style w:type="paragraph" w:styleId="Heading9">
    <w:name w:val="heading 9"/>
    <w:basedOn w:val="Normal"/>
    <w:next w:val="Normal"/>
    <w:link w:val="Heading9Char"/>
    <w:qFormat/>
    <w:rsid w:val="00A65C73"/>
    <w:pPr>
      <w:ind w:left="720"/>
      <w:outlineLvl w:val="8"/>
    </w:pPr>
    <w:rPr>
      <w:i/>
    </w:rPr>
  </w:style>
  <w:style w:type="character" w:default="1" w:styleId="DefaultParagraphFont">
    <w:name w:val="Default Paragraph Font"/>
    <w:uiPriority w:val="1"/>
    <w:unhideWhenUsed/>
    <w:rsid w:val="00A65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C73"/>
  </w:style>
  <w:style w:type="character" w:customStyle="1" w:styleId="Heading1Char">
    <w:name w:val="Heading 1 Char"/>
    <w:link w:val="Heading1"/>
    <w:rsid w:val="00A65C73"/>
    <w:rPr>
      <w:rFonts w:ascii="Times New Roman" w:eastAsia="Times New Roman" w:hAnsi="Times New Roman" w:cs="Times New Roman"/>
      <w:b/>
      <w:sz w:val="32"/>
      <w:szCs w:val="20"/>
      <w:lang w:eastAsia="en-US"/>
    </w:rPr>
  </w:style>
  <w:style w:type="paragraph" w:styleId="BodyText">
    <w:name w:val="Body Text"/>
    <w:basedOn w:val="Normal"/>
    <w:link w:val="BodyTextChar"/>
    <w:rsid w:val="00A65C73"/>
    <w:pPr>
      <w:spacing w:before="120" w:after="120"/>
      <w:contextualSpacing/>
    </w:pPr>
    <w:rPr>
      <w:rFonts w:ascii="Times New Roman" w:hAnsi="Times New Roman"/>
      <w:sz w:val="24"/>
      <w:szCs w:val="22"/>
    </w:rPr>
  </w:style>
  <w:style w:type="character" w:customStyle="1" w:styleId="BodyTextChar">
    <w:name w:val="Body Text Char"/>
    <w:link w:val="BodyText"/>
    <w:rsid w:val="00A65C73"/>
    <w:rPr>
      <w:rFonts w:ascii="Times New Roman" w:eastAsia="Times New Roman" w:hAnsi="Times New Roman" w:cs="Times New Roman"/>
      <w:sz w:val="24"/>
      <w:lang w:val="en-US" w:eastAsia="en-US"/>
    </w:rPr>
  </w:style>
  <w:style w:type="paragraph" w:styleId="Footer">
    <w:name w:val="footer"/>
    <w:basedOn w:val="Normal"/>
    <w:link w:val="FooterChar"/>
    <w:rsid w:val="00A65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5C73"/>
    <w:rPr>
      <w:rFonts w:ascii="Times New Roman" w:eastAsia="Times New Roman" w:hAnsi="Times New Roman" w:cs="Times New Roman"/>
      <w:sz w:val="16"/>
      <w:lang w:val="en-US" w:eastAsia="en-US"/>
    </w:rPr>
  </w:style>
  <w:style w:type="paragraph" w:styleId="ListBullet">
    <w:name w:val="List Bullet"/>
    <w:basedOn w:val="List"/>
    <w:rsid w:val="00A65C73"/>
    <w:pPr>
      <w:numPr>
        <w:numId w:val="13"/>
      </w:numPr>
      <w:tabs>
        <w:tab w:val="clear" w:pos="340"/>
      </w:tabs>
      <w:spacing w:before="40" w:after="40"/>
    </w:pPr>
  </w:style>
  <w:style w:type="character" w:customStyle="1" w:styleId="SpecialBold">
    <w:name w:val="Special Bold"/>
    <w:rsid w:val="00A65C73"/>
    <w:rPr>
      <w:b/>
      <w:spacing w:val="0"/>
    </w:rPr>
  </w:style>
  <w:style w:type="paragraph" w:styleId="ListBullet2">
    <w:name w:val="List Bullet 2"/>
    <w:basedOn w:val="List2"/>
    <w:rsid w:val="00A65C73"/>
    <w:pPr>
      <w:numPr>
        <w:numId w:val="14"/>
      </w:numPr>
      <w:tabs>
        <w:tab w:val="clear" w:pos="680"/>
      </w:tabs>
    </w:pPr>
  </w:style>
  <w:style w:type="paragraph" w:customStyle="1" w:styleId="SuperHeading">
    <w:name w:val="SuperHeading"/>
    <w:basedOn w:val="Normal"/>
    <w:rsid w:val="00A65C73"/>
    <w:pPr>
      <w:spacing w:before="240" w:after="120"/>
      <w:outlineLvl w:val="0"/>
    </w:pPr>
    <w:rPr>
      <w:rFonts w:ascii="Times New Roman" w:hAnsi="Times New Roman"/>
      <w:b/>
      <w:sz w:val="28"/>
    </w:rPr>
  </w:style>
  <w:style w:type="paragraph" w:customStyle="1" w:styleId="AllowPageBreak">
    <w:name w:val="AllowPageBreak"/>
    <w:rsid w:val="00A65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65C73"/>
    <w:rPr>
      <w:rFonts w:ascii="Times New Roman" w:eastAsia="Times New Roman" w:hAnsi="Times New Roman" w:cs="Times New Roman"/>
      <w:b/>
      <w:sz w:val="28"/>
      <w:szCs w:val="40"/>
      <w:lang w:eastAsia="en-US"/>
    </w:rPr>
  </w:style>
  <w:style w:type="character" w:customStyle="1" w:styleId="Heading3Char">
    <w:name w:val="Heading 3 Char"/>
    <w:link w:val="Heading3"/>
    <w:rsid w:val="00A65C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5C73"/>
    <w:rPr>
      <w:rFonts w:ascii="Times New Roman" w:eastAsia="Times New Roman" w:hAnsi="Times New Roman" w:cs="Times New Roman"/>
      <w:b/>
      <w:szCs w:val="20"/>
      <w:lang w:eastAsia="en-US"/>
    </w:rPr>
  </w:style>
  <w:style w:type="character" w:customStyle="1" w:styleId="Heading5Char">
    <w:name w:val="Heading 5 Char"/>
    <w:link w:val="Heading5"/>
    <w:rsid w:val="00A65C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5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C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C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C73"/>
    <w:rPr>
      <w:rFonts w:ascii="Courier New" w:eastAsia="Times New Roman" w:hAnsi="Courier New" w:cs="Times New Roman"/>
      <w:i/>
      <w:szCs w:val="20"/>
      <w:lang w:val="en-US" w:eastAsia="en-US"/>
    </w:rPr>
  </w:style>
  <w:style w:type="paragraph" w:customStyle="1" w:styleId="HeadingBase">
    <w:name w:val="Heading Base"/>
    <w:rsid w:val="00A65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C73"/>
    <w:pPr>
      <w:tabs>
        <w:tab w:val="right" w:leader="dot" w:pos="9072"/>
      </w:tabs>
      <w:ind w:left="567"/>
    </w:pPr>
    <w:rPr>
      <w:szCs w:val="22"/>
    </w:rPr>
  </w:style>
  <w:style w:type="paragraph" w:customStyle="1" w:styleId="TOCBase">
    <w:name w:val="TOC Base"/>
    <w:rsid w:val="00A65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C73"/>
    <w:pPr>
      <w:tabs>
        <w:tab w:val="right" w:leader="dot" w:pos="9072"/>
      </w:tabs>
      <w:spacing w:before="40" w:after="40"/>
      <w:ind w:left="284"/>
    </w:pPr>
    <w:rPr>
      <w:rFonts w:ascii="Times New Roman" w:hAnsi="Times New Roman"/>
    </w:rPr>
  </w:style>
  <w:style w:type="paragraph" w:styleId="TOC1">
    <w:name w:val="toc 1"/>
    <w:basedOn w:val="TOCBase"/>
    <w:next w:val="Normal"/>
    <w:rsid w:val="00A65C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C73"/>
    <w:pPr>
      <w:spacing w:before="5040"/>
      <w:jc w:val="center"/>
    </w:pPr>
    <w:rPr>
      <w:sz w:val="48"/>
      <w:szCs w:val="72"/>
      <w:lang w:val="en-US"/>
    </w:rPr>
  </w:style>
  <w:style w:type="character" w:customStyle="1" w:styleId="TitleChar">
    <w:name w:val="Title Char"/>
    <w:link w:val="Title"/>
    <w:rsid w:val="00A65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C73"/>
    <w:pPr>
      <w:tabs>
        <w:tab w:val="left" w:pos="3600"/>
        <w:tab w:val="left" w:pos="3958"/>
      </w:tabs>
    </w:pPr>
  </w:style>
  <w:style w:type="paragraph" w:styleId="List">
    <w:name w:val="List"/>
    <w:basedOn w:val="BodyText"/>
    <w:next w:val="BodyText"/>
    <w:rsid w:val="00A65C73"/>
    <w:pPr>
      <w:tabs>
        <w:tab w:val="left" w:pos="340"/>
      </w:tabs>
      <w:spacing w:before="60" w:after="60"/>
      <w:ind w:left="340" w:hanging="340"/>
    </w:pPr>
  </w:style>
  <w:style w:type="paragraph" w:customStyle="1" w:styleId="Note">
    <w:name w:val="Note"/>
    <w:basedOn w:val="BodyText"/>
    <w:rsid w:val="00A65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C73"/>
    <w:pPr>
      <w:framePr w:wrap="auto" w:hAnchor="text" w:y="6049"/>
    </w:pPr>
    <w:rPr>
      <w:color w:val="000000"/>
      <w:sz w:val="40"/>
    </w:rPr>
  </w:style>
  <w:style w:type="paragraph" w:customStyle="1" w:styleId="TOCTitle">
    <w:name w:val="TOCTitle"/>
    <w:basedOn w:val="Heading1"/>
    <w:rsid w:val="00A65C73"/>
    <w:pPr>
      <w:spacing w:after="240"/>
      <w:jc w:val="center"/>
      <w:outlineLvl w:val="9"/>
    </w:pPr>
    <w:rPr>
      <w:caps/>
    </w:rPr>
  </w:style>
  <w:style w:type="paragraph" w:customStyle="1" w:styleId="Version">
    <w:name w:val="Version"/>
    <w:rsid w:val="00A65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C73"/>
    <w:pPr>
      <w:keepNext w:val="0"/>
      <w:tabs>
        <w:tab w:val="right" w:pos="4176"/>
      </w:tabs>
      <w:ind w:left="198" w:hanging="198"/>
    </w:pPr>
    <w:rPr>
      <w:rFonts w:ascii="Garamond" w:hAnsi="Garamond"/>
    </w:rPr>
  </w:style>
  <w:style w:type="paragraph" w:styleId="IndexHeading">
    <w:name w:val="index heading"/>
    <w:basedOn w:val="Normal"/>
    <w:next w:val="Index1"/>
    <w:semiHidden/>
    <w:rsid w:val="00A65C73"/>
    <w:pPr>
      <w:spacing w:before="120" w:after="120"/>
    </w:pPr>
    <w:rPr>
      <w:rFonts w:ascii="Arial" w:hAnsi="Arial"/>
      <w:b/>
      <w:color w:val="918585"/>
      <w:sz w:val="24"/>
    </w:rPr>
  </w:style>
  <w:style w:type="paragraph" w:styleId="Header">
    <w:name w:val="header"/>
    <w:basedOn w:val="Normal"/>
    <w:link w:val="HeaderChar"/>
    <w:rsid w:val="00A65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5C73"/>
    <w:rPr>
      <w:rFonts w:ascii="Times New Roman" w:eastAsia="Times New Roman" w:hAnsi="Times New Roman" w:cs="Times New Roman"/>
      <w:sz w:val="16"/>
      <w:szCs w:val="20"/>
      <w:lang w:val="en-GB" w:eastAsia="en-US"/>
    </w:rPr>
  </w:style>
  <w:style w:type="paragraph" w:customStyle="1" w:styleId="Chapter">
    <w:name w:val="Chapter"/>
    <w:basedOn w:val="Normal"/>
    <w:rsid w:val="00A65C73"/>
    <w:pPr>
      <w:spacing w:before="240"/>
    </w:pPr>
    <w:rPr>
      <w:rFonts w:ascii="Times New Roman" w:hAnsi="Times New Roman"/>
      <w:smallCaps/>
      <w:spacing w:val="80"/>
      <w:sz w:val="28"/>
    </w:rPr>
  </w:style>
  <w:style w:type="paragraph" w:customStyle="1" w:styleId="InChapter">
    <w:name w:val="InChapter"/>
    <w:basedOn w:val="Heading3"/>
    <w:rsid w:val="00A65C73"/>
    <w:pPr>
      <w:spacing w:after="240"/>
      <w:outlineLvl w:val="9"/>
    </w:pPr>
    <w:rPr>
      <w:noProof/>
    </w:rPr>
  </w:style>
  <w:style w:type="paragraph" w:styleId="Index2">
    <w:name w:val="index 2"/>
    <w:basedOn w:val="Normal"/>
    <w:next w:val="Normal"/>
    <w:semiHidden/>
    <w:rsid w:val="00A65C73"/>
    <w:pPr>
      <w:tabs>
        <w:tab w:val="right" w:pos="4176"/>
      </w:tabs>
      <w:ind w:left="568" w:hanging="284"/>
    </w:pPr>
    <w:rPr>
      <w:rFonts w:ascii="Garamond" w:hAnsi="Garamond"/>
    </w:rPr>
  </w:style>
  <w:style w:type="paragraph" w:customStyle="1" w:styleId="Byline">
    <w:name w:val="Byline"/>
    <w:rsid w:val="00A65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C73"/>
    <w:pPr>
      <w:tabs>
        <w:tab w:val="clear" w:pos="3600"/>
        <w:tab w:val="clear" w:pos="3958"/>
      </w:tabs>
      <w:jc w:val="right"/>
    </w:pPr>
  </w:style>
  <w:style w:type="character" w:styleId="Emphasis">
    <w:name w:val="Emphasis"/>
    <w:qFormat/>
    <w:rsid w:val="00A65C73"/>
    <w:rPr>
      <w:i/>
    </w:rPr>
  </w:style>
  <w:style w:type="paragraph" w:styleId="Caption">
    <w:name w:val="caption"/>
    <w:basedOn w:val="BodyText"/>
    <w:next w:val="Normal"/>
    <w:qFormat/>
    <w:rsid w:val="00A65C73"/>
    <w:pPr>
      <w:framePr w:w="2268" w:hSpace="181" w:vSpace="181" w:wrap="around" w:vAnchor="text" w:hAnchor="page" w:x="1135" w:y="285" w:anchorLock="1"/>
    </w:pPr>
    <w:rPr>
      <w:i/>
    </w:rPr>
  </w:style>
  <w:style w:type="paragraph" w:customStyle="1" w:styleId="MiniTOCTitle">
    <w:name w:val="MiniTOCTitle"/>
    <w:basedOn w:val="Heading4"/>
    <w:rsid w:val="00A65C73"/>
    <w:pPr>
      <w:spacing w:before="240"/>
      <w:outlineLvl w:val="9"/>
    </w:pPr>
    <w:rPr>
      <w:noProof/>
      <w:sz w:val="24"/>
    </w:rPr>
  </w:style>
  <w:style w:type="paragraph" w:customStyle="1" w:styleId="MiniTOCItem">
    <w:name w:val="MiniTOCItem"/>
    <w:basedOn w:val="ListBullet"/>
    <w:rsid w:val="00A65C73"/>
    <w:pPr>
      <w:numPr>
        <w:numId w:val="0"/>
      </w:numPr>
      <w:tabs>
        <w:tab w:val="right" w:leader="dot" w:pos="6521"/>
      </w:tabs>
      <w:spacing w:before="0" w:after="0"/>
    </w:pPr>
  </w:style>
  <w:style w:type="paragraph" w:customStyle="1" w:styleId="TOFTitle">
    <w:name w:val="TOFTitle"/>
    <w:basedOn w:val="TOCTitle"/>
    <w:rsid w:val="00A65C73"/>
  </w:style>
  <w:style w:type="paragraph" w:styleId="TableofFigures">
    <w:name w:val="table of figures"/>
    <w:basedOn w:val="Normal"/>
    <w:next w:val="Normal"/>
    <w:semiHidden/>
    <w:rsid w:val="00A65C73"/>
    <w:pPr>
      <w:tabs>
        <w:tab w:val="right" w:leader="dot" w:pos="9072"/>
      </w:tabs>
      <w:ind w:left="970" w:hanging="403"/>
    </w:pPr>
    <w:rPr>
      <w:rFonts w:ascii="Times New Roman" w:hAnsi="Times New Roman"/>
      <w:b/>
    </w:rPr>
  </w:style>
  <w:style w:type="paragraph" w:styleId="ListNumber">
    <w:name w:val="List Number"/>
    <w:basedOn w:val="List"/>
    <w:rsid w:val="00A65C73"/>
    <w:pPr>
      <w:numPr>
        <w:numId w:val="11"/>
      </w:numPr>
    </w:pPr>
  </w:style>
  <w:style w:type="character" w:customStyle="1" w:styleId="WingdingSymbols">
    <w:name w:val="Wingding Symbols"/>
    <w:rsid w:val="00A65C73"/>
    <w:rPr>
      <w:rFonts w:ascii="Wingdings" w:hAnsi="Wingdings"/>
    </w:rPr>
  </w:style>
  <w:style w:type="paragraph" w:customStyle="1" w:styleId="TableHeading">
    <w:name w:val="Table Heading"/>
    <w:basedOn w:val="HeadingBase"/>
    <w:rsid w:val="00A65C73"/>
    <w:pPr>
      <w:keepLines/>
      <w:pBdr>
        <w:bottom w:val="single" w:sz="6" w:space="1" w:color="918585"/>
      </w:pBdr>
      <w:spacing w:before="240"/>
    </w:pPr>
  </w:style>
  <w:style w:type="character" w:customStyle="1" w:styleId="HotSpot">
    <w:name w:val="HotSpot"/>
    <w:rsid w:val="00A65C73"/>
    <w:rPr>
      <w:color w:val="0033CC"/>
      <w:u w:val="none"/>
    </w:rPr>
  </w:style>
  <w:style w:type="paragraph" w:customStyle="1" w:styleId="BodyTextRight">
    <w:name w:val="Body Text Right"/>
    <w:basedOn w:val="BodyText"/>
    <w:rsid w:val="00A65C73"/>
    <w:pPr>
      <w:spacing w:before="0" w:after="0"/>
      <w:jc w:val="right"/>
    </w:pPr>
  </w:style>
  <w:style w:type="paragraph" w:styleId="Index3">
    <w:name w:val="index 3"/>
    <w:basedOn w:val="ListNumber2"/>
    <w:next w:val="Normal"/>
    <w:semiHidden/>
    <w:rsid w:val="00A65C73"/>
    <w:pPr>
      <w:numPr>
        <w:numId w:val="0"/>
      </w:numPr>
      <w:tabs>
        <w:tab w:val="right" w:leader="dot" w:pos="4176"/>
      </w:tabs>
    </w:pPr>
  </w:style>
  <w:style w:type="paragraph" w:styleId="ListNumber2">
    <w:name w:val="List Number 2"/>
    <w:basedOn w:val="List2"/>
    <w:rsid w:val="00A65C73"/>
    <w:pPr>
      <w:numPr>
        <w:numId w:val="10"/>
      </w:numPr>
      <w:tabs>
        <w:tab w:val="clear" w:pos="1060"/>
      </w:tabs>
    </w:pPr>
  </w:style>
  <w:style w:type="paragraph" w:customStyle="1" w:styleId="MarginNote">
    <w:name w:val="Margin Note"/>
    <w:basedOn w:val="BodyText"/>
    <w:rsid w:val="00A65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5C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C73"/>
    <w:rPr>
      <w:sz w:val="32"/>
    </w:rPr>
  </w:style>
  <w:style w:type="paragraph" w:customStyle="1" w:styleId="HeadingProcedure">
    <w:name w:val="Heading Procedure"/>
    <w:basedOn w:val="HeadingBase"/>
    <w:next w:val="Normal"/>
    <w:rsid w:val="00A65C73"/>
    <w:pPr>
      <w:tabs>
        <w:tab w:val="left" w:pos="0"/>
      </w:tabs>
      <w:spacing w:before="120" w:after="60"/>
    </w:pPr>
    <w:rPr>
      <w:i/>
      <w:color w:val="918585"/>
      <w:sz w:val="22"/>
    </w:rPr>
  </w:style>
  <w:style w:type="paragraph" w:customStyle="1" w:styleId="TableBodyText">
    <w:name w:val="Table Body Text"/>
    <w:basedOn w:val="BodyText"/>
    <w:rsid w:val="00A65C73"/>
    <w:pPr>
      <w:spacing w:before="60" w:after="60"/>
    </w:pPr>
  </w:style>
  <w:style w:type="paragraph" w:styleId="ListContinue">
    <w:name w:val="List Continue"/>
    <w:basedOn w:val="List"/>
    <w:rsid w:val="00A65C73"/>
    <w:pPr>
      <w:ind w:firstLine="0"/>
    </w:pPr>
  </w:style>
  <w:style w:type="paragraph" w:customStyle="1" w:styleId="ListNote">
    <w:name w:val="List Note"/>
    <w:basedOn w:val="List"/>
    <w:rsid w:val="00A65C73"/>
    <w:pPr>
      <w:pBdr>
        <w:top w:val="single" w:sz="6" w:space="2" w:color="918585"/>
        <w:bottom w:val="single" w:sz="6" w:space="2" w:color="918585"/>
      </w:pBdr>
      <w:tabs>
        <w:tab w:val="left" w:pos="1021"/>
      </w:tabs>
      <w:ind w:firstLine="0"/>
    </w:pPr>
  </w:style>
  <w:style w:type="paragraph" w:customStyle="1" w:styleId="Warning">
    <w:name w:val="Warning"/>
    <w:basedOn w:val="BodyText"/>
    <w:rsid w:val="00A65C73"/>
    <w:pPr>
      <w:shd w:val="clear" w:color="auto" w:fill="D9D9D9"/>
      <w:tabs>
        <w:tab w:val="left" w:pos="992"/>
      </w:tabs>
      <w:ind w:left="119" w:right="119"/>
    </w:pPr>
    <w:rPr>
      <w:sz w:val="20"/>
    </w:rPr>
  </w:style>
  <w:style w:type="paragraph" w:customStyle="1" w:styleId="MarginIcons">
    <w:name w:val="Margin Icons"/>
    <w:basedOn w:val="BodyText"/>
    <w:rsid w:val="00A65C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5C73"/>
    <w:rPr>
      <w:rFonts w:ascii="Courier New" w:hAnsi="Courier New"/>
    </w:rPr>
  </w:style>
  <w:style w:type="paragraph" w:customStyle="1" w:styleId="NoteBullet">
    <w:name w:val="Note Bullet"/>
    <w:basedOn w:val="Note"/>
    <w:rsid w:val="00A65C73"/>
    <w:pPr>
      <w:tabs>
        <w:tab w:val="clear" w:pos="680"/>
      </w:tabs>
      <w:spacing w:before="60" w:after="60"/>
    </w:pPr>
  </w:style>
  <w:style w:type="paragraph" w:customStyle="1" w:styleId="SubHeading2">
    <w:name w:val="SubHeading2"/>
    <w:basedOn w:val="HeadingBase"/>
    <w:rsid w:val="00A65C73"/>
    <w:pPr>
      <w:spacing w:before="240" w:after="60"/>
    </w:pPr>
    <w:rPr>
      <w:sz w:val="20"/>
    </w:rPr>
  </w:style>
  <w:style w:type="paragraph" w:customStyle="1" w:styleId="SubHeading1">
    <w:name w:val="SubHeading1"/>
    <w:basedOn w:val="HeadingBase"/>
    <w:rsid w:val="00A65C73"/>
    <w:pPr>
      <w:spacing w:before="240" w:after="60"/>
    </w:pPr>
    <w:rPr>
      <w:color w:val="918585"/>
      <w:sz w:val="22"/>
    </w:rPr>
  </w:style>
  <w:style w:type="paragraph" w:customStyle="1" w:styleId="SideHeading">
    <w:name w:val="Side Heading"/>
    <w:basedOn w:val="HeadingBase"/>
    <w:rsid w:val="00A65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C73"/>
    <w:pPr>
      <w:numPr>
        <w:numId w:val="12"/>
      </w:numPr>
    </w:pPr>
  </w:style>
  <w:style w:type="paragraph" w:styleId="PlainText">
    <w:name w:val="Plain Text"/>
    <w:basedOn w:val="Normal"/>
    <w:link w:val="PlainTextChar"/>
    <w:rsid w:val="00A65C73"/>
    <w:rPr>
      <w:sz w:val="20"/>
    </w:rPr>
  </w:style>
  <w:style w:type="character" w:customStyle="1" w:styleId="PlainTextChar">
    <w:name w:val="Plain Text Char"/>
    <w:basedOn w:val="DefaultParagraphFont"/>
    <w:link w:val="PlainText"/>
    <w:rsid w:val="00A65C73"/>
    <w:rPr>
      <w:rFonts w:ascii="Courier New" w:eastAsia="Times New Roman" w:hAnsi="Courier New" w:cs="Times New Roman"/>
      <w:sz w:val="20"/>
      <w:szCs w:val="20"/>
      <w:lang w:val="en-US" w:eastAsia="en-US"/>
    </w:rPr>
  </w:style>
  <w:style w:type="character" w:customStyle="1" w:styleId="MenuOption">
    <w:name w:val="Menu Option"/>
    <w:rsid w:val="00A65C73"/>
    <w:rPr>
      <w:b/>
      <w:smallCaps/>
    </w:rPr>
  </w:style>
  <w:style w:type="paragraph" w:customStyle="1" w:styleId="TableListNumber">
    <w:name w:val="Table List Number"/>
    <w:basedOn w:val="ListNumber"/>
    <w:rsid w:val="00A65C73"/>
    <w:pPr>
      <w:numPr>
        <w:numId w:val="0"/>
      </w:numPr>
    </w:pPr>
  </w:style>
  <w:style w:type="paragraph" w:styleId="TOC4">
    <w:name w:val="toc 4"/>
    <w:basedOn w:val="TOCBase"/>
    <w:next w:val="Normal"/>
    <w:semiHidden/>
    <w:rsid w:val="00A65C73"/>
    <w:pPr>
      <w:tabs>
        <w:tab w:val="right" w:leader="dot" w:pos="9071"/>
      </w:tabs>
      <w:ind w:left="1701"/>
    </w:pPr>
  </w:style>
  <w:style w:type="paragraph" w:customStyle="1" w:styleId="ListAlpha">
    <w:name w:val="List Alpha"/>
    <w:basedOn w:val="List"/>
    <w:rsid w:val="00A65C73"/>
    <w:pPr>
      <w:numPr>
        <w:numId w:val="9"/>
      </w:numPr>
    </w:pPr>
  </w:style>
  <w:style w:type="paragraph" w:customStyle="1" w:styleId="ListAlpha2">
    <w:name w:val="List Alpha 2"/>
    <w:basedOn w:val="List2"/>
    <w:rsid w:val="00A65C73"/>
    <w:pPr>
      <w:numPr>
        <w:numId w:val="8"/>
      </w:numPr>
    </w:pPr>
  </w:style>
  <w:style w:type="paragraph" w:styleId="List2">
    <w:name w:val="List 2"/>
    <w:basedOn w:val="BodyText"/>
    <w:rsid w:val="00A65C73"/>
    <w:pPr>
      <w:tabs>
        <w:tab w:val="left" w:pos="680"/>
      </w:tabs>
      <w:spacing w:before="60" w:after="60"/>
      <w:ind w:left="680" w:hanging="340"/>
    </w:pPr>
  </w:style>
  <w:style w:type="paragraph" w:styleId="List3">
    <w:name w:val="List 3"/>
    <w:basedOn w:val="BodyText"/>
    <w:rsid w:val="00A65C73"/>
    <w:pPr>
      <w:tabs>
        <w:tab w:val="left" w:pos="1021"/>
      </w:tabs>
      <w:spacing w:before="60" w:after="60"/>
      <w:ind w:left="1020" w:hanging="340"/>
    </w:pPr>
  </w:style>
  <w:style w:type="paragraph" w:styleId="List4">
    <w:name w:val="List 4"/>
    <w:basedOn w:val="BodyText"/>
    <w:rsid w:val="00A65C73"/>
    <w:pPr>
      <w:tabs>
        <w:tab w:val="left" w:pos="1361"/>
      </w:tabs>
      <w:spacing w:before="60" w:after="60"/>
      <w:ind w:left="1361" w:hanging="340"/>
    </w:pPr>
  </w:style>
  <w:style w:type="paragraph" w:styleId="List5">
    <w:name w:val="List 5"/>
    <w:basedOn w:val="BodyText"/>
    <w:rsid w:val="00A65C73"/>
    <w:pPr>
      <w:tabs>
        <w:tab w:val="left" w:pos="1701"/>
      </w:tabs>
      <w:spacing w:before="60" w:after="60"/>
      <w:ind w:left="1701" w:hanging="340"/>
    </w:pPr>
  </w:style>
  <w:style w:type="paragraph" w:styleId="ListBullet3">
    <w:name w:val="List Bullet 3"/>
    <w:basedOn w:val="List3"/>
    <w:rsid w:val="00A65C73"/>
    <w:pPr>
      <w:numPr>
        <w:numId w:val="15"/>
      </w:numPr>
      <w:tabs>
        <w:tab w:val="clear" w:pos="1021"/>
      </w:tabs>
      <w:ind w:left="1037" w:hanging="357"/>
    </w:pPr>
  </w:style>
  <w:style w:type="paragraph" w:styleId="ListBullet4">
    <w:name w:val="List Bullet 4"/>
    <w:basedOn w:val="List4"/>
    <w:rsid w:val="00A65C73"/>
    <w:pPr>
      <w:numPr>
        <w:numId w:val="3"/>
      </w:numPr>
    </w:pPr>
  </w:style>
  <w:style w:type="paragraph" w:styleId="ListBullet5">
    <w:name w:val="List Bullet 5"/>
    <w:basedOn w:val="List5"/>
    <w:rsid w:val="00A65C73"/>
    <w:pPr>
      <w:numPr>
        <w:numId w:val="4"/>
      </w:numPr>
    </w:pPr>
  </w:style>
  <w:style w:type="paragraph" w:styleId="ListContinue2">
    <w:name w:val="List Continue 2"/>
    <w:basedOn w:val="List2"/>
    <w:rsid w:val="00A65C73"/>
    <w:pPr>
      <w:ind w:firstLine="0"/>
    </w:pPr>
  </w:style>
  <w:style w:type="paragraph" w:styleId="ListContinue3">
    <w:name w:val="List Continue 3"/>
    <w:basedOn w:val="List3"/>
    <w:rsid w:val="00A65C73"/>
    <w:pPr>
      <w:ind w:left="1021" w:firstLine="0"/>
    </w:pPr>
  </w:style>
  <w:style w:type="paragraph" w:styleId="ListContinue4">
    <w:name w:val="List Continue 4"/>
    <w:basedOn w:val="List4"/>
    <w:rsid w:val="00A65C73"/>
    <w:pPr>
      <w:ind w:firstLine="0"/>
    </w:pPr>
  </w:style>
  <w:style w:type="paragraph" w:styleId="ListContinue5">
    <w:name w:val="List Continue 5"/>
    <w:basedOn w:val="List5"/>
    <w:rsid w:val="00A65C73"/>
    <w:pPr>
      <w:ind w:firstLine="0"/>
    </w:pPr>
  </w:style>
  <w:style w:type="paragraph" w:styleId="ListNumber3">
    <w:name w:val="List Number 3"/>
    <w:basedOn w:val="List3"/>
    <w:rsid w:val="00A65C73"/>
    <w:pPr>
      <w:numPr>
        <w:numId w:val="5"/>
      </w:numPr>
    </w:pPr>
  </w:style>
  <w:style w:type="paragraph" w:styleId="ListNumber4">
    <w:name w:val="List Number 4"/>
    <w:basedOn w:val="List4"/>
    <w:rsid w:val="00A65C73"/>
    <w:pPr>
      <w:numPr>
        <w:numId w:val="6"/>
      </w:numPr>
    </w:pPr>
  </w:style>
  <w:style w:type="paragraph" w:styleId="ListNumber5">
    <w:name w:val="List Number 5"/>
    <w:basedOn w:val="List5"/>
    <w:rsid w:val="00A65C73"/>
    <w:pPr>
      <w:numPr>
        <w:numId w:val="7"/>
      </w:numPr>
    </w:pPr>
  </w:style>
  <w:style w:type="paragraph" w:styleId="BlockText">
    <w:name w:val="Block Text"/>
    <w:basedOn w:val="Normal"/>
    <w:rsid w:val="00A65C73"/>
    <w:pPr>
      <w:spacing w:after="120"/>
      <w:ind w:left="1440" w:right="1440"/>
    </w:pPr>
  </w:style>
  <w:style w:type="character" w:customStyle="1" w:styleId="Subscript">
    <w:name w:val="Subscript"/>
    <w:rsid w:val="00A65C73"/>
    <w:rPr>
      <w:sz w:val="16"/>
      <w:vertAlign w:val="subscript"/>
    </w:rPr>
  </w:style>
  <w:style w:type="character" w:customStyle="1" w:styleId="Superscript">
    <w:name w:val="Superscript"/>
    <w:rsid w:val="00A65C73"/>
    <w:rPr>
      <w:sz w:val="16"/>
      <w:vertAlign w:val="superscript"/>
    </w:rPr>
  </w:style>
  <w:style w:type="character" w:customStyle="1" w:styleId="Symbols">
    <w:name w:val="Symbols"/>
    <w:rsid w:val="00A65C73"/>
    <w:rPr>
      <w:rFonts w:ascii="Symbol" w:hAnsi="Symbol"/>
    </w:rPr>
  </w:style>
  <w:style w:type="character" w:customStyle="1" w:styleId="MenuOptions">
    <w:name w:val="Menu Options"/>
    <w:rsid w:val="00A65C73"/>
    <w:rPr>
      <w:rFonts w:ascii="Arial Narrow" w:hAnsi="Arial Narrow"/>
      <w:smallCaps/>
    </w:rPr>
  </w:style>
  <w:style w:type="character" w:customStyle="1" w:styleId="Buttons">
    <w:name w:val="Buttons"/>
    <w:rsid w:val="00A65C73"/>
    <w:rPr>
      <w:b/>
    </w:rPr>
  </w:style>
  <w:style w:type="character" w:customStyle="1" w:styleId="Underlined">
    <w:name w:val="Underlined"/>
    <w:rsid w:val="00A65C73"/>
    <w:rPr>
      <w:u w:val="single"/>
    </w:rPr>
  </w:style>
  <w:style w:type="paragraph" w:customStyle="1" w:styleId="TableBodyTextRight">
    <w:name w:val="Table Body Text Right"/>
    <w:basedOn w:val="TableBodyText"/>
    <w:rsid w:val="00A65C73"/>
    <w:pPr>
      <w:widowControl w:val="0"/>
      <w:autoSpaceDE w:val="0"/>
      <w:autoSpaceDN w:val="0"/>
      <w:adjustRightInd w:val="0"/>
      <w:jc w:val="right"/>
    </w:pPr>
    <w:rPr>
      <w:rFonts w:cs="Arial"/>
      <w:szCs w:val="18"/>
    </w:rPr>
  </w:style>
  <w:style w:type="paragraph" w:customStyle="1" w:styleId="CopyrightText">
    <w:name w:val="Copyright Text"/>
    <w:basedOn w:val="BodyText"/>
    <w:rsid w:val="00A65C73"/>
    <w:rPr>
      <w:sz w:val="18"/>
    </w:rPr>
  </w:style>
  <w:style w:type="paragraph" w:customStyle="1" w:styleId="BodySmallRight">
    <w:name w:val="Body Small Right"/>
    <w:basedOn w:val="BodyTextRight"/>
    <w:rsid w:val="00A65C73"/>
    <w:rPr>
      <w:sz w:val="18"/>
      <w:szCs w:val="18"/>
    </w:rPr>
  </w:style>
  <w:style w:type="paragraph" w:customStyle="1" w:styleId="MarginEdition">
    <w:name w:val="Margin Edition"/>
    <w:basedOn w:val="MarginNote"/>
    <w:rsid w:val="00A65C73"/>
    <w:pPr>
      <w:spacing w:before="0" w:after="0"/>
    </w:pPr>
    <w:rPr>
      <w:rFonts w:ascii="Times New Roman" w:hAnsi="Times New Roman"/>
      <w:color w:val="999999"/>
    </w:rPr>
  </w:style>
  <w:style w:type="paragraph" w:customStyle="1" w:styleId="Spacer">
    <w:name w:val="Spacer"/>
    <w:basedOn w:val="Normal"/>
    <w:rsid w:val="00A65C73"/>
    <w:rPr>
      <w:sz w:val="2"/>
      <w:szCs w:val="2"/>
    </w:rPr>
  </w:style>
  <w:style w:type="character" w:customStyle="1" w:styleId="Small">
    <w:name w:val="Small"/>
    <w:rsid w:val="00A65C73"/>
    <w:rPr>
      <w:sz w:val="16"/>
    </w:rPr>
  </w:style>
  <w:style w:type="paragraph" w:customStyle="1" w:styleId="WideTable">
    <w:name w:val="Wide Table"/>
    <w:basedOn w:val="Normal"/>
    <w:rsid w:val="00A65C73"/>
    <w:pPr>
      <w:ind w:left="-1418"/>
    </w:pPr>
    <w:rPr>
      <w:sz w:val="2"/>
      <w:szCs w:val="2"/>
    </w:rPr>
  </w:style>
  <w:style w:type="character" w:styleId="PageNumber">
    <w:name w:val="page number"/>
    <w:rsid w:val="00A65C73"/>
  </w:style>
  <w:style w:type="paragraph" w:styleId="Quote">
    <w:name w:val="Quote"/>
    <w:basedOn w:val="Heading1"/>
    <w:link w:val="QuoteChar"/>
    <w:qFormat/>
    <w:rsid w:val="00A65C73"/>
    <w:rPr>
      <w:b w:val="0"/>
      <w:sz w:val="72"/>
      <w:szCs w:val="72"/>
      <w:lang w:val="en-NZ"/>
    </w:rPr>
  </w:style>
  <w:style w:type="character" w:customStyle="1" w:styleId="QuoteChar">
    <w:name w:val="Quote Char"/>
    <w:link w:val="Quote"/>
    <w:rsid w:val="00A65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C73"/>
    <w:pPr>
      <w:pageBreakBefore/>
    </w:pPr>
  </w:style>
  <w:style w:type="paragraph" w:customStyle="1" w:styleId="Border">
    <w:name w:val="Border"/>
    <w:basedOn w:val="Normal"/>
    <w:qFormat/>
    <w:rsid w:val="00A65C73"/>
    <w:pPr>
      <w:pBdr>
        <w:top w:val="single" w:sz="18" w:space="1" w:color="auto"/>
      </w:pBdr>
    </w:pPr>
    <w:rPr>
      <w:rFonts w:ascii="Times New Roman" w:hAnsi="Times New Roman"/>
      <w:color w:val="FFFFFF"/>
      <w:sz w:val="2"/>
    </w:rPr>
  </w:style>
  <w:style w:type="character" w:styleId="IntenseEmphasis">
    <w:name w:val="Intense Emphasis"/>
    <w:uiPriority w:val="21"/>
    <w:qFormat/>
    <w:rsid w:val="00A65C73"/>
    <w:rPr>
      <w:b/>
      <w:bCs/>
      <w:i/>
      <w:iCs/>
      <w:color w:val="auto"/>
    </w:rPr>
  </w:style>
  <w:style w:type="paragraph" w:styleId="IntenseQuote">
    <w:name w:val="Intense Quote"/>
    <w:basedOn w:val="Normal"/>
    <w:next w:val="Normal"/>
    <w:link w:val="IntenseQuoteChar"/>
    <w:uiPriority w:val="30"/>
    <w:qFormat/>
    <w:rsid w:val="00A65C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5C73"/>
    <w:rPr>
      <w:rFonts w:ascii="Courier New" w:eastAsia="Times New Roman" w:hAnsi="Courier New" w:cs="Times New Roman"/>
      <w:b/>
      <w:bCs/>
      <w:i/>
      <w:iCs/>
      <w:szCs w:val="20"/>
      <w:lang w:val="en-US" w:eastAsia="en-US"/>
    </w:rPr>
  </w:style>
  <w:style w:type="character" w:styleId="SubtleReference">
    <w:name w:val="Subtle Reference"/>
    <w:uiPriority w:val="31"/>
    <w:qFormat/>
    <w:rsid w:val="00A65C73"/>
    <w:rPr>
      <w:smallCaps/>
      <w:color w:val="auto"/>
      <w:u w:val="single"/>
    </w:rPr>
  </w:style>
  <w:style w:type="character" w:styleId="IntenseReference">
    <w:name w:val="Intense Reference"/>
    <w:uiPriority w:val="32"/>
    <w:qFormat/>
    <w:rsid w:val="00A65C73"/>
    <w:rPr>
      <w:b/>
      <w:bCs/>
      <w:smallCaps/>
      <w:color w:val="auto"/>
      <w:spacing w:val="5"/>
      <w:u w:val="single"/>
    </w:rPr>
  </w:style>
  <w:style w:type="paragraph" w:customStyle="1" w:styleId="2ColumnHeading">
    <w:name w:val="2Column Heading"/>
    <w:basedOn w:val="BodyText"/>
    <w:qFormat/>
    <w:rsid w:val="00A65C73"/>
    <w:pPr>
      <w:spacing w:after="60"/>
      <w:ind w:left="-2268"/>
    </w:pPr>
    <w:rPr>
      <w:b/>
    </w:rPr>
  </w:style>
  <w:style w:type="paragraph" w:customStyle="1" w:styleId="Heading1TOC">
    <w:name w:val="Heading1 TOC"/>
    <w:basedOn w:val="Normal"/>
    <w:qFormat/>
    <w:rsid w:val="00A65C73"/>
    <w:pPr>
      <w:spacing w:before="240" w:after="120"/>
    </w:pPr>
    <w:rPr>
      <w:rFonts w:ascii="Times New Roman" w:hAnsi="Times New Roman"/>
      <w:b/>
      <w:sz w:val="32"/>
    </w:rPr>
  </w:style>
  <w:style w:type="paragraph" w:customStyle="1" w:styleId="Heading2TOC">
    <w:name w:val="Heading2 TOC"/>
    <w:basedOn w:val="Normal"/>
    <w:qFormat/>
    <w:rsid w:val="00A65C73"/>
    <w:pPr>
      <w:spacing w:before="240" w:after="60"/>
    </w:pPr>
    <w:rPr>
      <w:rFonts w:ascii="Times New Roman" w:hAnsi="Times New Roman"/>
      <w:b/>
      <w:sz w:val="28"/>
    </w:rPr>
  </w:style>
  <w:style w:type="character" w:customStyle="1" w:styleId="Underline">
    <w:name w:val="Underline"/>
    <w:qFormat/>
    <w:rsid w:val="00A65C73"/>
    <w:rPr>
      <w:u w:val="single"/>
    </w:rPr>
  </w:style>
  <w:style w:type="character" w:customStyle="1" w:styleId="BoldandItalics">
    <w:name w:val="Bold and Italics"/>
    <w:qFormat/>
    <w:rsid w:val="00A65C73"/>
    <w:rPr>
      <w:b/>
      <w:i/>
      <w:u w:val="none"/>
    </w:rPr>
  </w:style>
  <w:style w:type="paragraph" w:styleId="BalloonText">
    <w:name w:val="Balloon Text"/>
    <w:basedOn w:val="Normal"/>
    <w:link w:val="BalloonTextChar"/>
    <w:rsid w:val="00A65C73"/>
    <w:rPr>
      <w:rFonts w:ascii="Tahoma" w:hAnsi="Tahoma" w:cs="Tahoma"/>
      <w:sz w:val="16"/>
      <w:szCs w:val="16"/>
    </w:rPr>
  </w:style>
  <w:style w:type="character" w:customStyle="1" w:styleId="BalloonTextChar">
    <w:name w:val="Balloon Text Char"/>
    <w:link w:val="BalloonText"/>
    <w:rsid w:val="00A65C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C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5C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842</Words>
  <Characters>5527</Characters>
  <Application>Microsoft Office Word</Application>
  <DocSecurity>0</DocSecurity>
  <Lines>188</Lines>
  <Paragraphs>112</Paragraphs>
  <ScaleCrop>false</ScaleCrop>
  <Company>Author-it Software Corporation Ltd.</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TLIL4073A Apply asset management system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2012-05-27T03:58:00Z</dcterms:created>
  <dcterms:modified xsi:type="dcterms:W3CDTF">2012-05-27T03:58:00Z</dcterms:modified>
</cp:coreProperties>
</file>