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D69" w:rsidP="00CC7D69">
      <w:pPr>
        <w:pStyle w:val="Title"/>
      </w:pPr>
      <w:bookmarkStart w:id="0" w:name="_GoBack"/>
      <w:bookmarkEnd w:id="0"/>
      <w:r>
        <w:fldChar w:fldCharType="begin"/>
      </w:r>
      <w:r>
        <w:instrText xml:space="preserve"> TITLE   \* MERGEFORMAT </w:instrText>
      </w:r>
      <w:r>
        <w:fldChar w:fldCharType="separate"/>
      </w:r>
      <w:r>
        <w:t>TLIL4021A Coordinate the erection and dismantling of temporary storage facilities</w:t>
      </w:r>
      <w:r>
        <w:fldChar w:fldCharType="end"/>
      </w:r>
    </w:p>
    <w:p w:rsidR="00CC7D69" w:rsidP="00CC7D69">
      <w:pPr>
        <w:pStyle w:val="Version"/>
        <w:sectPr w:rsidSect="000C6B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B1E" w:rsidP="000C6B1E">
      <w:pPr>
        <w:pStyle w:val="SuperHeading"/>
      </w:pPr>
      <w:r w:rsidRPr="000C6B1E">
        <w:t>TLIL4021A Coordinate the erection and dismantling of temporary storage facilities</w:t>
      </w:r>
    </w:p>
    <w:p w:rsidR="00000000" w:rsidRPr="000C6B1E" w:rsidP="000C6B1E">
      <w:pPr>
        <w:pStyle w:val="Heading1"/>
      </w:pPr>
      <w:bookmarkStart w:id="1" w:name="O_274200"/>
      <w:bookmarkEnd w:id="1"/>
      <w:r w:rsidRPr="000C6B1E">
        <w:t>Modification History</w:t>
      </w:r>
    </w:p>
    <w:p w:rsidR="00000000" w:rsidRPr="000C6B1E" w:rsidP="000C6B1E">
      <w:pPr>
        <w:pStyle w:val="BodyText"/>
      </w:pPr>
      <w:r w:rsidRPr="000C6B1E">
        <w:t>Not Applicable</w:t>
      </w:r>
    </w:p>
    <w:p w:rsidR="00000000" w:rsidRPr="000C6B1E" w:rsidP="000C6B1E">
      <w:pPr>
        <w:pStyle w:val="AllowPageBreak"/>
      </w:pPr>
    </w:p>
    <w:p w:rsidR="00000000" w:rsidRPr="000C6B1E" w:rsidP="000C6B1E">
      <w:pPr>
        <w:pStyle w:val="Heading1"/>
      </w:pPr>
      <w:bookmarkStart w:id="2" w:name="O_223874"/>
      <w:bookmarkEnd w:id="2"/>
      <w:r w:rsidRPr="000C6B1E">
        <w:t>Unit Descriptor</w:t>
      </w:r>
    </w:p>
    <w:tbl>
      <w:tblPr>
        <w:tblW w:w="9640" w:type="dxa"/>
        <w:tblLayout w:type="fixed"/>
        <w:tblCellMar>
          <w:left w:w="62" w:type="dxa"/>
          <w:right w:w="62" w:type="dxa"/>
        </w:tblCellMar>
        <w:tblLook w:val="0000"/>
      </w:tblPr>
      <w:tblGrid>
        <w:gridCol w:w="2978"/>
        <w:gridCol w:w="6662"/>
      </w:tblGrid>
      <w:tr w:rsidTr="00CC7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BodyText"/>
            </w:pPr>
            <w:r w:rsidRPr="000C6B1E">
              <w:t>This unit involves the skills and knowledge required to coordinate the erection and dismantling of temporary storage facilities in accordance with workplace procedures, including planning for the erection of temporary storage facilities, e</w:t>
            </w:r>
            <w:r w:rsidRPr="000C6B1E">
              <w:t>recting temporary storage facilities as planned, and dismantling the temporary storage facilities after outloading. Licensing, legislative, regulatory or certification requirements are applicable to this unit.</w:t>
            </w:r>
          </w:p>
        </w:tc>
      </w:tr>
    </w:tbl>
    <w:p w:rsidR="00CC7D69" w:rsidP="000C6B1E">
      <w:pPr>
        <w:pStyle w:val="BodyText"/>
      </w:pPr>
    </w:p>
    <w:p w:rsidR="00CC7D69" w:rsidP="000C6B1E">
      <w:pPr>
        <w:pStyle w:val="BodyText"/>
      </w:pPr>
    </w:p>
    <w:p w:rsidR="00000000" w:rsidRPr="000C6B1E" w:rsidP="000C6B1E">
      <w:pPr>
        <w:pStyle w:val="Heading1"/>
      </w:pPr>
      <w:bookmarkStart w:id="3" w:name="O_223876"/>
      <w:bookmarkEnd w:id="3"/>
      <w:r w:rsidRPr="000C6B1E">
        <w:t>Application of the Unit</w:t>
      </w:r>
    </w:p>
    <w:tbl>
      <w:tblPr>
        <w:tblW w:w="9640" w:type="dxa"/>
        <w:tblLayout w:type="fixed"/>
        <w:tblCellMar>
          <w:left w:w="62" w:type="dxa"/>
          <w:right w:w="62" w:type="dxa"/>
        </w:tblCellMar>
        <w:tblLook w:val="0000"/>
      </w:tblPr>
      <w:tblGrid>
        <w:gridCol w:w="2978"/>
        <w:gridCol w:w="6662"/>
      </w:tblGrid>
      <w:tr w:rsidTr="00CC7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BodyText"/>
            </w:pPr>
            <w:r w:rsidRPr="000C6B1E">
              <w:t>Work must be carried out in accordance with regulations and workplace requirements relevant to the erection and dismantling of temporary grain storage facilities.</w:t>
            </w:r>
          </w:p>
          <w:p w:rsidR="00000000" w:rsidRPr="000C6B1E" w:rsidP="000C6B1E">
            <w:pPr>
              <w:pStyle w:val="BodyText"/>
            </w:pPr>
            <w:r w:rsidRPr="000C6B1E">
              <w:t>Work is performed under some supervision, generally within a team/gro</w:t>
            </w:r>
            <w:r w:rsidRPr="000C6B1E">
              <w:t>up environment. It involves the application of regulatory requirements and workplace procedures when coordinating the erection and dismantling of temporary storage facilities as part of grain storage operations in the transport, warehousing, distribution a</w:t>
            </w:r>
            <w:r w:rsidRPr="000C6B1E">
              <w:t>nd/or storage industries.</w:t>
            </w:r>
          </w:p>
        </w:tc>
      </w:tr>
    </w:tbl>
    <w:p w:rsidR="00CC7D69" w:rsidP="000C6B1E">
      <w:pPr>
        <w:pStyle w:val="BodyText"/>
      </w:pPr>
    </w:p>
    <w:p w:rsidR="00CC7D69" w:rsidP="000C6B1E">
      <w:pPr>
        <w:pStyle w:val="BodyText"/>
      </w:pPr>
    </w:p>
    <w:p w:rsidR="00000000" w:rsidRPr="000C6B1E" w:rsidP="000C6B1E">
      <w:pPr>
        <w:pStyle w:val="Heading1"/>
      </w:pPr>
      <w:bookmarkStart w:id="4" w:name="O_282460"/>
      <w:bookmarkEnd w:id="4"/>
      <w:r w:rsidRPr="000C6B1E">
        <w:t>Licensing/Regulatory Information</w:t>
      </w:r>
    </w:p>
    <w:p w:rsidR="00000000" w:rsidRPr="000C6B1E" w:rsidP="000C6B1E">
      <w:pPr>
        <w:pStyle w:val="BodyText"/>
      </w:pPr>
      <w:r w:rsidRPr="000C6B1E">
        <w:t>Refer to Unit Descriptor</w:t>
      </w:r>
    </w:p>
    <w:p w:rsidR="00000000" w:rsidRPr="000C6B1E" w:rsidP="000C6B1E">
      <w:pPr>
        <w:pStyle w:val="AllowPageBreak"/>
      </w:pPr>
    </w:p>
    <w:p w:rsidR="00000000" w:rsidRPr="000C6B1E" w:rsidP="000C6B1E">
      <w:pPr>
        <w:pStyle w:val="Heading1"/>
      </w:pPr>
      <w:bookmarkStart w:id="5" w:name="O_284910"/>
      <w:bookmarkEnd w:id="5"/>
      <w:r w:rsidRPr="000C6B1E">
        <w:t>Pre-Requisites</w:t>
      </w:r>
    </w:p>
    <w:p w:rsidR="00000000" w:rsidRPr="000C6B1E" w:rsidP="000C6B1E">
      <w:pPr>
        <w:pStyle w:val="BodyText"/>
      </w:pPr>
      <w:r w:rsidRPr="000C6B1E">
        <w:t>Not Applicable</w:t>
      </w:r>
    </w:p>
    <w:p w:rsidR="00000000" w:rsidRPr="000C6B1E" w:rsidP="000C6B1E">
      <w:pPr>
        <w:pStyle w:val="AllowPageBreak"/>
      </w:pPr>
    </w:p>
    <w:p w:rsidR="00000000" w:rsidRPr="000C6B1E" w:rsidP="000C6B1E">
      <w:pPr>
        <w:pStyle w:val="Heading1"/>
      </w:pPr>
      <w:bookmarkStart w:id="6" w:name="O_223875"/>
      <w:bookmarkEnd w:id="6"/>
      <w:r w:rsidRPr="000C6B1E">
        <w:t>Employability Skills Information</w:t>
      </w:r>
    </w:p>
    <w:tbl>
      <w:tblPr>
        <w:tblW w:w="9640" w:type="dxa"/>
        <w:tblLayout w:type="fixed"/>
        <w:tblCellMar>
          <w:left w:w="62" w:type="dxa"/>
          <w:right w:w="62" w:type="dxa"/>
        </w:tblCellMar>
        <w:tblLook w:val="0000"/>
      </w:tblPr>
      <w:tblGrid>
        <w:gridCol w:w="2978"/>
        <w:gridCol w:w="6662"/>
      </w:tblGrid>
      <w:tr w:rsidTr="00CC7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BodyText"/>
            </w:pPr>
            <w:r w:rsidRPr="000C6B1E">
              <w:t>This unit contains employability s</w:t>
            </w:r>
            <w:r w:rsidRPr="000C6B1E">
              <w:t>kills.</w:t>
            </w:r>
          </w:p>
        </w:tc>
      </w:tr>
    </w:tbl>
    <w:p w:rsidR="00CC7D69" w:rsidP="000C6B1E">
      <w:pPr>
        <w:pStyle w:val="BodyText"/>
      </w:pPr>
    </w:p>
    <w:p w:rsidR="00CC7D69" w:rsidP="000C6B1E">
      <w:pPr>
        <w:pStyle w:val="BodyText"/>
      </w:pPr>
    </w:p>
    <w:p w:rsidR="00000000" w:rsidRPr="000C6B1E" w:rsidP="000C6B1E">
      <w:pPr>
        <w:pStyle w:val="Heading1"/>
      </w:pPr>
      <w:bookmarkStart w:id="7" w:name="O_292246"/>
      <w:bookmarkEnd w:id="7"/>
      <w:r w:rsidRPr="000C6B1E">
        <w:t>Elements and Performance Criteria Pre-Content</w:t>
      </w:r>
    </w:p>
    <w:tbl>
      <w:tblPr>
        <w:tblW w:w="9640" w:type="dxa"/>
        <w:tblLayout w:type="fixed"/>
        <w:tblCellMar>
          <w:left w:w="62" w:type="dxa"/>
          <w:right w:w="62" w:type="dxa"/>
        </w:tblCellMar>
        <w:tblLook w:val="0000"/>
      </w:tblPr>
      <w:tblGrid>
        <w:gridCol w:w="2978"/>
        <w:gridCol w:w="6662"/>
      </w:tblGrid>
      <w:tr w:rsidTr="00CC7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BodyText"/>
            </w:pPr>
            <w:r w:rsidRPr="000C6B1E">
              <w:t>Performance criteria describe the required performance needed to demonstrate achievement of the element. Assessment of performance is to be consistent with the evidence guide.</w:t>
            </w:r>
          </w:p>
        </w:tc>
      </w:tr>
    </w:tbl>
    <w:p w:rsidR="00000000" w:rsidRPr="000C6B1E" w:rsidP="000C6B1E">
      <w:pPr>
        <w:pStyle w:val="BodyText"/>
      </w:pPr>
    </w:p>
    <w:p w:rsidR="00000000" w:rsidRPr="000C6B1E" w:rsidP="000C6B1E">
      <w:pPr>
        <w:pStyle w:val="AllowPageBreak"/>
      </w:pPr>
    </w:p>
    <w:p w:rsidR="00000000" w:rsidRPr="000C6B1E" w:rsidP="000C6B1E">
      <w:pPr>
        <w:pStyle w:val="Heading1"/>
      </w:pPr>
      <w:bookmarkStart w:id="8" w:name="O_238914"/>
      <w:bookmarkEnd w:id="8"/>
      <w:r w:rsidRPr="000C6B1E">
        <w:t>Elements and Performance Criteria</w:t>
      </w:r>
    </w:p>
    <w:tbl>
      <w:tblPr>
        <w:tblW w:w="9640" w:type="dxa"/>
        <w:tblLayout w:type="fixed"/>
        <w:tblCellMar>
          <w:left w:w="62" w:type="dxa"/>
          <w:right w:w="62" w:type="dxa"/>
        </w:tblCellMar>
        <w:tblLook w:val="0000"/>
      </w:tblPr>
      <w:tblGrid>
        <w:gridCol w:w="2978"/>
        <w:gridCol w:w="6662"/>
      </w:tblGrid>
      <w:tr w:rsidTr="00CC7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C6B1E" w:rsidP="000C6B1E">
            <w:pPr>
              <w:pStyle w:val="List"/>
            </w:pPr>
            <w:r w:rsidRPr="000C6B1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C6B1E">
            <w:pPr>
              <w:pStyle w:val="List"/>
              <w:rPr>
                <w:lang w:val="en-NZ"/>
              </w:rPr>
            </w:pPr>
            <w:r w:rsidRPr="000C6B1E">
              <w:rPr>
                <w:rStyle w:val="SpecialBold"/>
              </w:rPr>
              <w:t>PERFORMANCE CRITERIA</w:t>
            </w:r>
          </w:p>
        </w:tc>
      </w:tr>
      <w:tr w:rsidTr="00CC7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B1E">
            <w:pPr>
              <w:pStyle w:val="List"/>
              <w:rPr>
                <w:lang w:val="en-NZ"/>
              </w:rPr>
            </w:pPr>
            <w:r w:rsidRPr="000C6B1E">
              <w:rPr>
                <w:rStyle w:val="SpecialBold"/>
              </w:rPr>
              <w:t>1</w:t>
            </w:r>
            <w:r w:rsidRPr="000C6B1E">
              <w:tab/>
            </w:r>
            <w:r w:rsidRPr="000C6B1E">
              <w:rPr>
                <w:rStyle w:val="SpecialBold"/>
              </w:rPr>
              <w:t>Plan for erection of temporary storage facility</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List"/>
            </w:pPr>
            <w:r w:rsidRPr="000C6B1E">
              <w:t>1.1</w:t>
            </w:r>
            <w:r w:rsidRPr="000C6B1E">
              <w:tab/>
              <w:t>Plans, storage specifications, assembly details and erection sequence are obtained and examined for accuracy to meet intended storage requirements</w:t>
            </w:r>
          </w:p>
          <w:p w:rsidR="00000000" w:rsidRPr="000C6B1E" w:rsidP="000C6B1E">
            <w:pPr>
              <w:pStyle w:val="List"/>
            </w:pPr>
            <w:r w:rsidRPr="000C6B1E">
              <w:t>1.2</w:t>
            </w:r>
            <w:r w:rsidRPr="000C6B1E">
              <w:tab/>
            </w:r>
            <w:r w:rsidRPr="000C6B1E">
              <w:t>Engineering drawings, computations and instructions are obtained from qualified persons where required</w:t>
            </w:r>
          </w:p>
          <w:p w:rsidR="00000000" w:rsidRPr="000C6B1E" w:rsidP="000C6B1E">
            <w:pPr>
              <w:pStyle w:val="List"/>
            </w:pPr>
            <w:r w:rsidRPr="000C6B1E">
              <w:t>1.3</w:t>
            </w:r>
            <w:r w:rsidRPr="000C6B1E">
              <w:tab/>
              <w:t>Local and state authority approvals for the construction of the storage facility are obtained</w:t>
            </w:r>
          </w:p>
          <w:p w:rsidR="00000000" w:rsidP="000C6B1E">
            <w:pPr>
              <w:pStyle w:val="List"/>
              <w:rPr>
                <w:lang w:val="en-NZ"/>
              </w:rPr>
            </w:pPr>
            <w:r w:rsidRPr="000C6B1E">
              <w:t>1.4</w:t>
            </w:r>
            <w:r w:rsidRPr="000C6B1E">
              <w:tab/>
              <w:t>Labour and equipment requirements for the construct</w:t>
            </w:r>
            <w:r w:rsidRPr="000C6B1E">
              <w:t>ion of the storage facility are organised and scheduled in accordance with erection sequence</w:t>
            </w:r>
          </w:p>
        </w:tc>
      </w:tr>
      <w:tr w:rsidTr="00CC7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B1E">
            <w:pPr>
              <w:pStyle w:val="List"/>
              <w:rPr>
                <w:lang w:val="en-NZ"/>
              </w:rPr>
            </w:pPr>
            <w:r w:rsidRPr="000C6B1E">
              <w:rPr>
                <w:rStyle w:val="SpecialBold"/>
              </w:rPr>
              <w:t>2</w:t>
            </w:r>
            <w:r w:rsidRPr="000C6B1E">
              <w:tab/>
            </w:r>
            <w:r w:rsidRPr="000C6B1E">
              <w:rPr>
                <w:rStyle w:val="SpecialBold"/>
              </w:rPr>
              <w:t>Erect temporary storage facility</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List"/>
            </w:pPr>
            <w:r w:rsidRPr="000C6B1E">
              <w:t>2.1</w:t>
            </w:r>
            <w:r w:rsidRPr="000C6B1E">
              <w:tab/>
              <w:t>Foundations and earth-works for temporary storage are prepared to workplace instructions and specification</w:t>
            </w:r>
          </w:p>
          <w:p w:rsidR="00000000" w:rsidRPr="000C6B1E" w:rsidP="000C6B1E">
            <w:pPr>
              <w:pStyle w:val="List"/>
            </w:pPr>
            <w:r w:rsidRPr="000C6B1E">
              <w:t>2.2</w:t>
            </w:r>
            <w:r w:rsidRPr="000C6B1E">
              <w:tab/>
              <w:t>Structural a</w:t>
            </w:r>
            <w:r w:rsidRPr="000C6B1E">
              <w:t>nd storage components are assembled and placed to workplace instructions and specifications</w:t>
            </w:r>
          </w:p>
          <w:p w:rsidR="00000000" w:rsidRPr="000C6B1E" w:rsidP="000C6B1E">
            <w:pPr>
              <w:pStyle w:val="List"/>
            </w:pPr>
            <w:r w:rsidRPr="000C6B1E">
              <w:t>2.3</w:t>
            </w:r>
            <w:r w:rsidRPr="000C6B1E">
              <w:tab/>
              <w:t>Protective sheeting (floor and wall) is placed and sealed/sewn to workplace specifications</w:t>
            </w:r>
          </w:p>
          <w:p w:rsidR="00000000" w:rsidRPr="000C6B1E" w:rsidP="000C6B1E">
            <w:pPr>
              <w:pStyle w:val="List"/>
            </w:pPr>
            <w:r w:rsidRPr="000C6B1E">
              <w:t>2.4</w:t>
            </w:r>
            <w:r w:rsidRPr="000C6B1E">
              <w:tab/>
              <w:t>Material is placed into the temporary storage facility to specifi</w:t>
            </w:r>
            <w:r w:rsidRPr="000C6B1E">
              <w:t>cation and in accordance with site procedures</w:t>
            </w:r>
          </w:p>
          <w:p w:rsidR="00000000" w:rsidRPr="000C6B1E" w:rsidP="000C6B1E">
            <w:pPr>
              <w:pStyle w:val="List"/>
            </w:pPr>
            <w:r w:rsidRPr="000C6B1E">
              <w:t>2.5</w:t>
            </w:r>
            <w:r w:rsidRPr="000C6B1E">
              <w:tab/>
              <w:t>Grain protection measures are implemented in accordance with workplace requirements</w:t>
            </w:r>
          </w:p>
          <w:p w:rsidR="00000000" w:rsidP="000C6B1E">
            <w:pPr>
              <w:pStyle w:val="List"/>
              <w:rPr>
                <w:lang w:val="en-NZ"/>
              </w:rPr>
            </w:pPr>
            <w:r w:rsidRPr="000C6B1E">
              <w:t>2.6</w:t>
            </w:r>
            <w:r w:rsidRPr="000C6B1E">
              <w:tab/>
              <w:t>Labour and equipment is coordinated for timely and efficient completion of work</w:t>
            </w:r>
          </w:p>
        </w:tc>
      </w:tr>
      <w:tr w:rsidTr="00CC7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B1E">
            <w:pPr>
              <w:pStyle w:val="List"/>
              <w:rPr>
                <w:lang w:val="en-NZ"/>
              </w:rPr>
            </w:pPr>
            <w:r w:rsidRPr="000C6B1E">
              <w:rPr>
                <w:rStyle w:val="SpecialBold"/>
              </w:rPr>
              <w:t>3</w:t>
            </w:r>
            <w:r w:rsidRPr="000C6B1E">
              <w:tab/>
            </w:r>
            <w:r w:rsidRPr="000C6B1E">
              <w:rPr>
                <w:rStyle w:val="SpecialBold"/>
              </w:rPr>
              <w:t>Dismantle temporary storage facilit</w:t>
            </w:r>
            <w:r w:rsidRPr="000C6B1E">
              <w:rPr>
                <w:rStyle w:val="SpecialBold"/>
              </w:rPr>
              <w:t>y after outloading</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List"/>
            </w:pPr>
            <w:r w:rsidRPr="000C6B1E">
              <w:t>3.1</w:t>
            </w:r>
            <w:r w:rsidRPr="000C6B1E">
              <w:tab/>
              <w:t>Procedures for the dismantling of temporary storage facility, including sequencing of process, are confirmed with qualified personnel</w:t>
            </w:r>
          </w:p>
          <w:p w:rsidR="00000000" w:rsidRPr="000C6B1E" w:rsidP="000C6B1E">
            <w:pPr>
              <w:pStyle w:val="List"/>
            </w:pPr>
            <w:r w:rsidRPr="000C6B1E">
              <w:t>3.2</w:t>
            </w:r>
            <w:r w:rsidRPr="000C6B1E">
              <w:tab/>
              <w:t>Labour</w:t>
            </w:r>
            <w:r w:rsidRPr="000C6B1E">
              <w:t xml:space="preserve"> and equipment requirements for the dismantling of the temporary storage facility is organised and scheduled</w:t>
            </w:r>
          </w:p>
          <w:p w:rsidR="00000000" w:rsidRPr="000C6B1E" w:rsidP="000C6B1E">
            <w:pPr>
              <w:pStyle w:val="List"/>
            </w:pPr>
            <w:r w:rsidRPr="000C6B1E">
              <w:t>3.3</w:t>
            </w:r>
            <w:r w:rsidRPr="000C6B1E">
              <w:tab/>
              <w:t>Material is removed from storage to workplace procedures</w:t>
            </w:r>
          </w:p>
          <w:p w:rsidR="00000000" w:rsidRPr="000C6B1E" w:rsidP="000C6B1E">
            <w:pPr>
              <w:pStyle w:val="List"/>
            </w:pPr>
            <w:r w:rsidRPr="000C6B1E">
              <w:t>3.4</w:t>
            </w:r>
            <w:r w:rsidRPr="000C6B1E">
              <w:tab/>
              <w:t>Protective sheeting (floor and wall) is dismantled and folded for future use or di</w:t>
            </w:r>
            <w:r w:rsidRPr="000C6B1E">
              <w:t>sposed of in accordance with workplace procedures</w:t>
            </w:r>
          </w:p>
          <w:p w:rsidR="00000000" w:rsidRPr="000C6B1E" w:rsidP="000C6B1E">
            <w:pPr>
              <w:pStyle w:val="List"/>
            </w:pPr>
            <w:r w:rsidRPr="000C6B1E">
              <w:t>3.5</w:t>
            </w:r>
            <w:r w:rsidRPr="000C6B1E">
              <w:tab/>
              <w:t>Structural components are disassembled, transported and stacked to workplace instructions</w:t>
            </w:r>
          </w:p>
          <w:p w:rsidR="00000000" w:rsidRPr="000C6B1E" w:rsidP="000C6B1E">
            <w:pPr>
              <w:pStyle w:val="List"/>
            </w:pPr>
            <w:r w:rsidRPr="000C6B1E">
              <w:t>3.6</w:t>
            </w:r>
            <w:r w:rsidRPr="000C6B1E">
              <w:tab/>
              <w:t>Labour and equipment is coordinated for timely and efficient completion of work</w:t>
            </w:r>
          </w:p>
        </w:tc>
      </w:tr>
    </w:tbl>
    <w:p w:rsidR="00CC7D69" w:rsidP="000C6B1E">
      <w:pPr>
        <w:pStyle w:val="BodyText"/>
      </w:pPr>
    </w:p>
    <w:p w:rsidR="00CC7D69" w:rsidP="000C6B1E">
      <w:pPr>
        <w:pStyle w:val="BodyText"/>
      </w:pPr>
    </w:p>
    <w:p w:rsidR="00000000" w:rsidRPr="000C6B1E" w:rsidP="000C6B1E">
      <w:pPr>
        <w:pStyle w:val="Heading1"/>
      </w:pPr>
      <w:bookmarkStart w:id="9" w:name="O_262705"/>
      <w:bookmarkEnd w:id="9"/>
      <w:r w:rsidRPr="000C6B1E">
        <w:t>Requir</w:t>
      </w:r>
      <w:r w:rsidRPr="000C6B1E">
        <w:t>ed Skills and Knowledge</w:t>
      </w:r>
    </w:p>
    <w:tbl>
      <w:tblPr>
        <w:tblW w:w="9640" w:type="dxa"/>
        <w:tblLayout w:type="fixed"/>
        <w:tblCellMar>
          <w:left w:w="62" w:type="dxa"/>
          <w:right w:w="62" w:type="dxa"/>
        </w:tblCellMar>
        <w:tblLook w:val="0000"/>
      </w:tblPr>
      <w:tblGrid>
        <w:gridCol w:w="9640"/>
      </w:tblGrid>
      <w:tr w:rsidTr="00CC7D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REQUIRED KNOWLEDGE AND SKILLS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This describes the essential knowledge and skills and their level required for this unit.</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Required knowledge</w:t>
            </w:r>
            <w:r w:rsidRPr="000C6B1E">
              <w:t>:</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Regulations relevant to the erection and dismantling of temporary grain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Relevant OH&amp;S and environmental protection procedures and guidelines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Workplace procedures and policies for the coordination of the erection and dismantling of temp</w:t>
            </w:r>
            <w:r w:rsidRPr="000C6B1E">
              <w:t>orary grain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Problems that may occur when coordinating the erection and dismantling of temporary grain storage facilities and appropriate action that can be taken to resolve the problems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Equipment applications, capacities, configuration</w:t>
            </w:r>
            <w:r w:rsidRPr="000C6B1E">
              <w:t>s, safety hazards and control mechanisms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The range of construction methods used in the erection of temporary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Identifying characteristics of commodity types, varieties and grades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Grain protection measures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Emergency response procedures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Storage and safe handling procedures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Procedures for environmental control and disposal activities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Site layout and obstacles</w:t>
            </w:r>
          </w:p>
        </w:tc>
      </w:tr>
    </w:tbl>
    <w:p w:rsidR="00000000" w:rsidRPr="000C6B1E" w:rsidP="000C6B1E">
      <w:pPr>
        <w:pStyle w:val="BodyText"/>
      </w:pPr>
    </w:p>
    <w:tbl>
      <w:tblPr>
        <w:tblW w:w="9640" w:type="dxa"/>
        <w:tblLayout w:type="fixed"/>
        <w:tblCellMar>
          <w:left w:w="62" w:type="dxa"/>
          <w:right w:w="62" w:type="dxa"/>
        </w:tblCellMar>
        <w:tblLook w:val="0000"/>
      </w:tblPr>
      <w:tblGrid>
        <w:gridCol w:w="9640"/>
      </w:tblGrid>
      <w:tr w:rsidTr="00CC7D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Required skills</w:t>
            </w:r>
            <w:r w:rsidRPr="000C6B1E">
              <w:t>:</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Communicate effectively with others when coordinating the erection and dismantling of temporary grain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Read and interpret instructions, procedures, information and plans relevant to the erection and dismantling of temporary grain storage</w:t>
            </w:r>
            <w:r w:rsidRPr="000C6B1E">
              <w:t xml:space="preserv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Interpret and follow operational instructions and prioritise work</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Complete documentation related to work activities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Operate electronic communication equipment to required protocol</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Work collaboratively with others when coordinating the erect</w:t>
            </w:r>
            <w:r w:rsidRPr="000C6B1E">
              <w:t>ion and dismantling of temporary grain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Adapt appropriately to cultural differences in the workplace, including modes of behaviour and interactions with others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Promptly report and/or rectify any problems, faults or malfunctions that may</w:t>
            </w:r>
            <w:r w:rsidRPr="000C6B1E">
              <w:t xml:space="preserve"> be identified when coordinating the erection and dismantling of temporary grain storage facilitie sin accordance with regulatory requirements and workplace procedures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Implement contingency plans for unanticipated si</w:t>
            </w:r>
            <w:r w:rsidRPr="000C6B1E">
              <w:t>tuations that may occur when coordinating the erection and dismantling of temporary grain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Apply precautions and required action to minimise, control or eliminate hazards that may exist during the erection and dismantling of temporary gr</w:t>
            </w:r>
            <w:r w:rsidRPr="000C6B1E">
              <w:t>ain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Plan own work including predicting consequences and identifying improvements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Monitor work activities in terms of planned schedule</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Modify activities depending on differing operational contingencies, risk situations and environments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Work systematically with required attention to detail without injury to self or others, or damage to goods or equipment</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Identify, select and efficiently and effectively use equipment needed when coordinating the erection and dismantling of temporary gra</w:t>
            </w:r>
            <w:r w:rsidRPr="000C6B1E">
              <w:t>in storage facilities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Operate and adapt to differences in equipment in accordance with standard operating procedures</w:t>
            </w:r>
          </w:p>
        </w:tc>
      </w:tr>
      <w:tr w:rsidTr="00CC7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Select and use required personal protective equipment conforming to industry and OH&amp;S standards</w:t>
            </w:r>
          </w:p>
        </w:tc>
      </w:tr>
    </w:tbl>
    <w:p w:rsidR="00CC7D69" w:rsidP="000C6B1E">
      <w:pPr>
        <w:pStyle w:val="BodyText"/>
      </w:pPr>
    </w:p>
    <w:p w:rsidR="00CC7D69" w:rsidP="000C6B1E">
      <w:pPr>
        <w:pStyle w:val="BodyText"/>
      </w:pPr>
    </w:p>
    <w:p w:rsidR="00000000" w:rsidRPr="000C6B1E" w:rsidP="000C6B1E">
      <w:pPr>
        <w:pStyle w:val="Heading1"/>
      </w:pPr>
      <w:bookmarkStart w:id="10" w:name="O_246898"/>
      <w:bookmarkEnd w:id="10"/>
      <w:r w:rsidRPr="000C6B1E">
        <w:t>Evidence Guide</w:t>
      </w:r>
    </w:p>
    <w:tbl>
      <w:tblPr>
        <w:tblW w:w="9499" w:type="dxa"/>
        <w:tblLayout w:type="fixed"/>
        <w:tblCellMar>
          <w:left w:w="62" w:type="dxa"/>
          <w:right w:w="62" w:type="dxa"/>
        </w:tblCellMar>
        <w:tblLook w:val="0000"/>
      </w:tblPr>
      <w:tblGrid>
        <w:gridCol w:w="3524"/>
        <w:gridCol w:w="5975"/>
      </w:tblGrid>
      <w:tr w:rsidTr="00CC7D6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EVIDENCE GUIDE</w:t>
            </w:r>
          </w:p>
        </w:tc>
      </w:tr>
      <w:tr w:rsidTr="00CC7D6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The evidence guide provides advice on assessment and must be read in conjunction with the performance criteria, required knowledge and skills, the range statement and the assessment guidelines for this Training Package.</w:t>
            </w:r>
          </w:p>
        </w:tc>
      </w:tr>
      <w:tr w:rsidTr="00CC7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 xml:space="preserve">Critical aspects </w:t>
            </w:r>
            <w:r w:rsidRPr="000C6B1E">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The evidence required to demonstrate competency in this unit must be relevant to and satisfy all of the requirements of the elements and performance criteria of this unit and inclu</w:t>
            </w:r>
            <w:r w:rsidRPr="000C6B1E">
              <w:t>de demonstration of applying:</w:t>
            </w:r>
          </w:p>
          <w:p w:rsidR="00000000" w:rsidRPr="000C6B1E" w:rsidP="000C6B1E">
            <w:pPr>
              <w:pStyle w:val="ListBullet2"/>
            </w:pPr>
            <w:r w:rsidRPr="000C6B1E">
              <w:t>the underpinning knowledge and skills</w:t>
            </w:r>
          </w:p>
          <w:p w:rsidR="00000000" w:rsidRPr="000C6B1E" w:rsidP="000C6B1E">
            <w:pPr>
              <w:pStyle w:val="ListBullet2"/>
            </w:pPr>
            <w:r w:rsidRPr="000C6B1E">
              <w:t>relevant legislation and workplace procedures</w:t>
            </w:r>
          </w:p>
          <w:p w:rsidR="00000000" w:rsidP="000C6B1E">
            <w:pPr>
              <w:pStyle w:val="ListBullet2"/>
              <w:rPr>
                <w:lang w:val="en-NZ"/>
              </w:rPr>
            </w:pPr>
            <w:r w:rsidRPr="000C6B1E">
              <w:t>other relevant aspects of the range statement</w:t>
            </w:r>
          </w:p>
        </w:tc>
      </w:tr>
      <w:tr w:rsidTr="00CC7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Performance is demonstrated consistently over a period of time and in a suitable range of contexts</w:t>
            </w:r>
          </w:p>
          <w:p w:rsidR="00000000" w:rsidRPr="000C6B1E" w:rsidP="000C6B1E">
            <w:pPr>
              <w:pStyle w:val="ListBullet"/>
            </w:pPr>
            <w:r w:rsidRPr="000C6B1E">
              <w:t>Resources for assessment include:</w:t>
            </w:r>
          </w:p>
          <w:p w:rsidR="00000000" w:rsidRPr="000C6B1E" w:rsidP="000C6B1E">
            <w:pPr>
              <w:pStyle w:val="ListBullet2"/>
            </w:pPr>
            <w:r w:rsidRPr="000C6B1E">
              <w:t>a range of relevant exercises, case studies and/or other simulated practical and knowledge assessment, and/or</w:t>
            </w:r>
          </w:p>
          <w:p w:rsidR="00000000" w:rsidRPr="000C6B1E" w:rsidP="000C6B1E">
            <w:pPr>
              <w:pStyle w:val="ListBullet2"/>
            </w:pPr>
            <w:r w:rsidRPr="000C6B1E">
              <w:t>access to an</w:t>
            </w:r>
            <w:r w:rsidRPr="000C6B1E">
              <w:t xml:space="preserve"> appropriate range of relevant operational situations in the workplace</w:t>
            </w:r>
          </w:p>
          <w:p w:rsidR="00000000" w:rsidRPr="000C6B1E" w:rsidP="000C6B1E">
            <w:pPr>
              <w:pStyle w:val="ListBullet"/>
            </w:pPr>
            <w:r w:rsidRPr="000C6B1E">
              <w:t>In both real and simulated environments, access is required to:</w:t>
            </w:r>
          </w:p>
          <w:p w:rsidR="00000000" w:rsidRPr="000C6B1E" w:rsidP="000C6B1E">
            <w:pPr>
              <w:pStyle w:val="ListBullet2"/>
            </w:pPr>
            <w:r w:rsidRPr="000C6B1E">
              <w:t>relevant and appropriate materials and equipment, and</w:t>
            </w:r>
          </w:p>
          <w:p w:rsidR="00000000" w:rsidP="000C6B1E">
            <w:pPr>
              <w:pStyle w:val="ListBullet2"/>
              <w:rPr>
                <w:lang w:val="en-NZ"/>
              </w:rPr>
            </w:pPr>
            <w:r w:rsidRPr="000C6B1E">
              <w:t>applicable documentation including workplace procedures, regulatio</w:t>
            </w:r>
            <w:r w:rsidRPr="000C6B1E">
              <w:t>ns, codes of practice and operation manuals</w:t>
            </w:r>
          </w:p>
        </w:tc>
      </w:tr>
      <w:tr w:rsidTr="00CC7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Assessment of this unit must be undertaken by a registered training organisation</w:t>
            </w:r>
          </w:p>
          <w:p w:rsidR="00000000" w:rsidRPr="000C6B1E" w:rsidP="000C6B1E">
            <w:pPr>
              <w:pStyle w:val="ListBullet"/>
            </w:pPr>
            <w:r w:rsidRPr="000C6B1E">
              <w:t>As a minimum, assessment of knowledge must be conducted through appropriate written/oral tests</w:t>
            </w:r>
          </w:p>
          <w:p w:rsidR="00000000" w:rsidRPr="000C6B1E" w:rsidP="000C6B1E">
            <w:pPr>
              <w:pStyle w:val="ListBullet"/>
            </w:pPr>
            <w:r w:rsidRPr="000C6B1E">
              <w:t>Practical assessment must occur:</w:t>
            </w:r>
          </w:p>
          <w:p w:rsidR="00000000" w:rsidRPr="000C6B1E" w:rsidP="000C6B1E">
            <w:pPr>
              <w:pStyle w:val="ListBullet2"/>
            </w:pPr>
            <w:r w:rsidRPr="000C6B1E">
              <w:t>through activities in an appropriately simulated environment at the registered training organisation, and/or</w:t>
            </w:r>
          </w:p>
          <w:p w:rsidR="00000000" w:rsidRPr="000C6B1E" w:rsidP="000C6B1E">
            <w:pPr>
              <w:pStyle w:val="ListBullet2"/>
            </w:pPr>
            <w:r w:rsidRPr="000C6B1E">
              <w:t>in an appropriate range of situations in the workplace</w:t>
            </w:r>
          </w:p>
        </w:tc>
      </w:tr>
    </w:tbl>
    <w:p w:rsidR="00CC7D69" w:rsidP="000C6B1E">
      <w:pPr>
        <w:pStyle w:val="BodyText"/>
      </w:pPr>
    </w:p>
    <w:p w:rsidR="00CC7D69" w:rsidP="000C6B1E">
      <w:pPr>
        <w:pStyle w:val="BodyText"/>
      </w:pPr>
    </w:p>
    <w:p w:rsidR="00000000" w:rsidRPr="000C6B1E" w:rsidP="000C6B1E">
      <w:pPr>
        <w:pStyle w:val="Heading1"/>
      </w:pPr>
      <w:bookmarkStart w:id="11" w:name="O_254881"/>
      <w:bookmarkEnd w:id="11"/>
      <w:r w:rsidRPr="000C6B1E">
        <w:t>Range Statement</w:t>
      </w:r>
    </w:p>
    <w:tbl>
      <w:tblPr>
        <w:tblW w:w="9640" w:type="dxa"/>
        <w:tblLayout w:type="fixed"/>
        <w:tblCellMar>
          <w:left w:w="62" w:type="dxa"/>
          <w:right w:w="62" w:type="dxa"/>
        </w:tblCellMar>
        <w:tblLook w:val="0000"/>
      </w:tblPr>
      <w:tblGrid>
        <w:gridCol w:w="3486"/>
        <w:gridCol w:w="6154"/>
      </w:tblGrid>
      <w:tr w:rsidTr="00CC7D6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RANGE STATEMENT</w:t>
            </w:r>
            <w:r w:rsidRPr="000C6B1E">
              <w:t xml:space="preserve"> </w:t>
            </w:r>
          </w:p>
        </w:tc>
      </w:tr>
      <w:tr w:rsidTr="00CC7D6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The range statement relates to the unit of competency as a whole. It allows for different work environments and situations that may affect performance.</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Work may be conducted:</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in a range of work environments</w:t>
            </w:r>
          </w:p>
          <w:p w:rsidR="00000000" w:rsidP="000C6B1E">
            <w:pPr>
              <w:pStyle w:val="ListBullet"/>
              <w:rPr>
                <w:lang w:val="en-NZ"/>
              </w:rPr>
            </w:pPr>
            <w:r w:rsidRPr="000C6B1E">
              <w:t>by day or night</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Customers may be:</w:t>
            </w:r>
          </w:p>
        </w:tc>
        <w:tc>
          <w:tcPr>
            <w:tcW w:w="6154"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internal or external</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Workplaces may comprise:</w:t>
            </w:r>
          </w:p>
        </w:tc>
        <w:tc>
          <w:tcPr>
            <w:tcW w:w="6154"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large, medium or small worksites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equipment</w:t>
            </w:r>
          </w:p>
          <w:p w:rsidR="00000000" w:rsidRPr="000C6B1E" w:rsidP="000C6B1E">
            <w:pPr>
              <w:pStyle w:val="ListBullet"/>
            </w:pPr>
            <w:r w:rsidRPr="000C6B1E">
              <w:t>goods</w:t>
            </w:r>
          </w:p>
          <w:p w:rsidR="00000000" w:rsidRPr="000C6B1E" w:rsidP="000C6B1E">
            <w:pPr>
              <w:pStyle w:val="ListBullet"/>
            </w:pPr>
            <w:r w:rsidRPr="000C6B1E">
              <w:t>products</w:t>
            </w:r>
          </w:p>
          <w:p w:rsidR="00000000" w:rsidRPr="000C6B1E" w:rsidP="000C6B1E">
            <w:pPr>
              <w:pStyle w:val="ListBullet"/>
            </w:pPr>
            <w:r w:rsidRPr="000C6B1E">
              <w:t>materials</w:t>
            </w:r>
          </w:p>
          <w:p w:rsidR="00000000" w:rsidP="000C6B1E">
            <w:pPr>
              <w:pStyle w:val="ListBullet"/>
              <w:rPr>
                <w:lang w:val="en-NZ"/>
              </w:rPr>
            </w:pPr>
            <w:r w:rsidRPr="000C6B1E">
              <w:t>vehicular traffic</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Work involves:</w:t>
            </w:r>
          </w:p>
        </w:tc>
        <w:tc>
          <w:tcPr>
            <w:tcW w:w="6154" w:type="dxa"/>
            <w:tcBorders>
              <w:top w:val="nil"/>
              <w:left w:val="nil"/>
              <w:bottom w:val="nil"/>
              <w:right w:val="nil"/>
            </w:tcBorders>
            <w:tcMar>
              <w:top w:w="0" w:type="dxa"/>
              <w:left w:w="62" w:type="dxa"/>
              <w:bottom w:w="0" w:type="dxa"/>
              <w:right w:w="62" w:type="dxa"/>
            </w:tcMar>
          </w:tcPr>
          <w:p w:rsidR="00000000" w:rsidP="000C6B1E">
            <w:pPr>
              <w:pStyle w:val="ListBullet"/>
              <w:rPr>
                <w:lang w:val="en-NZ"/>
              </w:rPr>
            </w:pPr>
            <w:r w:rsidRPr="000C6B1E">
              <w:t>individuals coordinating and organising the construction an</w:t>
            </w:r>
            <w:r w:rsidRPr="000C6B1E">
              <w:t>d dismantling of temporary storage facilities from working drawings and erection specifications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Types of temporary storage facilities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concrete side wall sites</w:t>
            </w:r>
          </w:p>
          <w:p w:rsidR="00000000" w:rsidRPr="000C6B1E" w:rsidP="000C6B1E">
            <w:pPr>
              <w:pStyle w:val="ListBullet"/>
            </w:pPr>
            <w:r w:rsidRPr="000C6B1E">
              <w:t>earth wall sites</w:t>
            </w:r>
          </w:p>
          <w:p w:rsidR="00000000" w:rsidRPr="000C6B1E" w:rsidP="000C6B1E">
            <w:pPr>
              <w:pStyle w:val="ListBullet"/>
            </w:pPr>
            <w:r w:rsidRPr="000C6B1E">
              <w:t>two-way sites</w:t>
            </w:r>
          </w:p>
          <w:p w:rsidR="00000000" w:rsidRPr="000C6B1E" w:rsidP="000C6B1E">
            <w:pPr>
              <w:pStyle w:val="ListBullet"/>
            </w:pPr>
            <w:r w:rsidRPr="000C6B1E">
              <w:t>timber and/or steel prefabricated wall sites</w:t>
            </w:r>
          </w:p>
          <w:p w:rsidR="00000000" w:rsidRPr="000C6B1E" w:rsidP="000C6B1E">
            <w:pPr>
              <w:pStyle w:val="ListBullet"/>
            </w:pPr>
            <w:r w:rsidRPr="000C6B1E">
              <w:t>concrete floors</w:t>
            </w:r>
          </w:p>
          <w:p w:rsidR="00000000" w:rsidRPr="000C6B1E" w:rsidP="000C6B1E">
            <w:pPr>
              <w:pStyle w:val="ListBullet"/>
            </w:pPr>
            <w:r w:rsidRPr="000C6B1E">
              <w:t>compacted earth or fill floors</w:t>
            </w:r>
          </w:p>
          <w:p w:rsidR="00000000" w:rsidP="000C6B1E">
            <w:pPr>
              <w:pStyle w:val="ListBullet"/>
              <w:rPr>
                <w:lang w:val="en-NZ"/>
              </w:rPr>
            </w:pPr>
            <w:r w:rsidRPr="000C6B1E">
              <w:t>sites segregated for different commodities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workplace personnel</w:t>
            </w:r>
          </w:p>
          <w:p w:rsidR="00000000" w:rsidRPr="000C6B1E" w:rsidP="000C6B1E">
            <w:pPr>
              <w:pStyle w:val="ListBullet"/>
            </w:pPr>
            <w:r w:rsidRPr="000C6B1E">
              <w:t>supervisors and managers</w:t>
            </w:r>
          </w:p>
          <w:p w:rsidR="00000000" w:rsidRPr="000C6B1E" w:rsidP="000C6B1E">
            <w:pPr>
              <w:pStyle w:val="ListBullet"/>
            </w:pPr>
            <w:r w:rsidRPr="000C6B1E">
              <w:t>existing and potential customers/clients</w:t>
            </w:r>
          </w:p>
          <w:p w:rsidR="00000000" w:rsidRPr="000C6B1E" w:rsidP="000C6B1E">
            <w:pPr>
              <w:pStyle w:val="ListBullet"/>
            </w:pPr>
            <w:r w:rsidRPr="000C6B1E">
              <w:t>manufacturers of pesticides</w:t>
            </w:r>
          </w:p>
          <w:p w:rsidR="00000000" w:rsidRPr="000C6B1E" w:rsidP="000C6B1E">
            <w:pPr>
              <w:pStyle w:val="ListBullet"/>
            </w:pPr>
            <w:r w:rsidRPr="000C6B1E">
              <w:t>suppliers and c</w:t>
            </w:r>
            <w:r w:rsidRPr="000C6B1E">
              <w:t>ontractors</w:t>
            </w:r>
          </w:p>
          <w:p w:rsidR="00000000" w:rsidRPr="000C6B1E" w:rsidP="000C6B1E">
            <w:pPr>
              <w:pStyle w:val="ListBullet"/>
            </w:pPr>
            <w:r w:rsidRPr="000C6B1E">
              <w:t>union representatives</w:t>
            </w:r>
          </w:p>
          <w:p w:rsidR="00000000" w:rsidRPr="000C6B1E" w:rsidP="000C6B1E">
            <w:pPr>
              <w:pStyle w:val="ListBullet"/>
            </w:pPr>
            <w:r w:rsidRPr="000C6B1E">
              <w:t>industrial relations and OH&amp;S specialists</w:t>
            </w:r>
          </w:p>
          <w:p w:rsidR="00000000" w:rsidP="000C6B1E">
            <w:pPr>
              <w:pStyle w:val="ListBullet"/>
              <w:rPr>
                <w:lang w:val="en-NZ"/>
              </w:rPr>
            </w:pPr>
            <w:r w:rsidRPr="000C6B1E">
              <w:t>maintenance, professional or technical staff</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site restrictions and procedures</w:t>
            </w:r>
          </w:p>
          <w:p w:rsidR="00000000" w:rsidRPr="000C6B1E" w:rsidP="000C6B1E">
            <w:pPr>
              <w:pStyle w:val="ListBullet"/>
            </w:pPr>
            <w:r w:rsidRPr="000C6B1E">
              <w:t>licensing requirements</w:t>
            </w:r>
          </w:p>
          <w:p w:rsidR="00000000" w:rsidRPr="000C6B1E" w:rsidP="000C6B1E">
            <w:pPr>
              <w:pStyle w:val="ListBullet"/>
            </w:pPr>
            <w:r w:rsidRPr="000C6B1E">
              <w:t>use of safety and personal protective equipment</w:t>
            </w:r>
          </w:p>
          <w:p w:rsidR="00000000" w:rsidRPr="000C6B1E" w:rsidP="000C6B1E">
            <w:pPr>
              <w:pStyle w:val="ListBullet"/>
            </w:pPr>
            <w:r w:rsidRPr="000C6B1E">
              <w:t>communications/recording equipment</w:t>
            </w:r>
          </w:p>
          <w:p w:rsidR="00000000" w:rsidRPr="000C6B1E" w:rsidP="000C6B1E">
            <w:pPr>
              <w:pStyle w:val="ListBullet"/>
            </w:pPr>
            <w:r w:rsidRPr="000C6B1E">
              <w:t>authorities and permits</w:t>
            </w:r>
          </w:p>
          <w:p w:rsidR="00000000" w:rsidP="000C6B1E">
            <w:pPr>
              <w:pStyle w:val="ListBullet"/>
              <w:rPr>
                <w:lang w:val="en-NZ"/>
              </w:rPr>
            </w:pPr>
            <w:r w:rsidRPr="000C6B1E">
              <w:t>emergency procedures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chemicals and pesticides</w:t>
            </w:r>
          </w:p>
          <w:p w:rsidR="00000000" w:rsidRPr="000C6B1E" w:rsidP="000C6B1E">
            <w:pPr>
              <w:pStyle w:val="ListBullet"/>
            </w:pPr>
            <w:r w:rsidRPr="000C6B1E">
              <w:t>dangerous or hazardous substances</w:t>
            </w:r>
          </w:p>
          <w:p w:rsidR="00000000" w:rsidRPr="000C6B1E" w:rsidP="000C6B1E">
            <w:pPr>
              <w:pStyle w:val="ListBullet"/>
            </w:pPr>
            <w:r w:rsidRPr="000C6B1E">
              <w:t>stationary and moving equipmen</w:t>
            </w:r>
            <w:r w:rsidRPr="000C6B1E">
              <w:t>t, parts and materials</w:t>
            </w:r>
          </w:p>
          <w:p w:rsidR="00000000" w:rsidRPr="000C6B1E" w:rsidP="000C6B1E">
            <w:pPr>
              <w:pStyle w:val="ListBullet"/>
            </w:pPr>
            <w:r w:rsidRPr="000C6B1E">
              <w:t>noise, light, energy sources</w:t>
            </w:r>
          </w:p>
          <w:p w:rsidR="00000000" w:rsidRPr="000C6B1E" w:rsidP="000C6B1E">
            <w:pPr>
              <w:pStyle w:val="ListBullet"/>
            </w:pPr>
            <w:r w:rsidRPr="000C6B1E">
              <w:t>electrical equipment</w:t>
            </w:r>
          </w:p>
          <w:p w:rsidR="00000000" w:rsidRPr="000C6B1E" w:rsidP="000C6B1E">
            <w:pPr>
              <w:pStyle w:val="ListBullet"/>
            </w:pPr>
            <w:r w:rsidRPr="000C6B1E">
              <w:t>humidity, air temperature, radiant heat</w:t>
            </w:r>
          </w:p>
          <w:p w:rsidR="00000000" w:rsidRPr="000C6B1E" w:rsidP="000C6B1E">
            <w:pPr>
              <w:pStyle w:val="ListBullet"/>
            </w:pPr>
            <w:r w:rsidRPr="000C6B1E">
              <w:t>debris on floor</w:t>
            </w:r>
          </w:p>
          <w:p w:rsidR="00000000" w:rsidP="000C6B1E">
            <w:pPr>
              <w:pStyle w:val="ListBullet"/>
              <w:rPr>
                <w:lang w:val="en-NZ"/>
              </w:rPr>
            </w:pPr>
            <w:r w:rsidRPr="000C6B1E">
              <w:t>faulty equipment</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gloves</w:t>
            </w:r>
          </w:p>
          <w:p w:rsidR="00000000" w:rsidRPr="000C6B1E" w:rsidP="000C6B1E">
            <w:pPr>
              <w:pStyle w:val="ListBullet"/>
            </w:pPr>
            <w:r w:rsidRPr="000C6B1E">
              <w:t>safety headwear and footwear</w:t>
            </w:r>
          </w:p>
          <w:p w:rsidR="00000000" w:rsidRPr="000C6B1E" w:rsidP="000C6B1E">
            <w:pPr>
              <w:pStyle w:val="ListBullet"/>
            </w:pPr>
            <w:r w:rsidRPr="000C6B1E">
              <w:t>safety glasses</w:t>
            </w:r>
          </w:p>
          <w:p w:rsidR="00000000" w:rsidRPr="000C6B1E" w:rsidP="000C6B1E">
            <w:pPr>
              <w:pStyle w:val="ListBullet"/>
            </w:pPr>
            <w:r w:rsidRPr="000C6B1E">
              <w:t>two-way radios</w:t>
            </w:r>
          </w:p>
          <w:p w:rsidR="00000000" w:rsidRPr="000C6B1E" w:rsidP="000C6B1E">
            <w:pPr>
              <w:pStyle w:val="ListBullet"/>
            </w:pPr>
            <w:r w:rsidRPr="000C6B1E">
              <w:t>protective clothing</w:t>
            </w:r>
          </w:p>
          <w:p w:rsidR="00000000" w:rsidRPr="000C6B1E" w:rsidP="000C6B1E">
            <w:pPr>
              <w:pStyle w:val="ListBullet"/>
            </w:pPr>
            <w:r w:rsidRPr="000C6B1E">
              <w:t>respirators and fume/dust masks</w:t>
            </w:r>
          </w:p>
          <w:p w:rsidR="00000000" w:rsidP="000C6B1E">
            <w:pPr>
              <w:pStyle w:val="ListBullet"/>
              <w:rPr>
                <w:lang w:val="en-NZ"/>
              </w:rPr>
            </w:pPr>
            <w:r w:rsidRPr="000C6B1E">
              <w:t>high visibility clothing</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phone</w:t>
            </w:r>
          </w:p>
          <w:p w:rsidR="00000000" w:rsidRPr="000C6B1E" w:rsidP="000C6B1E">
            <w:pPr>
              <w:pStyle w:val="ListBullet"/>
            </w:pPr>
            <w:r w:rsidRPr="000C6B1E">
              <w:t>fax</w:t>
            </w:r>
          </w:p>
          <w:p w:rsidR="00000000" w:rsidRPr="000C6B1E" w:rsidP="000C6B1E">
            <w:pPr>
              <w:pStyle w:val="ListBullet"/>
            </w:pPr>
            <w:r w:rsidRPr="000C6B1E">
              <w:t>email/internet</w:t>
            </w:r>
          </w:p>
          <w:p w:rsidR="00000000" w:rsidRPr="000C6B1E" w:rsidP="000C6B1E">
            <w:pPr>
              <w:pStyle w:val="ListBullet"/>
            </w:pPr>
            <w:r w:rsidRPr="000C6B1E">
              <w:t>electronic data interchange (EDI)</w:t>
            </w:r>
          </w:p>
          <w:p w:rsidR="00000000" w:rsidRPr="000C6B1E" w:rsidP="000C6B1E">
            <w:pPr>
              <w:pStyle w:val="ListBullet"/>
            </w:pPr>
            <w:r w:rsidRPr="000C6B1E">
              <w:t>RF systems</w:t>
            </w:r>
          </w:p>
          <w:p w:rsidR="00000000" w:rsidP="000C6B1E">
            <w:pPr>
              <w:pStyle w:val="ListBullet"/>
              <w:rPr>
                <w:lang w:val="en-NZ"/>
              </w:rPr>
            </w:pPr>
            <w:r w:rsidRPr="000C6B1E">
              <w:t>oral, aural or signed communications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Depending on the type of o</w:t>
            </w:r>
            <w:r w:rsidRPr="000C6B1E">
              <w:t>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company procedures</w:t>
            </w:r>
          </w:p>
          <w:p w:rsidR="00000000" w:rsidRPr="000C6B1E" w:rsidP="000C6B1E">
            <w:pPr>
              <w:pStyle w:val="ListBullet"/>
            </w:pPr>
            <w:r w:rsidRPr="000C6B1E">
              <w:t>workplace procedures</w:t>
            </w:r>
          </w:p>
          <w:p w:rsidR="00000000" w:rsidRPr="000C6B1E" w:rsidP="000C6B1E">
            <w:pPr>
              <w:pStyle w:val="ListBullet"/>
            </w:pPr>
            <w:r w:rsidRPr="000C6B1E">
              <w:t>organisational procedures</w:t>
            </w:r>
          </w:p>
          <w:p w:rsidR="00000000" w:rsidP="000C6B1E">
            <w:pPr>
              <w:pStyle w:val="ListBullet"/>
              <w:rPr>
                <w:lang w:val="en-NZ"/>
              </w:rPr>
            </w:pPr>
            <w:r w:rsidRPr="000C6B1E">
              <w:t>established or standard procedures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operations manuals, job specifications and procedures</w:t>
            </w:r>
          </w:p>
          <w:p w:rsidR="00000000" w:rsidRPr="000C6B1E" w:rsidP="000C6B1E">
            <w:pPr>
              <w:pStyle w:val="ListBullet"/>
            </w:pPr>
            <w:r w:rsidRPr="000C6B1E">
              <w:t>induction documentation</w:t>
            </w:r>
          </w:p>
          <w:p w:rsidR="00000000" w:rsidRPr="000C6B1E" w:rsidP="000C6B1E">
            <w:pPr>
              <w:pStyle w:val="ListBullet"/>
            </w:pPr>
            <w:r w:rsidRPr="000C6B1E">
              <w:t>competency standards and training materials</w:t>
            </w:r>
          </w:p>
          <w:p w:rsidR="00000000" w:rsidRPr="000C6B1E" w:rsidP="000C6B1E">
            <w:pPr>
              <w:pStyle w:val="ListBullet"/>
            </w:pPr>
            <w:r w:rsidRPr="000C6B1E">
              <w:t>manufacturers specifications and instructions</w:t>
            </w:r>
          </w:p>
          <w:p w:rsidR="00000000" w:rsidRPr="000C6B1E" w:rsidP="000C6B1E">
            <w:pPr>
              <w:pStyle w:val="ListBullet"/>
            </w:pPr>
            <w:r w:rsidRPr="000C6B1E">
              <w:t>materials safety data sheets</w:t>
            </w:r>
          </w:p>
          <w:p w:rsidR="00000000" w:rsidRPr="000C6B1E" w:rsidP="000C6B1E">
            <w:pPr>
              <w:pStyle w:val="ListBullet"/>
            </w:pPr>
            <w:r w:rsidRPr="000C6B1E">
              <w:t>workplace operating procedures and policies</w:t>
            </w:r>
          </w:p>
          <w:p w:rsidR="00000000" w:rsidRPr="000C6B1E" w:rsidP="000C6B1E">
            <w:pPr>
              <w:pStyle w:val="ListBullet"/>
            </w:pPr>
            <w:r w:rsidRPr="000C6B1E">
              <w:t>supplier and/or</w:t>
            </w:r>
            <w:r w:rsidRPr="000C6B1E">
              <w:t xml:space="preserve"> client instructions</w:t>
            </w:r>
          </w:p>
          <w:p w:rsidR="00000000" w:rsidRPr="000C6B1E" w:rsidP="000C6B1E">
            <w:pPr>
              <w:pStyle w:val="ListBullet"/>
            </w:pPr>
            <w:r w:rsidRPr="000C6B1E">
              <w:t>Australian and international standards, criteria and certification requirements</w:t>
            </w:r>
          </w:p>
          <w:p w:rsidR="00000000" w:rsidRPr="000C6B1E" w:rsidP="000C6B1E">
            <w:pPr>
              <w:pStyle w:val="ListBullet"/>
            </w:pPr>
            <w:r w:rsidRPr="000C6B1E">
              <w:t>codes of practice including the National Standards for Manual Handling and the Industry Safety Code</w:t>
            </w:r>
          </w:p>
          <w:p w:rsidR="00000000" w:rsidRPr="000C6B1E" w:rsidP="000C6B1E">
            <w:pPr>
              <w:pStyle w:val="ListBullet"/>
            </w:pPr>
            <w:r w:rsidRPr="000C6B1E">
              <w:t>relevant regulations including the ADG Code</w:t>
            </w:r>
          </w:p>
          <w:p w:rsidR="00000000" w:rsidRPr="000C6B1E" w:rsidP="000C6B1E">
            <w:pPr>
              <w:pStyle w:val="ListBullet"/>
            </w:pPr>
            <w:r w:rsidRPr="000C6B1E">
              <w:t>award, work</w:t>
            </w:r>
            <w:r w:rsidRPr="000C6B1E">
              <w:t>place bargaining agreement, other industrial arrangements</w:t>
            </w:r>
          </w:p>
          <w:p w:rsidR="00000000" w:rsidRPr="000C6B1E" w:rsidP="000C6B1E">
            <w:pPr>
              <w:pStyle w:val="ListBullet"/>
            </w:pPr>
            <w:r w:rsidRPr="000C6B1E">
              <w:t>OH&amp;S procedures</w:t>
            </w:r>
          </w:p>
          <w:p w:rsidR="00000000" w:rsidRPr="000C6B1E" w:rsidP="000C6B1E">
            <w:pPr>
              <w:pStyle w:val="ListBullet"/>
            </w:pPr>
            <w:r w:rsidRPr="000C6B1E">
              <w:t>quality assurance procedures</w:t>
            </w:r>
          </w:p>
          <w:p w:rsidR="00000000" w:rsidP="000C6B1E">
            <w:pPr>
              <w:pStyle w:val="ListBullet"/>
              <w:rPr>
                <w:lang w:val="en-NZ"/>
              </w:rPr>
            </w:pPr>
            <w:r w:rsidRPr="000C6B1E">
              <w:t>emergency procedures</w:t>
            </w:r>
          </w:p>
        </w:tc>
      </w:tr>
      <w:tr w:rsidTr="00CC7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C6B1E" w:rsidP="000C6B1E">
            <w:pPr>
              <w:pStyle w:val="ListBullet"/>
            </w:pPr>
            <w:r w:rsidRPr="000C6B1E">
              <w:t>relevant codes and regulations pertaining to grain storage</w:t>
            </w:r>
          </w:p>
          <w:p w:rsidR="00000000" w:rsidRPr="000C6B1E" w:rsidP="000C6B1E">
            <w:pPr>
              <w:pStyle w:val="ListBullet"/>
            </w:pPr>
            <w:r w:rsidRPr="000C6B1E">
              <w:t>legislation regarding the use of fumigants/poisons</w:t>
            </w:r>
          </w:p>
          <w:p w:rsidR="00000000" w:rsidRPr="000C6B1E" w:rsidP="000C6B1E">
            <w:pPr>
              <w:pStyle w:val="ListBullet"/>
            </w:pPr>
            <w:r w:rsidRPr="000C6B1E">
              <w:t>ADG Code and regulations pertaining to the storage and handling of dangerous and hazardous goods</w:t>
            </w:r>
          </w:p>
          <w:p w:rsidR="00000000" w:rsidRPr="000C6B1E" w:rsidP="000C6B1E">
            <w:pPr>
              <w:pStyle w:val="ListBullet"/>
            </w:pPr>
            <w:r w:rsidRPr="000C6B1E">
              <w:t>relevant state/territory OH&amp;S legislation</w:t>
            </w:r>
          </w:p>
          <w:p w:rsidR="00000000" w:rsidRPr="000C6B1E" w:rsidP="000C6B1E">
            <w:pPr>
              <w:pStyle w:val="ListBullet"/>
            </w:pPr>
            <w:r w:rsidRPr="000C6B1E">
              <w:t>relevant state/territory environmental protection legislation</w:t>
            </w:r>
          </w:p>
          <w:p w:rsidR="00000000" w:rsidRPr="000C6B1E" w:rsidP="000C6B1E">
            <w:pPr>
              <w:pStyle w:val="ListBullet"/>
            </w:pPr>
            <w:r w:rsidRPr="000C6B1E">
              <w:t>rele</w:t>
            </w:r>
            <w:r w:rsidRPr="000C6B1E">
              <w:t>vant Australian and international standards and certification requirements</w:t>
            </w:r>
          </w:p>
          <w:p w:rsidR="00000000" w:rsidRPr="000C6B1E" w:rsidP="000C6B1E">
            <w:pPr>
              <w:pStyle w:val="ListBullet"/>
            </w:pPr>
            <w:r w:rsidRPr="000C6B1E">
              <w:t>workplace relations regulations including equal opportunity, equal employment opportunity and affirmative action legislation</w:t>
            </w:r>
          </w:p>
          <w:p w:rsidR="00000000" w:rsidRPr="000C6B1E" w:rsidP="000C6B1E">
            <w:pPr>
              <w:pStyle w:val="ListBullet"/>
            </w:pPr>
            <w:r w:rsidRPr="000C6B1E">
              <w:t>workers compensation regulations</w:t>
            </w:r>
          </w:p>
        </w:tc>
      </w:tr>
    </w:tbl>
    <w:p w:rsidR="00CC7D69" w:rsidP="000C6B1E">
      <w:pPr>
        <w:pStyle w:val="BodyText"/>
      </w:pPr>
    </w:p>
    <w:p w:rsidR="00CC7D69" w:rsidP="000C6B1E">
      <w:pPr>
        <w:pStyle w:val="BodyText"/>
      </w:pPr>
    </w:p>
    <w:p w:rsidR="00000000" w:rsidRPr="000C6B1E" w:rsidP="000C6B1E">
      <w:pPr>
        <w:pStyle w:val="Heading1"/>
      </w:pPr>
      <w:bookmarkStart w:id="12" w:name="O_295894"/>
      <w:bookmarkEnd w:id="12"/>
      <w:r w:rsidRPr="000C6B1E">
        <w:t>Un</w:t>
      </w:r>
      <w:r w:rsidRPr="000C6B1E">
        <w:t>it Sector(s)</w:t>
      </w:r>
    </w:p>
    <w:p w:rsidR="00000000" w:rsidRPr="000C6B1E" w:rsidP="000C6B1E">
      <w:pPr>
        <w:pStyle w:val="BodyText"/>
      </w:pPr>
      <w:r w:rsidRPr="000C6B1E">
        <w:t>Not Applicable</w:t>
      </w:r>
    </w:p>
    <w:p w:rsidR="00000000" w:rsidRPr="000C6B1E" w:rsidP="000C6B1E">
      <w:pPr>
        <w:pStyle w:val="AllowPageBreak"/>
      </w:pPr>
    </w:p>
    <w:p w:rsidR="00000000" w:rsidRPr="000C6B1E" w:rsidP="000C6B1E">
      <w:pPr>
        <w:pStyle w:val="Heading1"/>
      </w:pPr>
      <w:bookmarkStart w:id="13" w:name="O_223877"/>
      <w:bookmarkEnd w:id="13"/>
      <w:r w:rsidRPr="000C6B1E">
        <w:t>Competency Field</w:t>
      </w:r>
    </w:p>
    <w:tbl>
      <w:tblPr>
        <w:tblW w:w="9640" w:type="dxa"/>
        <w:tblLayout w:type="fixed"/>
        <w:tblCellMar>
          <w:left w:w="62" w:type="dxa"/>
          <w:right w:w="62" w:type="dxa"/>
        </w:tblCellMar>
        <w:tblLook w:val="0000"/>
      </w:tblPr>
      <w:tblGrid>
        <w:gridCol w:w="2978"/>
        <w:gridCol w:w="6662"/>
      </w:tblGrid>
      <w:tr w:rsidTr="00CC7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6B1E">
            <w:pPr>
              <w:pStyle w:val="BodyText"/>
              <w:rPr>
                <w:lang w:val="en-NZ"/>
              </w:rPr>
            </w:pPr>
            <w:r w:rsidRPr="000C6B1E">
              <w:rPr>
                <w:rStyle w:val="SpecialBold"/>
              </w:rPr>
              <w:t>Competency Field</w:t>
            </w:r>
            <w:r w:rsidRPr="000C6B1E">
              <w:t xml:space="preserve"> </w:t>
            </w:r>
          </w:p>
        </w:tc>
        <w:tc>
          <w:tcPr>
            <w:tcW w:w="6662" w:type="dxa"/>
            <w:tcBorders>
              <w:top w:val="nil"/>
              <w:left w:val="nil"/>
              <w:bottom w:val="nil"/>
              <w:right w:val="nil"/>
            </w:tcBorders>
            <w:tcMar>
              <w:top w:w="0" w:type="dxa"/>
              <w:left w:w="62" w:type="dxa"/>
              <w:bottom w:w="0" w:type="dxa"/>
              <w:right w:w="62" w:type="dxa"/>
            </w:tcMar>
          </w:tcPr>
          <w:p w:rsidR="00000000" w:rsidRPr="000C6B1E" w:rsidP="000C6B1E">
            <w:pPr>
              <w:pStyle w:val="BodyText"/>
            </w:pPr>
            <w:r w:rsidRPr="000C6B1E">
              <w:t>L - Resource Management</w:t>
            </w:r>
          </w:p>
        </w:tc>
      </w:tr>
    </w:tbl>
    <w:p w:rsidR="00CC7D69" w:rsidP="000C6B1E">
      <w:pPr>
        <w:pStyle w:val="BodyText"/>
      </w:pPr>
    </w:p>
    <w:p w:rsidR="00CC7D69" w:rsidP="000C6B1E">
      <w:pPr>
        <w:pStyle w:val="BodyText"/>
      </w:pPr>
    </w:p>
    <w:p w:rsidR="00000000" w:rsidRPr="000C6B1E" w:rsidP="000C6B1E"/>
    <w:sectPr w:rsidSect="000C6B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D69" w:rsidP="00CC7D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69" w:rsidP="000C6B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7D69" w:rsidP="000C6B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C7D69" w:rsidP="000C6B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1E" w:rsidRPr="00CC7D69" w:rsidP="00CC7D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69" w:rsidRPr="002D2AF8" w:rsidP="000C6B1E">
    <w:pPr>
      <w:pStyle w:val="Header"/>
      <w:framePr w:wrap="around"/>
    </w:pPr>
    <w:r>
      <w:fldChar w:fldCharType="begin"/>
    </w:r>
    <w:r>
      <w:instrText xml:space="preserve"> TITLE   \* MERGEFORMAT </w:instrText>
    </w:r>
    <w:r>
      <w:fldChar w:fldCharType="separate"/>
    </w:r>
    <w:r>
      <w:t>TLIL4021A Coordinate the erection and dismantling of temporary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C7D69" w:rsidP="000C6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2C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45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62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B1E"/>
    <w:pPr>
      <w:spacing w:before="360" w:after="60"/>
      <w:outlineLvl w:val="0"/>
    </w:pPr>
    <w:rPr>
      <w:sz w:val="32"/>
    </w:rPr>
  </w:style>
  <w:style w:type="paragraph" w:styleId="Heading2">
    <w:name w:val="heading 2"/>
    <w:basedOn w:val="HeadingBase"/>
    <w:next w:val="BodyText"/>
    <w:link w:val="Heading2Char"/>
    <w:qFormat/>
    <w:rsid w:val="000C6B1E"/>
    <w:pPr>
      <w:keepLines/>
      <w:spacing w:before="240" w:after="120"/>
      <w:outlineLvl w:val="1"/>
    </w:pPr>
    <w:rPr>
      <w:sz w:val="28"/>
      <w:szCs w:val="40"/>
    </w:rPr>
  </w:style>
  <w:style w:type="paragraph" w:styleId="Heading3">
    <w:name w:val="heading 3"/>
    <w:basedOn w:val="HeadingBase"/>
    <w:next w:val="BodyText"/>
    <w:link w:val="Heading3Char"/>
    <w:qFormat/>
    <w:rsid w:val="000C6B1E"/>
    <w:pPr>
      <w:spacing w:before="180" w:after="120"/>
      <w:outlineLvl w:val="2"/>
    </w:pPr>
    <w:rPr>
      <w:spacing w:val="-10"/>
      <w:kern w:val="32"/>
    </w:rPr>
  </w:style>
  <w:style w:type="paragraph" w:styleId="Heading4">
    <w:name w:val="heading 4"/>
    <w:basedOn w:val="HeadingBase"/>
    <w:next w:val="BodyText"/>
    <w:link w:val="Heading4Char"/>
    <w:qFormat/>
    <w:rsid w:val="000C6B1E"/>
    <w:pPr>
      <w:spacing w:before="160" w:after="120"/>
      <w:outlineLvl w:val="3"/>
    </w:pPr>
    <w:rPr>
      <w:sz w:val="22"/>
    </w:rPr>
  </w:style>
  <w:style w:type="paragraph" w:styleId="Heading5">
    <w:name w:val="heading 5"/>
    <w:basedOn w:val="HeadingBase"/>
    <w:next w:val="Normal"/>
    <w:link w:val="Heading5Char"/>
    <w:qFormat/>
    <w:rsid w:val="000C6B1E"/>
    <w:pPr>
      <w:spacing w:before="80"/>
      <w:outlineLvl w:val="4"/>
    </w:pPr>
    <w:rPr>
      <w:color w:val="918585"/>
      <w:sz w:val="20"/>
    </w:rPr>
  </w:style>
  <w:style w:type="paragraph" w:styleId="Heading6">
    <w:name w:val="heading 6"/>
    <w:basedOn w:val="HeadingBase"/>
    <w:next w:val="Normal"/>
    <w:link w:val="Heading6Char"/>
    <w:qFormat/>
    <w:rsid w:val="000C6B1E"/>
    <w:pPr>
      <w:spacing w:before="60"/>
      <w:outlineLvl w:val="5"/>
    </w:pPr>
    <w:rPr>
      <w:color w:val="918585"/>
      <w:sz w:val="20"/>
    </w:rPr>
  </w:style>
  <w:style w:type="paragraph" w:styleId="Heading7">
    <w:name w:val="heading 7"/>
    <w:basedOn w:val="Normal"/>
    <w:next w:val="Normal"/>
    <w:link w:val="Heading7Char"/>
    <w:qFormat/>
    <w:rsid w:val="000C6B1E"/>
    <w:pPr>
      <w:ind w:left="720"/>
      <w:outlineLvl w:val="6"/>
    </w:pPr>
    <w:rPr>
      <w:i/>
    </w:rPr>
  </w:style>
  <w:style w:type="paragraph" w:styleId="Heading8">
    <w:name w:val="heading 8"/>
    <w:basedOn w:val="Normal"/>
    <w:next w:val="Normal"/>
    <w:link w:val="Heading8Char"/>
    <w:qFormat/>
    <w:rsid w:val="000C6B1E"/>
    <w:pPr>
      <w:ind w:left="720"/>
      <w:outlineLvl w:val="7"/>
    </w:pPr>
    <w:rPr>
      <w:i/>
    </w:rPr>
  </w:style>
  <w:style w:type="paragraph" w:styleId="Heading9">
    <w:name w:val="heading 9"/>
    <w:basedOn w:val="Normal"/>
    <w:next w:val="Normal"/>
    <w:link w:val="Heading9Char"/>
    <w:qFormat/>
    <w:rsid w:val="000C6B1E"/>
    <w:pPr>
      <w:ind w:left="720"/>
      <w:outlineLvl w:val="8"/>
    </w:pPr>
    <w:rPr>
      <w:i/>
    </w:rPr>
  </w:style>
  <w:style w:type="character" w:default="1" w:styleId="DefaultParagraphFont">
    <w:name w:val="Default Paragraph Font"/>
    <w:uiPriority w:val="1"/>
    <w:unhideWhenUsed/>
    <w:rsid w:val="000C6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B1E"/>
  </w:style>
  <w:style w:type="character" w:customStyle="1" w:styleId="Heading1Char">
    <w:name w:val="Heading 1 Char"/>
    <w:basedOn w:val="DefaultParagraphFont"/>
    <w:link w:val="Heading1"/>
    <w:rsid w:val="000C6B1E"/>
    <w:rPr>
      <w:rFonts w:ascii="Times New Roman" w:eastAsia="Times New Roman" w:hAnsi="Times New Roman" w:cs="Times New Roman"/>
      <w:b/>
      <w:sz w:val="32"/>
      <w:szCs w:val="20"/>
      <w:lang w:eastAsia="en-US"/>
    </w:rPr>
  </w:style>
  <w:style w:type="paragraph" w:styleId="BodyText">
    <w:name w:val="Body Text"/>
    <w:basedOn w:val="Normal"/>
    <w:link w:val="BodyTextChar"/>
    <w:rsid w:val="000C6B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B1E"/>
    <w:rPr>
      <w:rFonts w:ascii="Times New Roman" w:eastAsia="Times New Roman" w:hAnsi="Times New Roman" w:cs="Times New Roman"/>
      <w:sz w:val="24"/>
      <w:lang w:eastAsia="en-US"/>
    </w:rPr>
  </w:style>
  <w:style w:type="paragraph" w:styleId="Footer">
    <w:name w:val="footer"/>
    <w:basedOn w:val="Normal"/>
    <w:link w:val="FooterChar"/>
    <w:rsid w:val="000C6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B1E"/>
    <w:rPr>
      <w:rFonts w:ascii="Times New Roman" w:eastAsia="Times New Roman" w:hAnsi="Times New Roman" w:cs="Times New Roman"/>
      <w:sz w:val="16"/>
      <w:lang w:eastAsia="en-US"/>
    </w:rPr>
  </w:style>
  <w:style w:type="paragraph" w:styleId="List">
    <w:name w:val="List"/>
    <w:basedOn w:val="BodyText"/>
    <w:next w:val="BodyText"/>
    <w:rsid w:val="000C6B1E"/>
    <w:pPr>
      <w:tabs>
        <w:tab w:val="left" w:pos="340"/>
      </w:tabs>
      <w:spacing w:before="60" w:after="60"/>
      <w:ind w:left="340" w:hanging="340"/>
    </w:pPr>
  </w:style>
  <w:style w:type="paragraph" w:styleId="ListBullet">
    <w:name w:val="List Bullet"/>
    <w:basedOn w:val="List"/>
    <w:rsid w:val="000C6B1E"/>
    <w:pPr>
      <w:numPr>
        <w:numId w:val="13"/>
      </w:numPr>
      <w:tabs>
        <w:tab w:val="clear" w:pos="340"/>
      </w:tabs>
      <w:spacing w:before="40" w:after="40"/>
    </w:pPr>
  </w:style>
  <w:style w:type="character" w:customStyle="1" w:styleId="SpecialBold">
    <w:name w:val="Special Bold"/>
    <w:basedOn w:val="DefaultParagraphFont"/>
    <w:rsid w:val="000C6B1E"/>
    <w:rPr>
      <w:b/>
      <w:spacing w:val="0"/>
    </w:rPr>
  </w:style>
  <w:style w:type="paragraph" w:styleId="ListBullet2">
    <w:name w:val="List Bullet 2"/>
    <w:basedOn w:val="List2"/>
    <w:rsid w:val="000C6B1E"/>
    <w:pPr>
      <w:numPr>
        <w:numId w:val="14"/>
      </w:numPr>
      <w:tabs>
        <w:tab w:val="clear" w:pos="680"/>
      </w:tabs>
    </w:pPr>
  </w:style>
  <w:style w:type="paragraph" w:customStyle="1" w:styleId="SuperHeading">
    <w:name w:val="SuperHeading"/>
    <w:basedOn w:val="Normal"/>
    <w:rsid w:val="000C6B1E"/>
    <w:pPr>
      <w:spacing w:before="240" w:after="120"/>
      <w:outlineLvl w:val="0"/>
    </w:pPr>
    <w:rPr>
      <w:rFonts w:ascii="Times New Roman" w:hAnsi="Times New Roman"/>
      <w:b/>
      <w:sz w:val="28"/>
    </w:rPr>
  </w:style>
  <w:style w:type="paragraph" w:customStyle="1" w:styleId="AllowPageBreak">
    <w:name w:val="AllowPageBreak"/>
    <w:rsid w:val="000C6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B1E"/>
    <w:rPr>
      <w:rFonts w:ascii="Courier New" w:eastAsia="Times New Roman" w:hAnsi="Courier New" w:cs="Times New Roman"/>
      <w:i/>
      <w:szCs w:val="20"/>
      <w:lang w:eastAsia="en-US"/>
    </w:rPr>
  </w:style>
  <w:style w:type="paragraph" w:customStyle="1" w:styleId="HeadingBase">
    <w:name w:val="Heading Base"/>
    <w:rsid w:val="000C6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B1E"/>
    <w:pPr>
      <w:tabs>
        <w:tab w:val="right" w:leader="dot" w:pos="9072"/>
      </w:tabs>
      <w:ind w:left="567"/>
    </w:pPr>
    <w:rPr>
      <w:szCs w:val="22"/>
    </w:rPr>
  </w:style>
  <w:style w:type="paragraph" w:customStyle="1" w:styleId="TOCBase">
    <w:name w:val="TOC Base"/>
    <w:rsid w:val="000C6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B1E"/>
    <w:pPr>
      <w:tabs>
        <w:tab w:val="right" w:leader="dot" w:pos="9072"/>
      </w:tabs>
      <w:spacing w:before="40" w:after="40"/>
      <w:ind w:left="284"/>
    </w:pPr>
    <w:rPr>
      <w:rFonts w:ascii="Times New Roman" w:hAnsi="Times New Roman"/>
    </w:rPr>
  </w:style>
  <w:style w:type="paragraph" w:styleId="TOC1">
    <w:name w:val="toc 1"/>
    <w:basedOn w:val="TOCBase"/>
    <w:next w:val="Normal"/>
    <w:rsid w:val="000C6B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B1E"/>
    <w:pPr>
      <w:spacing w:before="5040"/>
      <w:jc w:val="center"/>
    </w:pPr>
    <w:rPr>
      <w:sz w:val="48"/>
      <w:szCs w:val="72"/>
      <w:lang w:val="en-US"/>
    </w:rPr>
  </w:style>
  <w:style w:type="character" w:customStyle="1" w:styleId="TitleChar">
    <w:name w:val="Title Char"/>
    <w:basedOn w:val="DefaultParagraphFont"/>
    <w:link w:val="Title"/>
    <w:rsid w:val="000C6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B1E"/>
    <w:pPr>
      <w:tabs>
        <w:tab w:val="left" w:pos="3600"/>
        <w:tab w:val="left" w:pos="3958"/>
      </w:tabs>
    </w:pPr>
  </w:style>
  <w:style w:type="paragraph" w:customStyle="1" w:styleId="Note">
    <w:name w:val="Note"/>
    <w:basedOn w:val="BodyText"/>
    <w:rsid w:val="000C6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B1E"/>
    <w:pPr>
      <w:framePr w:wrap="auto" w:hAnchor="text" w:y="6049"/>
    </w:pPr>
    <w:rPr>
      <w:color w:val="000000"/>
      <w:sz w:val="40"/>
    </w:rPr>
  </w:style>
  <w:style w:type="paragraph" w:customStyle="1" w:styleId="TOCTitle">
    <w:name w:val="TOCTitle"/>
    <w:basedOn w:val="Heading1"/>
    <w:rsid w:val="000C6B1E"/>
    <w:pPr>
      <w:spacing w:after="240"/>
      <w:jc w:val="center"/>
      <w:outlineLvl w:val="9"/>
    </w:pPr>
    <w:rPr>
      <w:caps/>
    </w:rPr>
  </w:style>
  <w:style w:type="paragraph" w:customStyle="1" w:styleId="Version">
    <w:name w:val="Version"/>
    <w:rsid w:val="000C6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B1E"/>
    <w:pPr>
      <w:keepNext w:val="0"/>
      <w:tabs>
        <w:tab w:val="right" w:pos="4176"/>
      </w:tabs>
      <w:ind w:left="198" w:hanging="198"/>
    </w:pPr>
    <w:rPr>
      <w:rFonts w:ascii="Garamond" w:hAnsi="Garamond"/>
    </w:rPr>
  </w:style>
  <w:style w:type="paragraph" w:styleId="IndexHeading">
    <w:name w:val="index heading"/>
    <w:basedOn w:val="Normal"/>
    <w:next w:val="Index1"/>
    <w:semiHidden/>
    <w:rsid w:val="000C6B1E"/>
    <w:pPr>
      <w:spacing w:before="120" w:after="120"/>
    </w:pPr>
    <w:rPr>
      <w:rFonts w:ascii="Arial" w:hAnsi="Arial"/>
      <w:b/>
      <w:color w:val="918585"/>
      <w:sz w:val="24"/>
    </w:rPr>
  </w:style>
  <w:style w:type="paragraph" w:styleId="Header">
    <w:name w:val="header"/>
    <w:basedOn w:val="Normal"/>
    <w:link w:val="HeaderChar"/>
    <w:rsid w:val="000C6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B1E"/>
    <w:rPr>
      <w:rFonts w:ascii="Times New Roman" w:eastAsia="Times New Roman" w:hAnsi="Times New Roman" w:cs="Times New Roman"/>
      <w:sz w:val="16"/>
      <w:szCs w:val="20"/>
      <w:lang w:val="en-GB" w:eastAsia="en-US"/>
    </w:rPr>
  </w:style>
  <w:style w:type="paragraph" w:customStyle="1" w:styleId="Chapter">
    <w:name w:val="Chapter"/>
    <w:basedOn w:val="Normal"/>
    <w:rsid w:val="000C6B1E"/>
    <w:pPr>
      <w:spacing w:before="240"/>
    </w:pPr>
    <w:rPr>
      <w:rFonts w:ascii="Times New Roman" w:hAnsi="Times New Roman"/>
      <w:smallCaps/>
      <w:spacing w:val="80"/>
      <w:sz w:val="28"/>
    </w:rPr>
  </w:style>
  <w:style w:type="paragraph" w:customStyle="1" w:styleId="InChapter">
    <w:name w:val="InChapter"/>
    <w:basedOn w:val="Heading3"/>
    <w:rsid w:val="000C6B1E"/>
    <w:pPr>
      <w:spacing w:after="240"/>
      <w:outlineLvl w:val="9"/>
    </w:pPr>
    <w:rPr>
      <w:noProof/>
    </w:rPr>
  </w:style>
  <w:style w:type="paragraph" w:styleId="Index2">
    <w:name w:val="index 2"/>
    <w:basedOn w:val="Normal"/>
    <w:next w:val="Normal"/>
    <w:semiHidden/>
    <w:rsid w:val="000C6B1E"/>
    <w:pPr>
      <w:tabs>
        <w:tab w:val="right" w:pos="4176"/>
      </w:tabs>
      <w:ind w:left="568" w:hanging="284"/>
    </w:pPr>
    <w:rPr>
      <w:rFonts w:ascii="Garamond" w:hAnsi="Garamond"/>
    </w:rPr>
  </w:style>
  <w:style w:type="paragraph" w:customStyle="1" w:styleId="Byline">
    <w:name w:val="Byline"/>
    <w:rsid w:val="000C6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B1E"/>
    <w:pPr>
      <w:tabs>
        <w:tab w:val="clear" w:pos="3600"/>
        <w:tab w:val="clear" w:pos="3958"/>
      </w:tabs>
      <w:jc w:val="right"/>
    </w:pPr>
  </w:style>
  <w:style w:type="character" w:styleId="Emphasis">
    <w:name w:val="Emphasis"/>
    <w:basedOn w:val="DefaultParagraphFont"/>
    <w:qFormat/>
    <w:rsid w:val="000C6B1E"/>
    <w:rPr>
      <w:i/>
    </w:rPr>
  </w:style>
  <w:style w:type="paragraph" w:styleId="Caption">
    <w:name w:val="caption"/>
    <w:basedOn w:val="BodyText"/>
    <w:next w:val="Normal"/>
    <w:qFormat/>
    <w:rsid w:val="000C6B1E"/>
    <w:pPr>
      <w:framePr w:w="2268" w:hSpace="181" w:vSpace="181" w:wrap="around" w:vAnchor="text" w:hAnchor="page" w:x="1135" w:y="285" w:anchorLock="1"/>
    </w:pPr>
    <w:rPr>
      <w:i/>
    </w:rPr>
  </w:style>
  <w:style w:type="paragraph" w:customStyle="1" w:styleId="MiniTOCTitle">
    <w:name w:val="MiniTOCTitle"/>
    <w:basedOn w:val="Heading4"/>
    <w:rsid w:val="000C6B1E"/>
    <w:pPr>
      <w:spacing w:before="240"/>
      <w:outlineLvl w:val="9"/>
    </w:pPr>
    <w:rPr>
      <w:noProof/>
      <w:sz w:val="24"/>
    </w:rPr>
  </w:style>
  <w:style w:type="paragraph" w:customStyle="1" w:styleId="MiniTOCItem">
    <w:name w:val="MiniTOCItem"/>
    <w:basedOn w:val="ListBullet"/>
    <w:rsid w:val="000C6B1E"/>
    <w:pPr>
      <w:numPr>
        <w:numId w:val="0"/>
      </w:numPr>
      <w:tabs>
        <w:tab w:val="right" w:leader="dot" w:pos="6521"/>
      </w:tabs>
      <w:spacing w:before="0" w:after="0"/>
    </w:pPr>
  </w:style>
  <w:style w:type="paragraph" w:customStyle="1" w:styleId="TOFTitle">
    <w:name w:val="TOFTitle"/>
    <w:basedOn w:val="TOCTitle"/>
    <w:rsid w:val="000C6B1E"/>
  </w:style>
  <w:style w:type="paragraph" w:styleId="TableofFigures">
    <w:name w:val="table of figures"/>
    <w:basedOn w:val="Normal"/>
    <w:next w:val="Normal"/>
    <w:semiHidden/>
    <w:rsid w:val="000C6B1E"/>
    <w:pPr>
      <w:tabs>
        <w:tab w:val="right" w:leader="dot" w:pos="9072"/>
      </w:tabs>
      <w:ind w:left="970" w:hanging="403"/>
    </w:pPr>
    <w:rPr>
      <w:rFonts w:ascii="Times New Roman" w:hAnsi="Times New Roman"/>
      <w:b/>
    </w:rPr>
  </w:style>
  <w:style w:type="paragraph" w:styleId="ListNumber">
    <w:name w:val="List Number"/>
    <w:basedOn w:val="List"/>
    <w:rsid w:val="000C6B1E"/>
    <w:pPr>
      <w:numPr>
        <w:numId w:val="11"/>
      </w:numPr>
    </w:pPr>
  </w:style>
  <w:style w:type="character" w:customStyle="1" w:styleId="WingdingSymbols">
    <w:name w:val="Wingding Symbols"/>
    <w:rsid w:val="000C6B1E"/>
    <w:rPr>
      <w:rFonts w:ascii="Wingdings" w:hAnsi="Wingdings"/>
    </w:rPr>
  </w:style>
  <w:style w:type="paragraph" w:customStyle="1" w:styleId="TableHeading">
    <w:name w:val="Table Heading"/>
    <w:basedOn w:val="HeadingBase"/>
    <w:rsid w:val="000C6B1E"/>
    <w:pPr>
      <w:keepLines/>
      <w:pBdr>
        <w:bottom w:val="single" w:sz="6" w:space="1" w:color="918585"/>
      </w:pBdr>
      <w:spacing w:before="240"/>
    </w:pPr>
  </w:style>
  <w:style w:type="character" w:customStyle="1" w:styleId="HotSpot">
    <w:name w:val="HotSpot"/>
    <w:rsid w:val="000C6B1E"/>
    <w:rPr>
      <w:color w:val="0033CC"/>
      <w:u w:val="none"/>
    </w:rPr>
  </w:style>
  <w:style w:type="paragraph" w:customStyle="1" w:styleId="BodyTextRight">
    <w:name w:val="Body Text Right"/>
    <w:basedOn w:val="BodyText"/>
    <w:rsid w:val="000C6B1E"/>
    <w:pPr>
      <w:spacing w:before="0" w:after="0"/>
      <w:jc w:val="right"/>
    </w:pPr>
  </w:style>
  <w:style w:type="paragraph" w:styleId="Index3">
    <w:name w:val="index 3"/>
    <w:basedOn w:val="ListNumber2"/>
    <w:next w:val="Normal"/>
    <w:semiHidden/>
    <w:rsid w:val="000C6B1E"/>
    <w:pPr>
      <w:numPr>
        <w:numId w:val="0"/>
      </w:numPr>
      <w:tabs>
        <w:tab w:val="right" w:leader="dot" w:pos="4176"/>
      </w:tabs>
    </w:pPr>
  </w:style>
  <w:style w:type="paragraph" w:styleId="ListNumber2">
    <w:name w:val="List Number 2"/>
    <w:basedOn w:val="List2"/>
    <w:rsid w:val="000C6B1E"/>
    <w:pPr>
      <w:numPr>
        <w:numId w:val="10"/>
      </w:numPr>
      <w:tabs>
        <w:tab w:val="clear" w:pos="1060"/>
      </w:tabs>
    </w:pPr>
  </w:style>
  <w:style w:type="paragraph" w:customStyle="1" w:styleId="MarginNote">
    <w:name w:val="Margin Note"/>
    <w:basedOn w:val="BodyText"/>
    <w:rsid w:val="000C6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B1E"/>
    <w:rPr>
      <w:sz w:val="32"/>
    </w:rPr>
  </w:style>
  <w:style w:type="paragraph" w:customStyle="1" w:styleId="HeadingProcedure">
    <w:name w:val="Heading Procedure"/>
    <w:basedOn w:val="HeadingBase"/>
    <w:next w:val="Normal"/>
    <w:rsid w:val="000C6B1E"/>
    <w:pPr>
      <w:tabs>
        <w:tab w:val="left" w:pos="0"/>
      </w:tabs>
      <w:spacing w:before="120" w:after="60"/>
    </w:pPr>
    <w:rPr>
      <w:i/>
      <w:color w:val="918585"/>
      <w:sz w:val="22"/>
    </w:rPr>
  </w:style>
  <w:style w:type="paragraph" w:customStyle="1" w:styleId="TableBodyText">
    <w:name w:val="Table Body Text"/>
    <w:basedOn w:val="BodyText"/>
    <w:rsid w:val="000C6B1E"/>
    <w:pPr>
      <w:spacing w:before="60" w:after="60"/>
    </w:pPr>
  </w:style>
  <w:style w:type="paragraph" w:styleId="ListContinue">
    <w:name w:val="List Continue"/>
    <w:basedOn w:val="List"/>
    <w:rsid w:val="000C6B1E"/>
    <w:pPr>
      <w:ind w:firstLine="0"/>
    </w:pPr>
  </w:style>
  <w:style w:type="paragraph" w:customStyle="1" w:styleId="ListNote">
    <w:name w:val="List Note"/>
    <w:basedOn w:val="List"/>
    <w:rsid w:val="000C6B1E"/>
    <w:pPr>
      <w:pBdr>
        <w:top w:val="single" w:sz="6" w:space="2" w:color="918585"/>
        <w:bottom w:val="single" w:sz="6" w:space="2" w:color="918585"/>
      </w:pBdr>
      <w:tabs>
        <w:tab w:val="left" w:pos="1021"/>
      </w:tabs>
      <w:ind w:firstLine="0"/>
    </w:pPr>
  </w:style>
  <w:style w:type="paragraph" w:customStyle="1" w:styleId="Warning">
    <w:name w:val="Warning"/>
    <w:basedOn w:val="BodyText"/>
    <w:rsid w:val="000C6B1E"/>
    <w:pPr>
      <w:shd w:val="clear" w:color="auto" w:fill="D9D9D9"/>
      <w:tabs>
        <w:tab w:val="left" w:pos="992"/>
      </w:tabs>
      <w:ind w:left="119" w:right="119"/>
    </w:pPr>
    <w:rPr>
      <w:sz w:val="20"/>
    </w:rPr>
  </w:style>
  <w:style w:type="paragraph" w:customStyle="1" w:styleId="MarginIcons">
    <w:name w:val="Margin Icons"/>
    <w:basedOn w:val="BodyText"/>
    <w:rsid w:val="000C6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B1E"/>
    <w:rPr>
      <w:rFonts w:ascii="Courier New" w:hAnsi="Courier New"/>
    </w:rPr>
  </w:style>
  <w:style w:type="paragraph" w:customStyle="1" w:styleId="NoteBullet">
    <w:name w:val="Note Bullet"/>
    <w:basedOn w:val="Note"/>
    <w:rsid w:val="000C6B1E"/>
    <w:pPr>
      <w:tabs>
        <w:tab w:val="clear" w:pos="680"/>
      </w:tabs>
      <w:spacing w:before="60" w:after="60"/>
    </w:pPr>
  </w:style>
  <w:style w:type="paragraph" w:customStyle="1" w:styleId="SubHeading2">
    <w:name w:val="SubHeading2"/>
    <w:basedOn w:val="HeadingBase"/>
    <w:rsid w:val="000C6B1E"/>
    <w:pPr>
      <w:spacing w:before="240" w:after="60"/>
    </w:pPr>
    <w:rPr>
      <w:sz w:val="20"/>
    </w:rPr>
  </w:style>
  <w:style w:type="paragraph" w:customStyle="1" w:styleId="SubHeading1">
    <w:name w:val="SubHeading1"/>
    <w:basedOn w:val="HeadingBase"/>
    <w:rsid w:val="000C6B1E"/>
    <w:pPr>
      <w:spacing w:before="240" w:after="60"/>
    </w:pPr>
    <w:rPr>
      <w:color w:val="918585"/>
      <w:sz w:val="22"/>
    </w:rPr>
  </w:style>
  <w:style w:type="paragraph" w:customStyle="1" w:styleId="SideHeading">
    <w:name w:val="Side Heading"/>
    <w:basedOn w:val="HeadingBase"/>
    <w:rsid w:val="000C6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B1E"/>
    <w:pPr>
      <w:numPr>
        <w:numId w:val="12"/>
      </w:numPr>
    </w:pPr>
  </w:style>
  <w:style w:type="paragraph" w:styleId="PlainText">
    <w:name w:val="Plain Text"/>
    <w:basedOn w:val="Normal"/>
    <w:link w:val="PlainTextChar"/>
    <w:rsid w:val="000C6B1E"/>
    <w:rPr>
      <w:sz w:val="20"/>
    </w:rPr>
  </w:style>
  <w:style w:type="character" w:customStyle="1" w:styleId="PlainTextChar">
    <w:name w:val="Plain Text Char"/>
    <w:basedOn w:val="DefaultParagraphFont"/>
    <w:link w:val="PlainText"/>
    <w:rsid w:val="000C6B1E"/>
    <w:rPr>
      <w:rFonts w:ascii="Courier New" w:eastAsia="Times New Roman" w:hAnsi="Courier New" w:cs="Times New Roman"/>
      <w:sz w:val="20"/>
      <w:szCs w:val="20"/>
      <w:lang w:eastAsia="en-US"/>
    </w:rPr>
  </w:style>
  <w:style w:type="character" w:customStyle="1" w:styleId="MenuOption">
    <w:name w:val="Menu Option"/>
    <w:basedOn w:val="DefaultParagraphFont"/>
    <w:rsid w:val="000C6B1E"/>
    <w:rPr>
      <w:b/>
      <w:smallCaps/>
    </w:rPr>
  </w:style>
  <w:style w:type="paragraph" w:customStyle="1" w:styleId="TableListNumber">
    <w:name w:val="Table List Number"/>
    <w:basedOn w:val="ListNumber"/>
    <w:rsid w:val="000C6B1E"/>
    <w:pPr>
      <w:numPr>
        <w:numId w:val="0"/>
      </w:numPr>
    </w:pPr>
  </w:style>
  <w:style w:type="paragraph" w:styleId="TOC4">
    <w:name w:val="toc 4"/>
    <w:basedOn w:val="TOCBase"/>
    <w:next w:val="Normal"/>
    <w:semiHidden/>
    <w:rsid w:val="000C6B1E"/>
    <w:pPr>
      <w:tabs>
        <w:tab w:val="right" w:leader="dot" w:pos="9071"/>
      </w:tabs>
      <w:ind w:left="1701"/>
    </w:pPr>
  </w:style>
  <w:style w:type="paragraph" w:customStyle="1" w:styleId="ListAlpha">
    <w:name w:val="List Alpha"/>
    <w:basedOn w:val="List"/>
    <w:rsid w:val="000C6B1E"/>
    <w:pPr>
      <w:numPr>
        <w:numId w:val="9"/>
      </w:numPr>
    </w:pPr>
  </w:style>
  <w:style w:type="paragraph" w:customStyle="1" w:styleId="ListAlpha2">
    <w:name w:val="List Alpha 2"/>
    <w:basedOn w:val="List2"/>
    <w:rsid w:val="000C6B1E"/>
    <w:pPr>
      <w:numPr>
        <w:numId w:val="8"/>
      </w:numPr>
    </w:pPr>
  </w:style>
  <w:style w:type="paragraph" w:styleId="List2">
    <w:name w:val="List 2"/>
    <w:basedOn w:val="BodyText"/>
    <w:rsid w:val="000C6B1E"/>
    <w:pPr>
      <w:tabs>
        <w:tab w:val="left" w:pos="680"/>
      </w:tabs>
      <w:spacing w:before="60" w:after="60"/>
      <w:ind w:left="680" w:hanging="340"/>
    </w:pPr>
  </w:style>
  <w:style w:type="paragraph" w:styleId="List3">
    <w:name w:val="List 3"/>
    <w:basedOn w:val="BodyText"/>
    <w:rsid w:val="000C6B1E"/>
    <w:pPr>
      <w:tabs>
        <w:tab w:val="left" w:pos="1021"/>
      </w:tabs>
      <w:spacing w:before="60" w:after="60"/>
      <w:ind w:left="1020" w:hanging="340"/>
    </w:pPr>
  </w:style>
  <w:style w:type="paragraph" w:styleId="List4">
    <w:name w:val="List 4"/>
    <w:basedOn w:val="BodyText"/>
    <w:rsid w:val="000C6B1E"/>
    <w:pPr>
      <w:tabs>
        <w:tab w:val="left" w:pos="1361"/>
      </w:tabs>
      <w:spacing w:before="60" w:after="60"/>
      <w:ind w:left="1361" w:hanging="340"/>
    </w:pPr>
  </w:style>
  <w:style w:type="paragraph" w:styleId="List5">
    <w:name w:val="List 5"/>
    <w:basedOn w:val="BodyText"/>
    <w:rsid w:val="000C6B1E"/>
    <w:pPr>
      <w:tabs>
        <w:tab w:val="left" w:pos="1701"/>
      </w:tabs>
      <w:spacing w:before="60" w:after="60"/>
      <w:ind w:left="1701" w:hanging="340"/>
    </w:pPr>
  </w:style>
  <w:style w:type="paragraph" w:styleId="ListBullet3">
    <w:name w:val="List Bullet 3"/>
    <w:basedOn w:val="List3"/>
    <w:rsid w:val="000C6B1E"/>
    <w:pPr>
      <w:numPr>
        <w:numId w:val="15"/>
      </w:numPr>
      <w:tabs>
        <w:tab w:val="clear" w:pos="1021"/>
      </w:tabs>
      <w:ind w:left="1037" w:hanging="357"/>
    </w:pPr>
  </w:style>
  <w:style w:type="paragraph" w:styleId="ListBullet4">
    <w:name w:val="List Bullet 4"/>
    <w:basedOn w:val="List4"/>
    <w:rsid w:val="000C6B1E"/>
    <w:pPr>
      <w:numPr>
        <w:numId w:val="3"/>
      </w:numPr>
    </w:pPr>
  </w:style>
  <w:style w:type="paragraph" w:styleId="ListBullet5">
    <w:name w:val="List Bullet 5"/>
    <w:basedOn w:val="List5"/>
    <w:rsid w:val="000C6B1E"/>
    <w:pPr>
      <w:numPr>
        <w:numId w:val="4"/>
      </w:numPr>
    </w:pPr>
  </w:style>
  <w:style w:type="paragraph" w:styleId="ListContinue2">
    <w:name w:val="List Continue 2"/>
    <w:basedOn w:val="List2"/>
    <w:rsid w:val="000C6B1E"/>
    <w:pPr>
      <w:ind w:firstLine="0"/>
    </w:pPr>
  </w:style>
  <w:style w:type="paragraph" w:styleId="ListContinue3">
    <w:name w:val="List Continue 3"/>
    <w:basedOn w:val="List3"/>
    <w:rsid w:val="000C6B1E"/>
    <w:pPr>
      <w:ind w:left="1021" w:firstLine="0"/>
    </w:pPr>
  </w:style>
  <w:style w:type="paragraph" w:styleId="ListContinue4">
    <w:name w:val="List Continue 4"/>
    <w:basedOn w:val="List4"/>
    <w:rsid w:val="000C6B1E"/>
    <w:pPr>
      <w:ind w:firstLine="0"/>
    </w:pPr>
  </w:style>
  <w:style w:type="paragraph" w:styleId="ListContinue5">
    <w:name w:val="List Continue 5"/>
    <w:basedOn w:val="List5"/>
    <w:rsid w:val="000C6B1E"/>
    <w:pPr>
      <w:ind w:firstLine="0"/>
    </w:pPr>
  </w:style>
  <w:style w:type="paragraph" w:styleId="ListNumber3">
    <w:name w:val="List Number 3"/>
    <w:basedOn w:val="List3"/>
    <w:rsid w:val="000C6B1E"/>
    <w:pPr>
      <w:numPr>
        <w:numId w:val="5"/>
      </w:numPr>
    </w:pPr>
  </w:style>
  <w:style w:type="paragraph" w:styleId="ListNumber4">
    <w:name w:val="List Number 4"/>
    <w:basedOn w:val="List4"/>
    <w:rsid w:val="000C6B1E"/>
    <w:pPr>
      <w:numPr>
        <w:numId w:val="6"/>
      </w:numPr>
    </w:pPr>
  </w:style>
  <w:style w:type="paragraph" w:styleId="ListNumber5">
    <w:name w:val="List Number 5"/>
    <w:basedOn w:val="List5"/>
    <w:rsid w:val="000C6B1E"/>
    <w:pPr>
      <w:numPr>
        <w:numId w:val="7"/>
      </w:numPr>
    </w:pPr>
  </w:style>
  <w:style w:type="paragraph" w:styleId="BlockText">
    <w:name w:val="Block Text"/>
    <w:basedOn w:val="Normal"/>
    <w:rsid w:val="000C6B1E"/>
    <w:pPr>
      <w:spacing w:after="120"/>
      <w:ind w:left="1440" w:right="1440"/>
    </w:pPr>
  </w:style>
  <w:style w:type="character" w:customStyle="1" w:styleId="Subscript">
    <w:name w:val="Subscript"/>
    <w:basedOn w:val="DefaultParagraphFont"/>
    <w:rsid w:val="000C6B1E"/>
    <w:rPr>
      <w:sz w:val="16"/>
      <w:vertAlign w:val="subscript"/>
    </w:rPr>
  </w:style>
  <w:style w:type="character" w:customStyle="1" w:styleId="Superscript">
    <w:name w:val="Superscript"/>
    <w:basedOn w:val="DefaultParagraphFont"/>
    <w:rsid w:val="000C6B1E"/>
    <w:rPr>
      <w:sz w:val="16"/>
      <w:vertAlign w:val="superscript"/>
    </w:rPr>
  </w:style>
  <w:style w:type="character" w:customStyle="1" w:styleId="Symbols">
    <w:name w:val="Symbols"/>
    <w:basedOn w:val="DefaultParagraphFont"/>
    <w:rsid w:val="000C6B1E"/>
    <w:rPr>
      <w:rFonts w:ascii="Symbol" w:hAnsi="Symbol"/>
    </w:rPr>
  </w:style>
  <w:style w:type="character" w:customStyle="1" w:styleId="MenuOptions">
    <w:name w:val="Menu Options"/>
    <w:basedOn w:val="DefaultParagraphFont"/>
    <w:rsid w:val="000C6B1E"/>
    <w:rPr>
      <w:rFonts w:ascii="Arial Narrow" w:hAnsi="Arial Narrow"/>
      <w:smallCaps/>
    </w:rPr>
  </w:style>
  <w:style w:type="character" w:customStyle="1" w:styleId="Buttons">
    <w:name w:val="Buttons"/>
    <w:basedOn w:val="DefaultParagraphFont"/>
    <w:rsid w:val="000C6B1E"/>
    <w:rPr>
      <w:b/>
    </w:rPr>
  </w:style>
  <w:style w:type="character" w:customStyle="1" w:styleId="Underlined">
    <w:name w:val="Underlined"/>
    <w:basedOn w:val="DefaultParagraphFont"/>
    <w:rsid w:val="000C6B1E"/>
    <w:rPr>
      <w:u w:val="single"/>
    </w:rPr>
  </w:style>
  <w:style w:type="paragraph" w:customStyle="1" w:styleId="TableBodyTextRight">
    <w:name w:val="Table Body Text Right"/>
    <w:basedOn w:val="TableBodyText"/>
    <w:rsid w:val="000C6B1E"/>
    <w:pPr>
      <w:widowControl w:val="0"/>
      <w:autoSpaceDE w:val="0"/>
      <w:autoSpaceDN w:val="0"/>
      <w:adjustRightInd w:val="0"/>
      <w:jc w:val="right"/>
    </w:pPr>
    <w:rPr>
      <w:rFonts w:cs="Arial"/>
      <w:szCs w:val="18"/>
    </w:rPr>
  </w:style>
  <w:style w:type="paragraph" w:customStyle="1" w:styleId="CopyrightText">
    <w:name w:val="Copyright Text"/>
    <w:basedOn w:val="BodyText"/>
    <w:rsid w:val="000C6B1E"/>
    <w:rPr>
      <w:sz w:val="18"/>
    </w:rPr>
  </w:style>
  <w:style w:type="paragraph" w:customStyle="1" w:styleId="BodySmallRight">
    <w:name w:val="Body Small Right"/>
    <w:basedOn w:val="BodyTextRight"/>
    <w:rsid w:val="000C6B1E"/>
    <w:rPr>
      <w:sz w:val="18"/>
      <w:szCs w:val="18"/>
    </w:rPr>
  </w:style>
  <w:style w:type="paragraph" w:customStyle="1" w:styleId="MarginEdition">
    <w:name w:val="Margin Edition"/>
    <w:basedOn w:val="MarginNote"/>
    <w:rsid w:val="000C6B1E"/>
    <w:pPr>
      <w:spacing w:before="0" w:after="0"/>
    </w:pPr>
    <w:rPr>
      <w:rFonts w:ascii="Times New Roman" w:hAnsi="Times New Roman"/>
      <w:color w:val="999999"/>
    </w:rPr>
  </w:style>
  <w:style w:type="paragraph" w:customStyle="1" w:styleId="Spacer">
    <w:name w:val="Spacer"/>
    <w:basedOn w:val="Normal"/>
    <w:rsid w:val="000C6B1E"/>
    <w:rPr>
      <w:sz w:val="2"/>
      <w:szCs w:val="2"/>
    </w:rPr>
  </w:style>
  <w:style w:type="character" w:customStyle="1" w:styleId="Small">
    <w:name w:val="Small"/>
    <w:basedOn w:val="DefaultParagraphFont"/>
    <w:rsid w:val="000C6B1E"/>
    <w:rPr>
      <w:sz w:val="16"/>
    </w:rPr>
  </w:style>
  <w:style w:type="paragraph" w:customStyle="1" w:styleId="WideTable">
    <w:name w:val="Wide Table"/>
    <w:basedOn w:val="Normal"/>
    <w:rsid w:val="000C6B1E"/>
    <w:pPr>
      <w:ind w:left="-1418"/>
    </w:pPr>
    <w:rPr>
      <w:sz w:val="2"/>
      <w:szCs w:val="2"/>
    </w:rPr>
  </w:style>
  <w:style w:type="character" w:styleId="PageNumber">
    <w:name w:val="page number"/>
    <w:basedOn w:val="DefaultParagraphFont"/>
    <w:rsid w:val="000C6B1E"/>
  </w:style>
  <w:style w:type="paragraph" w:styleId="Quote">
    <w:name w:val="Quote"/>
    <w:basedOn w:val="Heading1"/>
    <w:link w:val="QuoteChar"/>
    <w:qFormat/>
    <w:rsid w:val="000C6B1E"/>
    <w:rPr>
      <w:b w:val="0"/>
      <w:sz w:val="72"/>
      <w:szCs w:val="72"/>
      <w:lang w:val="en-NZ"/>
    </w:rPr>
  </w:style>
  <w:style w:type="character" w:customStyle="1" w:styleId="QuoteChar">
    <w:name w:val="Quote Char"/>
    <w:basedOn w:val="DefaultParagraphFont"/>
    <w:link w:val="Quote"/>
    <w:rsid w:val="000C6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B1E"/>
    <w:pPr>
      <w:pageBreakBefore/>
    </w:pPr>
  </w:style>
  <w:style w:type="paragraph" w:customStyle="1" w:styleId="Border">
    <w:name w:val="Border"/>
    <w:basedOn w:val="Normal"/>
    <w:qFormat/>
    <w:rsid w:val="000C6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B1E"/>
    <w:rPr>
      <w:b/>
      <w:bCs/>
      <w:i/>
      <w:iCs/>
      <w:color w:val="auto"/>
    </w:rPr>
  </w:style>
  <w:style w:type="paragraph" w:styleId="IntenseQuote">
    <w:name w:val="Intense Quote"/>
    <w:basedOn w:val="Normal"/>
    <w:next w:val="Normal"/>
    <w:link w:val="IntenseQuoteChar"/>
    <w:uiPriority w:val="30"/>
    <w:qFormat/>
    <w:rsid w:val="000C6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B1E"/>
    <w:rPr>
      <w:smallCaps/>
      <w:color w:val="auto"/>
      <w:u w:val="single"/>
    </w:rPr>
  </w:style>
  <w:style w:type="character" w:styleId="IntenseReference">
    <w:name w:val="Intense Reference"/>
    <w:basedOn w:val="DefaultParagraphFont"/>
    <w:uiPriority w:val="32"/>
    <w:qFormat/>
    <w:rsid w:val="000C6B1E"/>
    <w:rPr>
      <w:b/>
      <w:bCs/>
      <w:smallCaps/>
      <w:color w:val="auto"/>
      <w:spacing w:val="5"/>
      <w:u w:val="single"/>
    </w:rPr>
  </w:style>
  <w:style w:type="paragraph" w:customStyle="1" w:styleId="2ColumnHeading">
    <w:name w:val="2Column Heading"/>
    <w:basedOn w:val="BodyText"/>
    <w:qFormat/>
    <w:rsid w:val="000C6B1E"/>
    <w:pPr>
      <w:spacing w:after="60"/>
      <w:ind w:left="-2268"/>
    </w:pPr>
    <w:rPr>
      <w:b/>
    </w:rPr>
  </w:style>
  <w:style w:type="paragraph" w:customStyle="1" w:styleId="Heading1TOC">
    <w:name w:val="Heading1 TOC"/>
    <w:basedOn w:val="Normal"/>
    <w:qFormat/>
    <w:rsid w:val="000C6B1E"/>
    <w:pPr>
      <w:spacing w:before="240" w:after="120"/>
    </w:pPr>
    <w:rPr>
      <w:rFonts w:ascii="Times New Roman" w:hAnsi="Times New Roman"/>
      <w:b/>
      <w:sz w:val="32"/>
    </w:rPr>
  </w:style>
  <w:style w:type="paragraph" w:customStyle="1" w:styleId="Heading2TOC">
    <w:name w:val="Heading2 TOC"/>
    <w:basedOn w:val="Normal"/>
    <w:qFormat/>
    <w:rsid w:val="000C6B1E"/>
    <w:pPr>
      <w:spacing w:before="240" w:after="60"/>
    </w:pPr>
    <w:rPr>
      <w:rFonts w:ascii="Times New Roman" w:hAnsi="Times New Roman"/>
      <w:b/>
      <w:sz w:val="28"/>
    </w:rPr>
  </w:style>
  <w:style w:type="character" w:customStyle="1" w:styleId="Underline">
    <w:name w:val="Underline"/>
    <w:basedOn w:val="DefaultParagraphFont"/>
    <w:qFormat/>
    <w:rsid w:val="000C6B1E"/>
    <w:rPr>
      <w:u w:val="single"/>
    </w:rPr>
  </w:style>
  <w:style w:type="character" w:customStyle="1" w:styleId="BoldandItalics">
    <w:name w:val="Bold and Italics"/>
    <w:qFormat/>
    <w:rsid w:val="000C6B1E"/>
    <w:rPr>
      <w:b/>
      <w:i/>
      <w:u w:val="none"/>
    </w:rPr>
  </w:style>
  <w:style w:type="paragraph" w:styleId="BalloonText">
    <w:name w:val="Balloon Text"/>
    <w:basedOn w:val="Normal"/>
    <w:link w:val="BalloonTextChar"/>
    <w:rsid w:val="000C6B1E"/>
    <w:rPr>
      <w:rFonts w:ascii="Tahoma" w:hAnsi="Tahoma" w:cs="Tahoma"/>
      <w:sz w:val="16"/>
      <w:szCs w:val="16"/>
    </w:rPr>
  </w:style>
  <w:style w:type="character" w:customStyle="1" w:styleId="BalloonTextChar">
    <w:name w:val="Balloon Text Char"/>
    <w:basedOn w:val="DefaultParagraphFont"/>
    <w:link w:val="BalloonText"/>
    <w:rsid w:val="000C6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B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B1E"/>
    <w:rPr>
      <w:b/>
      <w:color w:val="660033"/>
      <w:spacing w:val="0"/>
    </w:rPr>
  </w:style>
  <w:style w:type="paragraph" w:customStyle="1" w:styleId="Nameditemlist">
    <w:name w:val="Named item list"/>
    <w:basedOn w:val="BodyText"/>
    <w:qFormat/>
    <w:rsid w:val="000C6B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10484</Characters>
  <Application>Microsoft Office Word</Application>
  <DocSecurity>0</DocSecurity>
  <Lines>325</Lines>
  <Paragraphs>200</Paragraphs>
  <ScaleCrop>false</ScaleCrop>
  <Company>Author-it Software Corporation Ltd.</Company>
  <LinksUpToDate>false</LinksUpToDate>
  <CharactersWithSpaces>11969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TLIL4021A Coordinate the erection and dismantling of temporary storage facilities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2012-10-11T22:23:00Z</dcterms:created>
  <dcterms:modified xsi:type="dcterms:W3CDTF">2012-10-11T22:23:00Z</dcterms:modified>
</cp:coreProperties>
</file>